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E4" w:rsidRPr="00F0741D" w:rsidRDefault="00F0741D" w:rsidP="008507D8">
      <w:pPr>
        <w:jc w:val="both"/>
        <w:rPr>
          <w:rFonts w:ascii="Times New Roman" w:hAnsi="Times New Roman" w:cs="Times New Roman"/>
          <w:b/>
          <w:sz w:val="24"/>
          <w:szCs w:val="24"/>
          <w:lang w:val="en-US"/>
        </w:rPr>
      </w:pPr>
      <w:r w:rsidRPr="00F0741D">
        <w:rPr>
          <w:rFonts w:ascii="Times New Roman" w:hAnsi="Times New Roman" w:cs="Times New Roman"/>
          <w:b/>
          <w:sz w:val="24"/>
          <w:szCs w:val="24"/>
          <w:lang w:val="en-US"/>
        </w:rPr>
        <w:t>MULTI-CRITERIA COMPARISON OF THE EFFICIENCY OF MINOR ACTINIDES BURNING IN DIFFERENT NUCLEAR REACTORS BASED ON THE INPRO/IAEA KIND APPROACH</w:t>
      </w:r>
    </w:p>
    <w:p w:rsidR="00F0741D" w:rsidRDefault="00F0741D"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N.V. </w:t>
      </w:r>
      <w:r w:rsidRPr="00F0741D">
        <w:rPr>
          <w:rFonts w:ascii="Times New Roman" w:hAnsi="Times New Roman" w:cs="Times New Roman"/>
          <w:sz w:val="20"/>
          <w:szCs w:val="24"/>
          <w:lang w:val="en-US"/>
        </w:rPr>
        <w:t>ARKHANGELSKY</w:t>
      </w:r>
    </w:p>
    <w:p w:rsidR="00F0741D" w:rsidRDefault="00F0741D" w:rsidP="00F0741D">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Center of Analytical R&amp;D </w:t>
      </w:r>
      <w:r w:rsidRPr="00166873">
        <w:rPr>
          <w:rFonts w:ascii="Times New Roman" w:hAnsi="Times New Roman" w:cs="Times New Roman"/>
          <w:sz w:val="20"/>
          <w:szCs w:val="24"/>
          <w:lang w:val="en-US"/>
        </w:rPr>
        <w:t>(CARD)</w:t>
      </w:r>
      <w:r>
        <w:rPr>
          <w:rFonts w:ascii="Times New Roman" w:hAnsi="Times New Roman" w:cs="Times New Roman"/>
          <w:sz w:val="20"/>
          <w:szCs w:val="24"/>
          <w:lang w:val="en-US"/>
        </w:rPr>
        <w:t>, Privet Enterprise “Science and Innovation”, SC “Rosatom”</w:t>
      </w:r>
    </w:p>
    <w:p w:rsidR="00F0741D" w:rsidRDefault="00F0741D" w:rsidP="00F0741D">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Moscow, Russian Federation</w:t>
      </w:r>
    </w:p>
    <w:p w:rsidR="00F0741D" w:rsidRDefault="00F0741D" w:rsidP="00294C9C">
      <w:pPr>
        <w:spacing w:after="0"/>
        <w:jc w:val="both"/>
        <w:rPr>
          <w:rFonts w:ascii="Times New Roman" w:hAnsi="Times New Roman" w:cs="Times New Roman"/>
          <w:sz w:val="20"/>
          <w:szCs w:val="24"/>
          <w:lang w:val="en-US"/>
        </w:rPr>
      </w:pPr>
    </w:p>
    <w:p w:rsidR="00F0741D" w:rsidRDefault="00F0741D"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A.A. </w:t>
      </w:r>
      <w:r w:rsidRPr="00F0741D">
        <w:rPr>
          <w:rFonts w:ascii="Times New Roman" w:hAnsi="Times New Roman" w:cs="Times New Roman"/>
          <w:sz w:val="20"/>
          <w:szCs w:val="24"/>
          <w:lang w:val="en-US"/>
        </w:rPr>
        <w:t>ANDRIANOV</w:t>
      </w:r>
    </w:p>
    <w:p w:rsidR="00F0741D" w:rsidRDefault="00F0741D" w:rsidP="00F0741D">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Center of Analytical R&amp;D </w:t>
      </w:r>
      <w:r w:rsidRPr="00166873">
        <w:rPr>
          <w:rFonts w:ascii="Times New Roman" w:hAnsi="Times New Roman" w:cs="Times New Roman"/>
          <w:sz w:val="20"/>
          <w:szCs w:val="24"/>
          <w:lang w:val="en-US"/>
        </w:rPr>
        <w:t>(CARD)</w:t>
      </w:r>
      <w:r>
        <w:rPr>
          <w:rFonts w:ascii="Times New Roman" w:hAnsi="Times New Roman" w:cs="Times New Roman"/>
          <w:sz w:val="20"/>
          <w:szCs w:val="24"/>
          <w:lang w:val="en-US"/>
        </w:rPr>
        <w:t>, Privet Enterprise “Science and Innovation”, SC “Rosatom”</w:t>
      </w:r>
    </w:p>
    <w:p w:rsidR="00F0741D" w:rsidRDefault="00F0741D"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Moscow, Russian Federation</w:t>
      </w:r>
    </w:p>
    <w:p w:rsidR="00F0741D" w:rsidRDefault="00F0741D" w:rsidP="00294C9C">
      <w:pPr>
        <w:spacing w:after="0"/>
        <w:jc w:val="both"/>
        <w:rPr>
          <w:rFonts w:ascii="Times New Roman" w:hAnsi="Times New Roman" w:cs="Times New Roman"/>
          <w:sz w:val="20"/>
          <w:szCs w:val="24"/>
          <w:lang w:val="en-US"/>
        </w:rPr>
      </w:pPr>
    </w:p>
    <w:p w:rsidR="00294C9C" w:rsidRDefault="00294C9C" w:rsidP="00294C9C">
      <w:pPr>
        <w:spacing w:after="0"/>
        <w:jc w:val="both"/>
        <w:rPr>
          <w:rFonts w:ascii="Times New Roman" w:hAnsi="Times New Roman" w:cs="Times New Roman"/>
          <w:sz w:val="24"/>
          <w:szCs w:val="24"/>
          <w:lang w:val="en-US"/>
        </w:rPr>
      </w:pPr>
      <w:r w:rsidRPr="00294C9C">
        <w:rPr>
          <w:rFonts w:ascii="Times New Roman" w:hAnsi="Times New Roman" w:cs="Times New Roman"/>
          <w:sz w:val="20"/>
          <w:szCs w:val="24"/>
          <w:lang w:val="en-US"/>
        </w:rPr>
        <w:t>S.A. KVIATKOVSKII</w:t>
      </w:r>
    </w:p>
    <w:p w:rsidR="00294C9C" w:rsidRDefault="00294C9C"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Center of Analytical R&amp;D</w:t>
      </w:r>
      <w:r w:rsidR="00166873">
        <w:rPr>
          <w:rFonts w:ascii="Times New Roman" w:hAnsi="Times New Roman" w:cs="Times New Roman"/>
          <w:sz w:val="20"/>
          <w:szCs w:val="24"/>
          <w:lang w:val="en-US"/>
        </w:rPr>
        <w:t xml:space="preserve"> </w:t>
      </w:r>
      <w:r w:rsidR="00166873" w:rsidRPr="00166873">
        <w:rPr>
          <w:rFonts w:ascii="Times New Roman" w:hAnsi="Times New Roman" w:cs="Times New Roman"/>
          <w:sz w:val="20"/>
          <w:szCs w:val="24"/>
          <w:lang w:val="en-US"/>
        </w:rPr>
        <w:t>(CARD)</w:t>
      </w:r>
      <w:r>
        <w:rPr>
          <w:rFonts w:ascii="Times New Roman" w:hAnsi="Times New Roman" w:cs="Times New Roman"/>
          <w:sz w:val="20"/>
          <w:szCs w:val="24"/>
          <w:lang w:val="en-US"/>
        </w:rPr>
        <w:t>, Privet Enterprise “Science and Innovation”, SC “Rosatom”</w:t>
      </w:r>
    </w:p>
    <w:p w:rsidR="00294C9C" w:rsidRDefault="00294C9C"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Moscow, Russian Federation</w:t>
      </w:r>
    </w:p>
    <w:p w:rsidR="00294C9C" w:rsidRDefault="00294C9C" w:rsidP="00294C9C">
      <w:pPr>
        <w:spacing w:after="0"/>
        <w:jc w:val="both"/>
        <w:rPr>
          <w:rFonts w:ascii="Times New Roman" w:hAnsi="Times New Roman" w:cs="Times New Roman"/>
          <w:sz w:val="20"/>
          <w:szCs w:val="24"/>
          <w:lang w:val="en-US"/>
        </w:rPr>
      </w:pPr>
    </w:p>
    <w:p w:rsidR="00294C9C" w:rsidRDefault="00294C9C"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P.B. PTITSYN</w:t>
      </w:r>
    </w:p>
    <w:p w:rsidR="00294C9C" w:rsidRDefault="00294C9C"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Center of Analytical R&amp;D</w:t>
      </w:r>
      <w:r w:rsidR="00166873">
        <w:rPr>
          <w:rFonts w:ascii="Times New Roman" w:hAnsi="Times New Roman" w:cs="Times New Roman"/>
          <w:sz w:val="20"/>
          <w:szCs w:val="24"/>
          <w:lang w:val="en-US"/>
        </w:rPr>
        <w:t xml:space="preserve"> </w:t>
      </w:r>
      <w:r w:rsidR="00166873" w:rsidRPr="00166873">
        <w:rPr>
          <w:rFonts w:ascii="Times New Roman" w:hAnsi="Times New Roman" w:cs="Times New Roman"/>
          <w:sz w:val="20"/>
          <w:szCs w:val="24"/>
          <w:lang w:val="en-US"/>
        </w:rPr>
        <w:t>(CARD)</w:t>
      </w:r>
      <w:r>
        <w:rPr>
          <w:rFonts w:ascii="Times New Roman" w:hAnsi="Times New Roman" w:cs="Times New Roman"/>
          <w:sz w:val="20"/>
          <w:szCs w:val="24"/>
          <w:lang w:val="en-US"/>
        </w:rPr>
        <w:t>, Privet Enterprise “Science and Innovation”, SC “Rosatom”</w:t>
      </w:r>
    </w:p>
    <w:p w:rsidR="00294C9C" w:rsidRDefault="00294C9C"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Moscow, Russian Federation</w:t>
      </w:r>
    </w:p>
    <w:p w:rsidR="00166873" w:rsidRDefault="00166873" w:rsidP="00294C9C">
      <w:pPr>
        <w:spacing w:after="0"/>
        <w:jc w:val="both"/>
        <w:rPr>
          <w:rFonts w:ascii="Times New Roman" w:hAnsi="Times New Roman" w:cs="Times New Roman"/>
          <w:sz w:val="20"/>
          <w:szCs w:val="24"/>
          <w:lang w:val="en-US"/>
        </w:rPr>
      </w:pPr>
    </w:p>
    <w:p w:rsidR="00166873" w:rsidRDefault="00166873" w:rsidP="00294C9C">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I.B. </w:t>
      </w:r>
      <w:r w:rsidRPr="00166873">
        <w:rPr>
          <w:rFonts w:ascii="Times New Roman" w:hAnsi="Times New Roman" w:cs="Times New Roman"/>
          <w:sz w:val="20"/>
          <w:szCs w:val="24"/>
          <w:lang w:val="en-US"/>
        </w:rPr>
        <w:t>ZHURAVLEV</w:t>
      </w:r>
    </w:p>
    <w:p w:rsidR="00166873" w:rsidRDefault="00166873" w:rsidP="00166873">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Center of Analytical R&amp;D </w:t>
      </w:r>
      <w:r w:rsidRPr="00166873">
        <w:rPr>
          <w:rFonts w:ascii="Times New Roman" w:hAnsi="Times New Roman" w:cs="Times New Roman"/>
          <w:sz w:val="20"/>
          <w:szCs w:val="24"/>
          <w:lang w:val="en-US"/>
        </w:rPr>
        <w:t>(CARD)</w:t>
      </w:r>
      <w:r>
        <w:rPr>
          <w:rFonts w:ascii="Times New Roman" w:hAnsi="Times New Roman" w:cs="Times New Roman"/>
          <w:sz w:val="20"/>
          <w:szCs w:val="24"/>
          <w:lang w:val="en-US"/>
        </w:rPr>
        <w:t>, Privet Enterprise “Science and Innovation”, SC “Rosatom”</w:t>
      </w:r>
    </w:p>
    <w:p w:rsidR="00166873" w:rsidRDefault="00166873" w:rsidP="00166873">
      <w:pPr>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Moscow, Russian Federation</w:t>
      </w:r>
    </w:p>
    <w:p w:rsidR="00166873" w:rsidRDefault="00166873" w:rsidP="00166873">
      <w:pPr>
        <w:spacing w:after="0"/>
        <w:jc w:val="both"/>
        <w:rPr>
          <w:rFonts w:ascii="Times New Roman" w:hAnsi="Times New Roman" w:cs="Times New Roman"/>
          <w:sz w:val="20"/>
          <w:szCs w:val="24"/>
          <w:lang w:val="en-US"/>
        </w:rPr>
      </w:pPr>
    </w:p>
    <w:p w:rsidR="00166873" w:rsidRPr="00166873" w:rsidRDefault="00166873" w:rsidP="00166873">
      <w:pPr>
        <w:spacing w:after="0"/>
        <w:jc w:val="both"/>
        <w:rPr>
          <w:rFonts w:ascii="Times New Roman" w:hAnsi="Times New Roman" w:cs="Times New Roman"/>
          <w:sz w:val="20"/>
          <w:szCs w:val="24"/>
          <w:lang w:val="en-US"/>
        </w:rPr>
      </w:pPr>
      <w:r w:rsidRPr="00166873">
        <w:rPr>
          <w:rFonts w:ascii="Times New Roman" w:hAnsi="Times New Roman" w:cs="Times New Roman"/>
          <w:sz w:val="20"/>
          <w:szCs w:val="24"/>
          <w:lang w:val="en-US"/>
        </w:rPr>
        <w:t>Email contact of corresponding author: StAKvyatkovsky@rosatom.ru</w:t>
      </w:r>
    </w:p>
    <w:p w:rsidR="008507D8" w:rsidRPr="00166873" w:rsidRDefault="008507D8" w:rsidP="00166873">
      <w:pPr>
        <w:spacing w:before="160"/>
        <w:ind w:firstLine="708"/>
        <w:jc w:val="both"/>
        <w:rPr>
          <w:rFonts w:ascii="Times New Roman" w:hAnsi="Times New Roman" w:cs="Times New Roman"/>
          <w:b/>
          <w:sz w:val="24"/>
          <w:szCs w:val="24"/>
          <w:lang w:val="en-US"/>
        </w:rPr>
      </w:pPr>
      <w:r w:rsidRPr="00166873">
        <w:rPr>
          <w:rFonts w:ascii="Times New Roman" w:hAnsi="Times New Roman" w:cs="Times New Roman"/>
          <w:b/>
          <w:sz w:val="24"/>
          <w:szCs w:val="24"/>
          <w:lang w:val="en-US"/>
        </w:rPr>
        <w:t>Abstract</w:t>
      </w:r>
    </w:p>
    <w:p w:rsidR="008507D8" w:rsidRPr="00E91F7B" w:rsidRDefault="00F0741D" w:rsidP="00166873">
      <w:pPr>
        <w:ind w:firstLine="708"/>
        <w:jc w:val="both"/>
        <w:rPr>
          <w:rFonts w:ascii="Times New Roman" w:hAnsi="Times New Roman" w:cs="Times New Roman"/>
          <w:sz w:val="18"/>
          <w:szCs w:val="24"/>
          <w:lang w:val="en-US"/>
        </w:rPr>
      </w:pPr>
      <w:r>
        <w:rPr>
          <w:rFonts w:ascii="Times New Roman" w:hAnsi="Times New Roman" w:cs="Times New Roman"/>
          <w:sz w:val="18"/>
          <w:szCs w:val="24"/>
          <w:lang w:val="en-US"/>
        </w:rPr>
        <w:t>The</w:t>
      </w:r>
      <w:r w:rsidRPr="00F0741D">
        <w:rPr>
          <w:rFonts w:ascii="Times New Roman" w:hAnsi="Times New Roman" w:cs="Times New Roman"/>
          <w:sz w:val="18"/>
          <w:szCs w:val="24"/>
          <w:lang w:val="en-US"/>
        </w:rPr>
        <w:t xml:space="preserve"> paper presents a comparison of the efficiency of minor actinides (MA) burning in various type of nuclear reactors. A set of criteria for comprehensive comparison of reactor technologies, based on the INPRO/IAEA KIND approach to multi-criteria assessment, has been prepared. This set of criteria includes indicators in such areas as the efficiency of MA burning, economics, safety, environment, readiness of reactor technology and infrastructure for its implementation. The evaluation and comparison procedure was carried out using the KIND-ET tool. It is shown that a comprehensive </w:t>
      </w:r>
      <w:proofErr w:type="spellStart"/>
      <w:r w:rsidRPr="00F0741D">
        <w:rPr>
          <w:rFonts w:ascii="Times New Roman" w:hAnsi="Times New Roman" w:cs="Times New Roman"/>
          <w:sz w:val="18"/>
          <w:szCs w:val="24"/>
          <w:lang w:val="en-US"/>
        </w:rPr>
        <w:t>multicriteria</w:t>
      </w:r>
      <w:proofErr w:type="spellEnd"/>
      <w:r w:rsidRPr="00F0741D">
        <w:rPr>
          <w:rFonts w:ascii="Times New Roman" w:hAnsi="Times New Roman" w:cs="Times New Roman"/>
          <w:sz w:val="18"/>
          <w:szCs w:val="24"/>
          <w:lang w:val="en-US"/>
        </w:rPr>
        <w:t xml:space="preserve"> analysis of various aspects of the technologies, as expected, led to estimates that differ from the approach in which technologies are compared only single criterion and without taking into account the influence of other equally important factors. And the cumulative assessment of technologies largely depends on the set development objectives. This means that each of the listed options can take the first place in the rating when certain priorities are selected.</w:t>
      </w:r>
    </w:p>
    <w:p w:rsidR="008507D8" w:rsidRPr="00166873" w:rsidRDefault="002E0B88" w:rsidP="002E0B88">
      <w:pPr>
        <w:pStyle w:val="2"/>
        <w:numPr>
          <w:ilvl w:val="0"/>
          <w:numId w:val="10"/>
        </w:numPr>
        <w:spacing w:before="100" w:beforeAutospacing="1" w:after="100" w:afterAutospacing="1" w:line="280" w:lineRule="atLeast"/>
        <w:rPr>
          <w:rFonts w:ascii="Times New Roman" w:hAnsi="Times New Roman" w:cs="Times New Roman"/>
          <w:color w:val="000000" w:themeColor="text1"/>
          <w:sz w:val="24"/>
          <w:szCs w:val="24"/>
          <w:lang w:val="en-US"/>
        </w:rPr>
      </w:pPr>
      <w:r w:rsidRPr="002E0B88">
        <w:rPr>
          <w:rFonts w:ascii="Times New Roman" w:hAnsi="Times New Roman" w:cs="Times New Roman"/>
          <w:color w:val="000000" w:themeColor="text1"/>
          <w:sz w:val="24"/>
          <w:szCs w:val="24"/>
        </w:rPr>
        <w:t>INTRODUCTION</w:t>
      </w:r>
    </w:p>
    <w:p w:rsidR="00CF6DCC" w:rsidRPr="002E0B88" w:rsidRDefault="002E0B88" w:rsidP="002E0B88">
      <w:pPr>
        <w:ind w:firstLine="709"/>
        <w:contextualSpacing/>
        <w:jc w:val="both"/>
        <w:rPr>
          <w:rFonts w:ascii="Times New Roman" w:hAnsi="Times New Roman" w:cs="Times New Roman"/>
          <w:sz w:val="20"/>
          <w:szCs w:val="24"/>
          <w:lang w:val="en-US"/>
        </w:rPr>
      </w:pPr>
      <w:r w:rsidRPr="002E0B88">
        <w:rPr>
          <w:rFonts w:ascii="Times New Roman" w:hAnsi="Times New Roman" w:cs="Times New Roman"/>
          <w:sz w:val="20"/>
          <w:szCs w:val="24"/>
          <w:lang w:val="en-US"/>
        </w:rPr>
        <w:t>Close attention to the problem of MA partitioning and transmutation is associated with their impact to the methods of SNF and RW management. Despite the fact that MA in reactor are produced in relatively small quantities, they make a significant contribution to the heat release and radiotoxicity of spent nuclear fuel in the long term.</w:t>
      </w:r>
    </w:p>
    <w:p w:rsidR="00FF44C7" w:rsidRDefault="002E0B88" w:rsidP="00CF6DCC">
      <w:pPr>
        <w:ind w:firstLine="709"/>
        <w:contextualSpacing/>
        <w:jc w:val="both"/>
        <w:rPr>
          <w:rFonts w:ascii="Times New Roman" w:hAnsi="Times New Roman" w:cs="Times New Roman"/>
          <w:sz w:val="20"/>
          <w:szCs w:val="24"/>
          <w:lang w:val="en-US"/>
        </w:rPr>
      </w:pPr>
      <w:r w:rsidRPr="002E0B88">
        <w:rPr>
          <w:rFonts w:ascii="Times New Roman" w:hAnsi="Times New Roman" w:cs="Times New Roman"/>
          <w:sz w:val="20"/>
          <w:szCs w:val="24"/>
          <w:lang w:val="en-US"/>
        </w:rPr>
        <w:t>If at the initial period the main contribution to the activity and heat release of SNF is made by the contained FP, after ~ 200 years the activity and heat release</w:t>
      </w:r>
      <w:r w:rsidR="00FF44C7">
        <w:rPr>
          <w:rFonts w:ascii="Times New Roman" w:hAnsi="Times New Roman" w:cs="Times New Roman"/>
          <w:sz w:val="20"/>
          <w:szCs w:val="24"/>
          <w:lang w:val="en-US"/>
        </w:rPr>
        <w:t xml:space="preserve"> are determined by MA isotopes.</w:t>
      </w:r>
      <w:r w:rsidR="00CF6DCC" w:rsidRPr="002E0B88">
        <w:rPr>
          <w:rFonts w:ascii="Times New Roman" w:hAnsi="Times New Roman" w:cs="Times New Roman"/>
          <w:sz w:val="20"/>
          <w:szCs w:val="24"/>
          <w:lang w:val="en-US"/>
        </w:rPr>
        <w:t xml:space="preserve"> </w:t>
      </w:r>
      <w:r w:rsidR="00FF44C7" w:rsidRPr="00FF44C7">
        <w:rPr>
          <w:rFonts w:ascii="Times New Roman" w:hAnsi="Times New Roman" w:cs="Times New Roman"/>
          <w:sz w:val="20"/>
          <w:szCs w:val="24"/>
          <w:lang w:val="en-US"/>
        </w:rPr>
        <w:t xml:space="preserve">At time intervals of more than 100,000 years, the radioactivity of </w:t>
      </w:r>
      <w:r w:rsidR="00FF44C7">
        <w:rPr>
          <w:rFonts w:ascii="Times New Roman" w:hAnsi="Times New Roman" w:cs="Times New Roman"/>
          <w:sz w:val="20"/>
          <w:szCs w:val="24"/>
          <w:lang w:val="en-US"/>
        </w:rPr>
        <w:t>SNF ore RW</w:t>
      </w:r>
      <w:r w:rsidR="00FF44C7" w:rsidRPr="00FF44C7">
        <w:rPr>
          <w:rFonts w:ascii="Times New Roman" w:hAnsi="Times New Roman" w:cs="Times New Roman"/>
          <w:sz w:val="20"/>
          <w:szCs w:val="24"/>
          <w:lang w:val="en-US"/>
        </w:rPr>
        <w:t xml:space="preserve"> will be determined by ultra-long-lived radionuclides, including </w:t>
      </w:r>
      <w:r w:rsidR="00FF44C7" w:rsidRPr="00FF44C7">
        <w:rPr>
          <w:rFonts w:ascii="Times New Roman" w:hAnsi="Times New Roman" w:cs="Times New Roman"/>
          <w:sz w:val="20"/>
          <w:szCs w:val="24"/>
          <w:vertAlign w:val="superscript"/>
          <w:lang w:val="en-US"/>
        </w:rPr>
        <w:t>237</w:t>
      </w:r>
      <w:r w:rsidR="00FF44C7" w:rsidRPr="00FF44C7">
        <w:rPr>
          <w:rFonts w:ascii="Times New Roman" w:hAnsi="Times New Roman" w:cs="Times New Roman"/>
          <w:sz w:val="20"/>
          <w:szCs w:val="24"/>
          <w:lang w:val="en-US"/>
        </w:rPr>
        <w:t xml:space="preserve">Np. </w:t>
      </w:r>
    </w:p>
    <w:p w:rsidR="00CF6DCC" w:rsidRPr="00326CA8" w:rsidRDefault="00326CA8" w:rsidP="00CF6DCC">
      <w:pPr>
        <w:ind w:firstLine="709"/>
        <w:contextualSpacing/>
        <w:jc w:val="both"/>
        <w:rPr>
          <w:rFonts w:ascii="Times New Roman" w:hAnsi="Times New Roman" w:cs="Times New Roman"/>
          <w:sz w:val="20"/>
          <w:szCs w:val="24"/>
          <w:lang w:val="en-US"/>
        </w:rPr>
      </w:pPr>
      <w:r w:rsidRPr="00326CA8">
        <w:rPr>
          <w:rFonts w:ascii="Times New Roman" w:hAnsi="Times New Roman" w:cs="Times New Roman"/>
          <w:sz w:val="20"/>
          <w:szCs w:val="24"/>
          <w:lang w:val="en-US"/>
        </w:rPr>
        <w:t>Extraction of MA from HLW formed after SNF reprocessing, will lead to a decrease activity which should be incorporated in the glass matrix</w:t>
      </w:r>
      <w:r>
        <w:rPr>
          <w:rFonts w:ascii="Times New Roman" w:hAnsi="Times New Roman" w:cs="Times New Roman"/>
          <w:sz w:val="20"/>
          <w:szCs w:val="24"/>
          <w:lang w:val="en-US"/>
        </w:rPr>
        <w:t xml:space="preserve"> </w:t>
      </w:r>
      <w:r w:rsidRPr="00326CA8">
        <w:rPr>
          <w:rFonts w:ascii="Times New Roman" w:hAnsi="Times New Roman" w:cs="Times New Roman"/>
          <w:sz w:val="20"/>
          <w:szCs w:val="24"/>
          <w:lang w:val="en-US"/>
        </w:rPr>
        <w:t>and a reduction area of the geological repositories due to decrease heat release of the final HLW.</w:t>
      </w:r>
    </w:p>
    <w:p w:rsidR="00CF6DCC" w:rsidRPr="00395AEA" w:rsidRDefault="00326CA8" w:rsidP="00CF6DCC">
      <w:pPr>
        <w:ind w:firstLine="709"/>
        <w:contextualSpacing/>
        <w:jc w:val="both"/>
        <w:rPr>
          <w:rFonts w:ascii="Times New Roman" w:hAnsi="Times New Roman" w:cs="Times New Roman"/>
          <w:sz w:val="20"/>
          <w:szCs w:val="24"/>
          <w:lang w:val="en-US"/>
        </w:rPr>
      </w:pPr>
      <w:r w:rsidRPr="00326CA8">
        <w:rPr>
          <w:rFonts w:ascii="Times New Roman" w:hAnsi="Times New Roman" w:cs="Times New Roman"/>
          <w:sz w:val="20"/>
          <w:szCs w:val="24"/>
          <w:lang w:val="en-US"/>
        </w:rPr>
        <w:t xml:space="preserve">Theoretical studies of the possibility of MA transmutation in nuclear reactors demonstrate its fundamental feasibility. </w:t>
      </w:r>
      <w:r w:rsidR="00363388">
        <w:rPr>
          <w:rFonts w:ascii="Times New Roman" w:hAnsi="Times New Roman" w:cs="Times New Roman"/>
          <w:sz w:val="20"/>
          <w:szCs w:val="24"/>
          <w:lang w:val="en-US"/>
        </w:rPr>
        <w:t>T</w:t>
      </w:r>
      <w:r w:rsidRPr="00326CA8">
        <w:rPr>
          <w:rFonts w:ascii="Times New Roman" w:hAnsi="Times New Roman" w:cs="Times New Roman"/>
          <w:sz w:val="20"/>
          <w:szCs w:val="24"/>
          <w:lang w:val="en-US"/>
        </w:rPr>
        <w:t>he features of the MA capture and fission nuclear cross sections indicate the prefer</w:t>
      </w:r>
      <w:r w:rsidR="00363388">
        <w:rPr>
          <w:rFonts w:ascii="Times New Roman" w:hAnsi="Times New Roman" w:cs="Times New Roman"/>
          <w:sz w:val="20"/>
          <w:szCs w:val="24"/>
          <w:lang w:val="en-US"/>
        </w:rPr>
        <w:t>ence of a fast neutron spectrum</w:t>
      </w:r>
      <w:r w:rsidRPr="00326CA8">
        <w:rPr>
          <w:rFonts w:ascii="Times New Roman" w:hAnsi="Times New Roman" w:cs="Times New Roman"/>
          <w:sz w:val="20"/>
          <w:szCs w:val="24"/>
          <w:lang w:val="en-US"/>
        </w:rPr>
        <w:t xml:space="preserve"> </w:t>
      </w:r>
      <w:r w:rsidRPr="00395AEA">
        <w:rPr>
          <w:rFonts w:ascii="Times New Roman" w:hAnsi="Times New Roman" w:cs="Times New Roman"/>
          <w:sz w:val="20"/>
          <w:szCs w:val="24"/>
          <w:lang w:val="en-US"/>
        </w:rPr>
        <w:t>[1]</w:t>
      </w:r>
      <w:r w:rsidR="00CF6DCC" w:rsidRPr="00395AEA">
        <w:rPr>
          <w:rFonts w:ascii="Times New Roman" w:hAnsi="Times New Roman" w:cs="Times New Roman"/>
          <w:sz w:val="20"/>
          <w:szCs w:val="24"/>
          <w:lang w:val="en-US"/>
        </w:rPr>
        <w:t>.</w:t>
      </w:r>
    </w:p>
    <w:p w:rsidR="006A6EDE" w:rsidRPr="002A345D" w:rsidRDefault="002A345D" w:rsidP="002A345D">
      <w:pPr>
        <w:spacing w:after="0"/>
        <w:ind w:firstLine="709"/>
        <w:jc w:val="both"/>
        <w:rPr>
          <w:rFonts w:ascii="Times New Roman" w:hAnsi="Times New Roman" w:cs="Times New Roman"/>
          <w:sz w:val="20"/>
          <w:szCs w:val="24"/>
          <w:lang w:val="en-US"/>
        </w:rPr>
      </w:pPr>
      <w:r w:rsidRPr="002A345D">
        <w:rPr>
          <w:rFonts w:ascii="Times New Roman" w:hAnsi="Times New Roman" w:cs="Times New Roman"/>
          <w:sz w:val="20"/>
          <w:szCs w:val="24"/>
          <w:lang w:val="en-US"/>
        </w:rPr>
        <w:t>The main factors affecting to the success of MA transmutation in a nuclear reactor are the neutrons surplus, neutron spectrum, neutron flux, and the presence of a fertile material that capture neutrons which could be directed to MA transmutation</w:t>
      </w:r>
      <w:r w:rsidR="000F564C">
        <w:rPr>
          <w:rFonts w:ascii="Times New Roman" w:hAnsi="Times New Roman" w:cs="Times New Roman"/>
          <w:sz w:val="20"/>
          <w:szCs w:val="24"/>
          <w:lang w:val="en-US"/>
        </w:rPr>
        <w:t xml:space="preserve"> [1]</w:t>
      </w:r>
      <w:r w:rsidRPr="002A345D">
        <w:rPr>
          <w:rFonts w:ascii="Times New Roman" w:hAnsi="Times New Roman" w:cs="Times New Roman"/>
          <w:sz w:val="20"/>
          <w:szCs w:val="24"/>
          <w:lang w:val="en-US"/>
        </w:rPr>
        <w:t>.</w:t>
      </w:r>
    </w:p>
    <w:p w:rsidR="00CF6DCC" w:rsidRPr="000F564C" w:rsidRDefault="000F564C" w:rsidP="00CF6DCC">
      <w:pPr>
        <w:ind w:firstLine="708"/>
        <w:jc w:val="both"/>
        <w:rPr>
          <w:rFonts w:ascii="Times New Roman" w:hAnsi="Times New Roman" w:cs="Times New Roman"/>
          <w:sz w:val="20"/>
          <w:szCs w:val="24"/>
          <w:lang w:val="en-US"/>
        </w:rPr>
      </w:pPr>
      <w:r w:rsidRPr="000F564C">
        <w:rPr>
          <w:rFonts w:ascii="Times New Roman" w:hAnsi="Times New Roman" w:cs="Times New Roman"/>
          <w:sz w:val="20"/>
          <w:szCs w:val="24"/>
          <w:lang w:val="en-US"/>
        </w:rPr>
        <w:t xml:space="preserve">In this regard, it becomes important to choose a reactor technology that is able to most effectively transmute MA and to most extent meets the assigned tasks. </w:t>
      </w:r>
      <w:r w:rsidR="00CF6DCC" w:rsidRPr="000F564C">
        <w:rPr>
          <w:rFonts w:ascii="Times New Roman" w:hAnsi="Times New Roman" w:cs="Times New Roman"/>
          <w:sz w:val="20"/>
          <w:szCs w:val="24"/>
          <w:lang w:val="en-US"/>
        </w:rPr>
        <w:t xml:space="preserve"> </w:t>
      </w:r>
    </w:p>
    <w:p w:rsidR="006A6EDE" w:rsidRPr="000F564C" w:rsidRDefault="000F564C" w:rsidP="000F564C">
      <w:pPr>
        <w:pStyle w:val="2"/>
        <w:numPr>
          <w:ilvl w:val="0"/>
          <w:numId w:val="10"/>
        </w:numPr>
        <w:spacing w:before="100" w:beforeAutospacing="1" w:after="100" w:afterAutospacing="1" w:line="280" w:lineRule="atLeast"/>
        <w:rPr>
          <w:rFonts w:ascii="Times New Roman" w:hAnsi="Times New Roman" w:cs="Times New Roman"/>
          <w:color w:val="000000" w:themeColor="text1"/>
          <w:sz w:val="24"/>
          <w:szCs w:val="24"/>
          <w:lang w:val="en-US"/>
        </w:rPr>
      </w:pPr>
      <w:r w:rsidRPr="000F564C">
        <w:rPr>
          <w:rFonts w:ascii="Times New Roman" w:hAnsi="Times New Roman" w:cs="Times New Roman"/>
          <w:color w:val="000000" w:themeColor="text1"/>
          <w:sz w:val="24"/>
          <w:szCs w:val="24"/>
          <w:lang w:val="en-US"/>
        </w:rPr>
        <w:lastRenderedPageBreak/>
        <w:t>MA TRANSMUTATION TECHNOLOGIES</w:t>
      </w:r>
    </w:p>
    <w:p w:rsidR="006A1F7C" w:rsidRPr="000F564C" w:rsidRDefault="000F564C" w:rsidP="00743EB6">
      <w:pPr>
        <w:spacing w:before="120" w:after="0" w:line="260" w:lineRule="atLeast"/>
        <w:ind w:firstLine="709"/>
        <w:contextualSpacing/>
        <w:jc w:val="both"/>
        <w:rPr>
          <w:rFonts w:ascii="Times New Roman" w:hAnsi="Times New Roman" w:cs="Times New Roman"/>
          <w:sz w:val="20"/>
          <w:szCs w:val="28"/>
          <w:lang w:val="en-US"/>
        </w:rPr>
      </w:pPr>
      <w:r w:rsidRPr="000F564C">
        <w:rPr>
          <w:rFonts w:ascii="Times New Roman" w:hAnsi="Times New Roman" w:cs="Times New Roman"/>
          <w:sz w:val="20"/>
          <w:szCs w:val="28"/>
          <w:lang w:val="en-US"/>
        </w:rPr>
        <w:t>Within the framework of the existing R&amp;D programs of the State Corporation Rosatom, the possibility of MA transmutation in four reactor technologies is being considered:</w:t>
      </w:r>
    </w:p>
    <w:p w:rsidR="00AE19EA" w:rsidRPr="000F564C" w:rsidRDefault="000F564C" w:rsidP="000F564C">
      <w:pPr>
        <w:pStyle w:val="a4"/>
        <w:numPr>
          <w:ilvl w:val="0"/>
          <w:numId w:val="11"/>
        </w:numPr>
        <w:spacing w:before="120" w:after="0" w:line="260" w:lineRule="atLeast"/>
        <w:jc w:val="both"/>
        <w:rPr>
          <w:rFonts w:ascii="Times New Roman" w:hAnsi="Times New Roman" w:cs="Times New Roman"/>
          <w:sz w:val="20"/>
          <w:szCs w:val="28"/>
          <w:lang w:val="en-US"/>
        </w:rPr>
      </w:pPr>
      <w:r w:rsidRPr="000F564C">
        <w:rPr>
          <w:rFonts w:ascii="Times New Roman" w:hAnsi="Times New Roman" w:cs="Times New Roman"/>
          <w:sz w:val="20"/>
          <w:szCs w:val="28"/>
          <w:lang w:val="en-US"/>
        </w:rPr>
        <w:t>studies on the homogeneous Am and Np transmutation in the MOX fuel of sodium fast reactors and the possibility of the heterogeneous MA transmutation are conducting</w:t>
      </w:r>
      <w:r w:rsidR="00AE19EA" w:rsidRPr="000F564C">
        <w:rPr>
          <w:rFonts w:ascii="Times New Roman" w:hAnsi="Times New Roman" w:cs="Times New Roman"/>
          <w:sz w:val="20"/>
          <w:szCs w:val="28"/>
          <w:lang w:val="en-US"/>
        </w:rPr>
        <w:t>;</w:t>
      </w:r>
    </w:p>
    <w:p w:rsidR="00AE19EA" w:rsidRPr="00B96AF2" w:rsidRDefault="00B96AF2" w:rsidP="00B96AF2">
      <w:pPr>
        <w:pStyle w:val="a4"/>
        <w:numPr>
          <w:ilvl w:val="0"/>
          <w:numId w:val="11"/>
        </w:numPr>
        <w:spacing w:before="120" w:after="0" w:line="260" w:lineRule="atLeast"/>
        <w:jc w:val="both"/>
        <w:rPr>
          <w:rFonts w:ascii="Times New Roman" w:hAnsi="Times New Roman" w:cs="Times New Roman"/>
          <w:sz w:val="20"/>
          <w:szCs w:val="28"/>
          <w:lang w:val="en-US"/>
        </w:rPr>
      </w:pPr>
      <w:r w:rsidRPr="00B96AF2">
        <w:rPr>
          <w:rFonts w:ascii="Times New Roman" w:hAnsi="Times New Roman" w:cs="Times New Roman"/>
          <w:sz w:val="20"/>
          <w:szCs w:val="28"/>
          <w:lang w:val="en-US"/>
        </w:rPr>
        <w:t>one of the tasks of the lead-cooled fast reactor under development is to achieve environmental characteristics of a closed NFC that are acceptable for society and the economy due to MA transmutation</w:t>
      </w:r>
      <w:r w:rsidR="00AE19EA" w:rsidRPr="00B96AF2">
        <w:rPr>
          <w:rFonts w:ascii="Times New Roman" w:hAnsi="Times New Roman" w:cs="Times New Roman"/>
          <w:sz w:val="20"/>
          <w:szCs w:val="28"/>
          <w:lang w:val="en-US"/>
        </w:rPr>
        <w:t>;</w:t>
      </w:r>
    </w:p>
    <w:p w:rsidR="00AE19EA" w:rsidRPr="00B96AF2" w:rsidRDefault="00B96AF2" w:rsidP="00B96AF2">
      <w:pPr>
        <w:pStyle w:val="a4"/>
        <w:numPr>
          <w:ilvl w:val="0"/>
          <w:numId w:val="11"/>
        </w:numPr>
        <w:spacing w:before="120" w:after="0" w:line="260" w:lineRule="atLeast"/>
        <w:jc w:val="both"/>
        <w:rPr>
          <w:rFonts w:ascii="Times New Roman" w:hAnsi="Times New Roman" w:cs="Times New Roman"/>
          <w:sz w:val="20"/>
          <w:szCs w:val="28"/>
          <w:lang w:val="en-US"/>
        </w:rPr>
      </w:pPr>
      <w:r w:rsidRPr="00B96AF2">
        <w:rPr>
          <w:rFonts w:ascii="Times New Roman" w:hAnsi="Times New Roman" w:cs="Times New Roman"/>
          <w:sz w:val="20"/>
          <w:szCs w:val="28"/>
          <w:lang w:val="en-US"/>
        </w:rPr>
        <w:t>the development of the MSR is underway, the main task of which is the transmutation of MA from SNF of thermal reactors</w:t>
      </w:r>
      <w:r w:rsidR="00AE19EA" w:rsidRPr="00B96AF2">
        <w:rPr>
          <w:rFonts w:ascii="Times New Roman" w:hAnsi="Times New Roman" w:cs="Times New Roman"/>
          <w:sz w:val="20"/>
          <w:szCs w:val="28"/>
          <w:lang w:val="en-US"/>
        </w:rPr>
        <w:t>;</w:t>
      </w:r>
    </w:p>
    <w:p w:rsidR="00B07824" w:rsidRPr="00B96AF2" w:rsidRDefault="00B96AF2" w:rsidP="00B96AF2">
      <w:pPr>
        <w:pStyle w:val="a4"/>
        <w:numPr>
          <w:ilvl w:val="0"/>
          <w:numId w:val="11"/>
        </w:numPr>
        <w:spacing w:before="120" w:after="0" w:line="260" w:lineRule="atLeast"/>
        <w:jc w:val="both"/>
        <w:rPr>
          <w:rFonts w:ascii="Times New Roman" w:hAnsi="Times New Roman" w:cs="Times New Roman"/>
          <w:sz w:val="20"/>
          <w:szCs w:val="28"/>
          <w:lang w:val="en-US"/>
        </w:rPr>
      </w:pPr>
      <w:r w:rsidRPr="00B96AF2">
        <w:rPr>
          <w:rFonts w:ascii="Times New Roman" w:hAnsi="Times New Roman" w:cs="Times New Roman"/>
          <w:sz w:val="20"/>
          <w:szCs w:val="28"/>
          <w:lang w:val="en-US"/>
        </w:rPr>
        <w:t xml:space="preserve">one of </w:t>
      </w:r>
      <w:r>
        <w:rPr>
          <w:rFonts w:ascii="Times New Roman" w:hAnsi="Times New Roman" w:cs="Times New Roman"/>
          <w:sz w:val="20"/>
          <w:szCs w:val="28"/>
          <w:lang w:val="en-US"/>
        </w:rPr>
        <w:t>the tasks set for the developed</w:t>
      </w:r>
      <w:r w:rsidRPr="00B96AF2">
        <w:rPr>
          <w:rFonts w:ascii="Times New Roman" w:hAnsi="Times New Roman" w:cs="Times New Roman"/>
          <w:sz w:val="20"/>
          <w:szCs w:val="28"/>
          <w:lang w:val="en-US"/>
        </w:rPr>
        <w:t xml:space="preserve"> fission-fusion hybrid reactor </w:t>
      </w:r>
      <w:r w:rsidR="000A3E15">
        <w:rPr>
          <w:rFonts w:ascii="Times New Roman" w:hAnsi="Times New Roman" w:cs="Times New Roman"/>
          <w:sz w:val="20"/>
          <w:szCs w:val="28"/>
          <w:lang w:val="en-US"/>
        </w:rPr>
        <w:t xml:space="preserve">(FFHR) </w:t>
      </w:r>
      <w:r>
        <w:rPr>
          <w:rFonts w:ascii="Times New Roman" w:hAnsi="Times New Roman" w:cs="Times New Roman"/>
          <w:sz w:val="20"/>
          <w:szCs w:val="28"/>
          <w:lang w:val="en-US"/>
        </w:rPr>
        <w:t xml:space="preserve">with subcritical </w:t>
      </w:r>
      <w:r w:rsidRPr="00B96AF2">
        <w:rPr>
          <w:rFonts w:ascii="Times New Roman" w:hAnsi="Times New Roman" w:cs="Times New Roman"/>
          <w:sz w:val="20"/>
          <w:szCs w:val="28"/>
          <w:lang w:val="en-US"/>
        </w:rPr>
        <w:t>blanket</w:t>
      </w:r>
      <w:r>
        <w:rPr>
          <w:rFonts w:ascii="Times New Roman" w:hAnsi="Times New Roman" w:cs="Times New Roman"/>
          <w:sz w:val="20"/>
          <w:szCs w:val="28"/>
          <w:lang w:val="en-US"/>
        </w:rPr>
        <w:t xml:space="preserve"> </w:t>
      </w:r>
      <w:r w:rsidRPr="00B96AF2">
        <w:rPr>
          <w:rFonts w:ascii="Times New Roman" w:hAnsi="Times New Roman" w:cs="Times New Roman"/>
          <w:sz w:val="20"/>
          <w:szCs w:val="28"/>
          <w:lang w:val="en-US"/>
        </w:rPr>
        <w:t>is the highly efficient MA transmutation</w:t>
      </w:r>
      <w:r w:rsidR="00B07824" w:rsidRPr="00B96AF2">
        <w:rPr>
          <w:rFonts w:ascii="Times New Roman" w:hAnsi="Times New Roman" w:cs="Times New Roman"/>
          <w:sz w:val="20"/>
          <w:szCs w:val="28"/>
          <w:lang w:val="en-US"/>
        </w:rPr>
        <w:t>.</w:t>
      </w:r>
    </w:p>
    <w:p w:rsidR="00B07824" w:rsidRPr="00004C23" w:rsidRDefault="00E45446" w:rsidP="00E45446">
      <w:pPr>
        <w:spacing w:before="120" w:after="0" w:line="260" w:lineRule="atLeast"/>
        <w:contextualSpacing/>
        <w:jc w:val="both"/>
        <w:rPr>
          <w:rFonts w:ascii="Times New Roman" w:hAnsi="Times New Roman" w:cs="Times New Roman"/>
          <w:sz w:val="20"/>
          <w:szCs w:val="28"/>
          <w:lang w:val="en-US"/>
        </w:rPr>
      </w:pPr>
      <w:r w:rsidRPr="00B96AF2">
        <w:rPr>
          <w:rFonts w:ascii="Times New Roman" w:hAnsi="Times New Roman" w:cs="Times New Roman"/>
          <w:sz w:val="20"/>
          <w:szCs w:val="28"/>
          <w:lang w:val="en-US"/>
        </w:rPr>
        <w:tab/>
      </w:r>
      <w:r w:rsidR="00B96AF2" w:rsidRPr="00B96AF2">
        <w:rPr>
          <w:rFonts w:ascii="Times New Roman" w:hAnsi="Times New Roman" w:cs="Times New Roman"/>
          <w:sz w:val="20"/>
          <w:szCs w:val="28"/>
          <w:lang w:val="en-US"/>
        </w:rPr>
        <w:t>A distinctive feature of fast sodium reactors is the presence of operating research and power reactors, as well as the presence of experimental experience in MA transmut</w:t>
      </w:r>
      <w:r w:rsidR="00B96AF2">
        <w:rPr>
          <w:rFonts w:ascii="Times New Roman" w:hAnsi="Times New Roman" w:cs="Times New Roman"/>
          <w:sz w:val="20"/>
          <w:szCs w:val="28"/>
          <w:lang w:val="en-US"/>
        </w:rPr>
        <w:t>ation in this type of reactors.</w:t>
      </w:r>
      <w:r w:rsidR="00B67673" w:rsidRPr="00B96AF2">
        <w:rPr>
          <w:rFonts w:ascii="Times New Roman" w:hAnsi="Times New Roman" w:cs="Times New Roman"/>
          <w:sz w:val="20"/>
          <w:szCs w:val="28"/>
          <w:lang w:val="en-US"/>
        </w:rPr>
        <w:t xml:space="preserve"> </w:t>
      </w:r>
      <w:r w:rsidR="00004C23" w:rsidRPr="00004C23">
        <w:rPr>
          <w:rFonts w:ascii="Times New Roman" w:hAnsi="Times New Roman" w:cs="Times New Roman"/>
          <w:sz w:val="20"/>
          <w:szCs w:val="28"/>
          <w:lang w:val="en-US"/>
        </w:rPr>
        <w:t xml:space="preserve">The confirmation of the possibility of MA transmutation and the study of the behavior of nuclear fuel containing MA was implemented in a number of experiments at the French reactor </w:t>
      </w:r>
      <w:proofErr w:type="spellStart"/>
      <w:r w:rsidR="00004C23" w:rsidRPr="00004C23">
        <w:rPr>
          <w:rFonts w:ascii="Times New Roman" w:hAnsi="Times New Roman" w:cs="Times New Roman"/>
          <w:sz w:val="20"/>
          <w:szCs w:val="28"/>
          <w:lang w:val="en-US"/>
        </w:rPr>
        <w:t>Phenix</w:t>
      </w:r>
      <w:proofErr w:type="spellEnd"/>
      <w:r w:rsidR="00004C23" w:rsidRPr="00004C23">
        <w:rPr>
          <w:rFonts w:ascii="Times New Roman" w:hAnsi="Times New Roman" w:cs="Times New Roman"/>
          <w:sz w:val="20"/>
          <w:szCs w:val="28"/>
          <w:lang w:val="en-US"/>
        </w:rPr>
        <w:t xml:space="preserve"> </w:t>
      </w:r>
      <w:r w:rsidR="00B67673" w:rsidRPr="00004C23">
        <w:rPr>
          <w:rFonts w:ascii="Times New Roman" w:hAnsi="Times New Roman" w:cs="Times New Roman"/>
          <w:sz w:val="20"/>
          <w:szCs w:val="28"/>
          <w:lang w:val="en-US"/>
        </w:rPr>
        <w:t>[</w:t>
      </w:r>
      <w:r w:rsidR="00004C23" w:rsidRPr="00004C23">
        <w:rPr>
          <w:rFonts w:ascii="Times New Roman" w:hAnsi="Times New Roman" w:cs="Times New Roman"/>
          <w:sz w:val="20"/>
          <w:szCs w:val="28"/>
          <w:lang w:val="en-US"/>
        </w:rPr>
        <w:t>2-6</w:t>
      </w:r>
      <w:r w:rsidR="00B67673" w:rsidRPr="00004C23">
        <w:rPr>
          <w:rFonts w:ascii="Times New Roman" w:hAnsi="Times New Roman" w:cs="Times New Roman"/>
          <w:sz w:val="20"/>
          <w:szCs w:val="28"/>
          <w:lang w:val="en-US"/>
        </w:rPr>
        <w:t xml:space="preserve">], </w:t>
      </w:r>
      <w:r w:rsidR="00004C23">
        <w:rPr>
          <w:rFonts w:ascii="Times New Roman" w:hAnsi="Times New Roman" w:cs="Times New Roman"/>
          <w:sz w:val="20"/>
          <w:szCs w:val="28"/>
          <w:lang w:val="en-US"/>
        </w:rPr>
        <w:t>t</w:t>
      </w:r>
      <w:r w:rsidR="00004C23" w:rsidRPr="00004C23">
        <w:rPr>
          <w:rFonts w:ascii="Times New Roman" w:hAnsi="Times New Roman" w:cs="Times New Roman"/>
          <w:sz w:val="20"/>
          <w:szCs w:val="28"/>
          <w:lang w:val="en-US"/>
        </w:rPr>
        <w:t>he Japanese Joyo reactor [</w:t>
      </w:r>
      <w:r w:rsidR="00E54074">
        <w:rPr>
          <w:rFonts w:ascii="Times New Roman" w:hAnsi="Times New Roman" w:cs="Times New Roman"/>
          <w:sz w:val="20"/>
          <w:szCs w:val="28"/>
          <w:lang w:val="en-US"/>
        </w:rPr>
        <w:t>7</w:t>
      </w:r>
      <w:r w:rsidR="00004C23" w:rsidRPr="00004C23">
        <w:rPr>
          <w:rFonts w:ascii="Times New Roman" w:hAnsi="Times New Roman" w:cs="Times New Roman"/>
          <w:sz w:val="20"/>
          <w:szCs w:val="28"/>
          <w:lang w:val="en-US"/>
        </w:rPr>
        <w:t>], the Russian BOR-60 reactor [</w:t>
      </w:r>
      <w:r w:rsidR="00E54074">
        <w:rPr>
          <w:rFonts w:ascii="Times New Roman" w:hAnsi="Times New Roman" w:cs="Times New Roman"/>
          <w:sz w:val="20"/>
          <w:szCs w:val="28"/>
          <w:lang w:val="en-US"/>
        </w:rPr>
        <w:t>8, 9</w:t>
      </w:r>
      <w:r w:rsidR="00004C23" w:rsidRPr="00004C23">
        <w:rPr>
          <w:rFonts w:ascii="Times New Roman" w:hAnsi="Times New Roman" w:cs="Times New Roman"/>
          <w:sz w:val="20"/>
          <w:szCs w:val="28"/>
          <w:lang w:val="en-US"/>
        </w:rPr>
        <w:t>], and at the US reactor EBR-II [</w:t>
      </w:r>
      <w:r w:rsidR="0070479E">
        <w:rPr>
          <w:rFonts w:ascii="Times New Roman" w:hAnsi="Times New Roman" w:cs="Times New Roman"/>
          <w:sz w:val="20"/>
          <w:szCs w:val="28"/>
          <w:lang w:val="en-US"/>
        </w:rPr>
        <w:t>10</w:t>
      </w:r>
      <w:r w:rsidR="00004C23" w:rsidRPr="00004C23">
        <w:rPr>
          <w:rFonts w:ascii="Times New Roman" w:hAnsi="Times New Roman" w:cs="Times New Roman"/>
          <w:sz w:val="20"/>
          <w:szCs w:val="28"/>
          <w:lang w:val="en-US"/>
        </w:rPr>
        <w:t>].</w:t>
      </w:r>
    </w:p>
    <w:p w:rsidR="00E45446" w:rsidRPr="004A0B51" w:rsidRDefault="00E45446" w:rsidP="00E45446">
      <w:pPr>
        <w:spacing w:before="120" w:after="0" w:line="260" w:lineRule="atLeast"/>
        <w:contextualSpacing/>
        <w:jc w:val="both"/>
        <w:rPr>
          <w:rFonts w:ascii="Times New Roman" w:hAnsi="Times New Roman" w:cs="Times New Roman"/>
          <w:sz w:val="20"/>
          <w:szCs w:val="28"/>
          <w:lang w:val="en-US"/>
        </w:rPr>
      </w:pPr>
      <w:r w:rsidRPr="00004C23">
        <w:rPr>
          <w:rFonts w:ascii="Times New Roman" w:hAnsi="Times New Roman" w:cs="Times New Roman"/>
          <w:sz w:val="20"/>
          <w:szCs w:val="28"/>
          <w:lang w:val="en-US"/>
        </w:rPr>
        <w:tab/>
      </w:r>
      <w:r w:rsidR="004A0B51" w:rsidRPr="004A0B51">
        <w:rPr>
          <w:rFonts w:ascii="Times New Roman" w:hAnsi="Times New Roman" w:cs="Times New Roman"/>
          <w:sz w:val="20"/>
          <w:szCs w:val="28"/>
          <w:lang w:val="en-US"/>
        </w:rPr>
        <w:t xml:space="preserve">However, the loss of energy by neutrons on the nuclei of structural materials and the coolant leads to the fact that the bulk of MA isotopes is converted to isotopes of heavier elements or to Pu isotopes. </w:t>
      </w:r>
      <w:r w:rsidR="004A0B51">
        <w:rPr>
          <w:rFonts w:ascii="Times New Roman" w:hAnsi="Times New Roman" w:cs="Times New Roman"/>
          <w:sz w:val="20"/>
          <w:szCs w:val="28"/>
          <w:lang w:val="en-US"/>
        </w:rPr>
        <w:t>According to the study [1</w:t>
      </w:r>
      <w:r w:rsidR="004A0B51" w:rsidRPr="004A0B51">
        <w:rPr>
          <w:rFonts w:ascii="Times New Roman" w:hAnsi="Times New Roman" w:cs="Times New Roman"/>
          <w:sz w:val="20"/>
          <w:szCs w:val="28"/>
          <w:lang w:val="en-US"/>
        </w:rPr>
        <w:t xml:space="preserve">1], even if Am is used as a fuel isotope, only 60% of the transmuted nuclei will pass into fission products, and the remaining 40% into the nuclei of other actinides, mainly </w:t>
      </w:r>
      <w:r w:rsidR="004A0B51" w:rsidRPr="003265F5">
        <w:rPr>
          <w:rFonts w:ascii="Times New Roman" w:hAnsi="Times New Roman" w:cs="Times New Roman"/>
          <w:sz w:val="20"/>
          <w:szCs w:val="28"/>
          <w:vertAlign w:val="superscript"/>
          <w:lang w:val="en-US"/>
        </w:rPr>
        <w:t>238</w:t>
      </w:r>
      <w:r w:rsidR="004A0B51" w:rsidRPr="004A0B51">
        <w:rPr>
          <w:rFonts w:ascii="Times New Roman" w:hAnsi="Times New Roman" w:cs="Times New Roman"/>
          <w:sz w:val="20"/>
          <w:szCs w:val="28"/>
          <w:lang w:val="en-US"/>
        </w:rPr>
        <w:t xml:space="preserve">Pu and </w:t>
      </w:r>
      <w:r w:rsidR="004A0B51" w:rsidRPr="003265F5">
        <w:rPr>
          <w:rFonts w:ascii="Times New Roman" w:hAnsi="Times New Roman" w:cs="Times New Roman"/>
          <w:sz w:val="20"/>
          <w:szCs w:val="28"/>
          <w:vertAlign w:val="superscript"/>
          <w:lang w:val="en-US"/>
        </w:rPr>
        <w:t>240</w:t>
      </w:r>
      <w:r w:rsidR="004A0B51" w:rsidRPr="004A0B51">
        <w:rPr>
          <w:rFonts w:ascii="Times New Roman" w:hAnsi="Times New Roman" w:cs="Times New Roman"/>
          <w:sz w:val="20"/>
          <w:szCs w:val="28"/>
          <w:lang w:val="en-US"/>
        </w:rPr>
        <w:t>Pu</w:t>
      </w:r>
      <w:r w:rsidR="00DE5073">
        <w:rPr>
          <w:rFonts w:ascii="Times New Roman" w:hAnsi="Times New Roman" w:cs="Times New Roman"/>
          <w:sz w:val="20"/>
          <w:szCs w:val="28"/>
          <w:lang w:val="en-US"/>
        </w:rPr>
        <w:t>.</w:t>
      </w:r>
    </w:p>
    <w:p w:rsidR="00D233E6" w:rsidRPr="003265F5" w:rsidRDefault="00D233E6" w:rsidP="00E45446">
      <w:pPr>
        <w:spacing w:before="120" w:after="0" w:line="260" w:lineRule="atLeast"/>
        <w:contextualSpacing/>
        <w:jc w:val="both"/>
        <w:rPr>
          <w:rFonts w:ascii="Times New Roman" w:hAnsi="Times New Roman" w:cs="Times New Roman"/>
          <w:sz w:val="20"/>
          <w:szCs w:val="28"/>
          <w:lang w:val="en-US"/>
        </w:rPr>
      </w:pPr>
      <w:r w:rsidRPr="004A0B51">
        <w:rPr>
          <w:rFonts w:ascii="Times New Roman" w:hAnsi="Times New Roman" w:cs="Times New Roman"/>
          <w:sz w:val="20"/>
          <w:szCs w:val="28"/>
          <w:lang w:val="en-US"/>
        </w:rPr>
        <w:tab/>
      </w:r>
      <w:r w:rsidR="003265F5" w:rsidRPr="003265F5">
        <w:rPr>
          <w:rFonts w:ascii="Times New Roman" w:hAnsi="Times New Roman" w:cs="Times New Roman"/>
          <w:sz w:val="20"/>
          <w:szCs w:val="28"/>
          <w:lang w:val="en-US"/>
        </w:rPr>
        <w:t>Lead-cooled fast reactors are considered safer technology. Lead coolant has a higher boiling point than sodium, and is also inert when interacting with water and air. The use of nitride fuel is due to its high density, thermal conductivity and lower content of light elements that scatter neutrons. The high density of the nitride-based fuel (~ 1.4 times higher than the oxide fuel) contributes to an increase in the breeding ratio in the core and makes it possible to achieve a low value of the initial reactivity margin.</w:t>
      </w:r>
    </w:p>
    <w:p w:rsidR="00D70DC7" w:rsidRPr="003265F5" w:rsidRDefault="00D70DC7" w:rsidP="003265F5">
      <w:pPr>
        <w:spacing w:before="120" w:after="0" w:line="260" w:lineRule="atLeast"/>
        <w:contextualSpacing/>
        <w:jc w:val="both"/>
        <w:rPr>
          <w:rFonts w:ascii="Times New Roman" w:hAnsi="Times New Roman" w:cs="Times New Roman"/>
          <w:sz w:val="20"/>
          <w:szCs w:val="28"/>
          <w:lang w:val="en-US"/>
        </w:rPr>
      </w:pPr>
      <w:r w:rsidRPr="003265F5">
        <w:rPr>
          <w:rFonts w:ascii="Times New Roman" w:hAnsi="Times New Roman" w:cs="Times New Roman"/>
          <w:sz w:val="20"/>
          <w:szCs w:val="28"/>
          <w:lang w:val="en-US"/>
        </w:rPr>
        <w:tab/>
      </w:r>
      <w:r w:rsidR="003265F5" w:rsidRPr="003265F5">
        <w:rPr>
          <w:rFonts w:ascii="Times New Roman" w:hAnsi="Times New Roman" w:cs="Times New Roman"/>
          <w:sz w:val="20"/>
          <w:szCs w:val="28"/>
          <w:lang w:val="en-US"/>
        </w:rPr>
        <w:t xml:space="preserve">According to computational studies, </w:t>
      </w:r>
      <w:r w:rsidR="00C85D6B" w:rsidRPr="00C85D6B">
        <w:rPr>
          <w:rFonts w:ascii="Times New Roman" w:hAnsi="Times New Roman" w:cs="Times New Roman"/>
          <w:sz w:val="20"/>
          <w:szCs w:val="28"/>
          <w:lang w:val="en-US"/>
        </w:rPr>
        <w:t>a 1200 MW(e) lead-cooled fast reactor</w:t>
      </w:r>
      <w:r w:rsidR="003265F5" w:rsidRPr="00C85D6B">
        <w:rPr>
          <w:rFonts w:ascii="Times New Roman" w:hAnsi="Times New Roman" w:cs="Times New Roman"/>
          <w:sz w:val="20"/>
          <w:szCs w:val="28"/>
          <w:lang w:val="en-US"/>
        </w:rPr>
        <w:t xml:space="preserve"> </w:t>
      </w:r>
      <w:r w:rsidR="003265F5" w:rsidRPr="003265F5">
        <w:rPr>
          <w:rFonts w:ascii="Times New Roman" w:hAnsi="Times New Roman" w:cs="Times New Roman"/>
          <w:sz w:val="20"/>
          <w:szCs w:val="28"/>
          <w:lang w:val="en-US"/>
        </w:rPr>
        <w:t xml:space="preserve">is capable </w:t>
      </w:r>
      <w:r w:rsidR="00C85D6B">
        <w:rPr>
          <w:rFonts w:ascii="Times New Roman" w:hAnsi="Times New Roman" w:cs="Times New Roman"/>
          <w:sz w:val="20"/>
          <w:szCs w:val="28"/>
          <w:lang w:val="en-US"/>
        </w:rPr>
        <w:t>to</w:t>
      </w:r>
      <w:r w:rsidR="003265F5" w:rsidRPr="003265F5">
        <w:rPr>
          <w:rFonts w:ascii="Times New Roman" w:hAnsi="Times New Roman" w:cs="Times New Roman"/>
          <w:sz w:val="20"/>
          <w:szCs w:val="28"/>
          <w:lang w:val="en-US"/>
        </w:rPr>
        <w:t xml:space="preserve"> transmut</w:t>
      </w:r>
      <w:r w:rsidR="00C85D6B">
        <w:rPr>
          <w:rFonts w:ascii="Times New Roman" w:hAnsi="Times New Roman" w:cs="Times New Roman"/>
          <w:sz w:val="20"/>
          <w:szCs w:val="28"/>
          <w:lang w:val="en-US"/>
        </w:rPr>
        <w:t>e</w:t>
      </w:r>
      <w:r w:rsidR="003265F5" w:rsidRPr="003265F5">
        <w:rPr>
          <w:rFonts w:ascii="Times New Roman" w:hAnsi="Times New Roman" w:cs="Times New Roman"/>
          <w:sz w:val="20"/>
          <w:szCs w:val="28"/>
          <w:lang w:val="en-US"/>
        </w:rPr>
        <w:t xml:space="preserve"> about 1.5 t of Am and Np during its operational life-time, which is equivalent the amount of MA generated during the operational life-time of one VVER [12]. But, despite the harder spectrum in reactors with a lead coolant than in sodium reactors, the mechanism of MA transmutation is similar - the main part of MA passes into heavier nuclides or Pu isotopes.</w:t>
      </w:r>
    </w:p>
    <w:p w:rsidR="00D560A3" w:rsidRPr="000A3E15" w:rsidRDefault="00D560A3" w:rsidP="003265F5">
      <w:pPr>
        <w:spacing w:before="120" w:after="0" w:line="260" w:lineRule="atLeast"/>
        <w:contextualSpacing/>
        <w:jc w:val="both"/>
        <w:rPr>
          <w:rFonts w:ascii="Times New Roman" w:hAnsi="Times New Roman" w:cs="Times New Roman"/>
          <w:sz w:val="20"/>
          <w:szCs w:val="28"/>
          <w:lang w:val="en-US"/>
        </w:rPr>
      </w:pPr>
      <w:r w:rsidRPr="003265F5">
        <w:rPr>
          <w:rFonts w:ascii="Times New Roman" w:hAnsi="Times New Roman" w:cs="Times New Roman"/>
          <w:sz w:val="20"/>
          <w:szCs w:val="28"/>
          <w:lang w:val="en-US"/>
        </w:rPr>
        <w:tab/>
      </w:r>
      <w:r w:rsidR="003265F5" w:rsidRPr="000A3E15">
        <w:rPr>
          <w:rFonts w:ascii="Times New Roman" w:hAnsi="Times New Roman" w:cs="Times New Roman"/>
          <w:sz w:val="20"/>
          <w:szCs w:val="28"/>
          <w:lang w:val="en-US"/>
        </w:rPr>
        <w:t>Molten salt reactors, depending on the type of fuel salt, make it possible to achieve a significant initial loading of MA without significant damage to safety characteristics, as well as to use MA as fuel isotopes without feeding with fissile isotopes of U or Pu and, as a consequence, provide a high rate of MA transmutation. However, the neutron spectrum, close to the spectrum of fast solid fuel reactors, leads to the fact that only 30% of the Np and Am isotopes go directly to fission products, and the rest into Pu and Cm isotopes [</w:t>
      </w:r>
      <w:r w:rsidR="000A3E15">
        <w:rPr>
          <w:rFonts w:ascii="Times New Roman" w:hAnsi="Times New Roman" w:cs="Times New Roman"/>
          <w:sz w:val="20"/>
          <w:szCs w:val="28"/>
          <w:lang w:val="en-US"/>
        </w:rPr>
        <w:t>13</w:t>
      </w:r>
      <w:r w:rsidR="003265F5" w:rsidRPr="000A3E15">
        <w:rPr>
          <w:rFonts w:ascii="Times New Roman" w:hAnsi="Times New Roman" w:cs="Times New Roman"/>
          <w:sz w:val="20"/>
          <w:szCs w:val="28"/>
          <w:lang w:val="en-US"/>
        </w:rPr>
        <w:t>].</w:t>
      </w:r>
    </w:p>
    <w:p w:rsidR="00097706" w:rsidRPr="000A3E15" w:rsidRDefault="00097706" w:rsidP="00E45446">
      <w:pPr>
        <w:spacing w:before="120" w:after="0" w:line="260" w:lineRule="atLeast"/>
        <w:contextualSpacing/>
        <w:jc w:val="both"/>
        <w:rPr>
          <w:rFonts w:ascii="Times New Roman" w:hAnsi="Times New Roman" w:cs="Times New Roman"/>
          <w:sz w:val="20"/>
          <w:szCs w:val="28"/>
          <w:lang w:val="en-US"/>
        </w:rPr>
      </w:pPr>
      <w:r w:rsidRPr="000A3E15">
        <w:rPr>
          <w:rFonts w:ascii="Times New Roman" w:hAnsi="Times New Roman" w:cs="Times New Roman"/>
          <w:sz w:val="20"/>
          <w:szCs w:val="28"/>
          <w:lang w:val="en-US"/>
        </w:rPr>
        <w:tab/>
      </w:r>
      <w:r w:rsidR="000A3E15" w:rsidRPr="000A3E15">
        <w:rPr>
          <w:rFonts w:ascii="Times New Roman" w:hAnsi="Times New Roman" w:cs="Times New Roman"/>
          <w:sz w:val="20"/>
          <w:szCs w:val="28"/>
          <w:lang w:val="en-US"/>
        </w:rPr>
        <w:t>Fission-fusion hybrid reactors potentially have a number of advantages over critical fission reactors [</w:t>
      </w:r>
      <w:r w:rsidR="000A3E15">
        <w:rPr>
          <w:rFonts w:ascii="Times New Roman" w:hAnsi="Times New Roman" w:cs="Times New Roman"/>
          <w:sz w:val="20"/>
          <w:szCs w:val="28"/>
          <w:lang w:val="en-US"/>
        </w:rPr>
        <w:t>14</w:t>
      </w:r>
      <w:r w:rsidR="000A3E15" w:rsidRPr="000A3E15">
        <w:rPr>
          <w:rFonts w:ascii="Times New Roman" w:hAnsi="Times New Roman" w:cs="Times New Roman"/>
          <w:sz w:val="20"/>
          <w:szCs w:val="28"/>
          <w:lang w:val="en-US"/>
        </w:rPr>
        <w:t>]</w:t>
      </w:r>
      <w:r w:rsidRPr="000A3E15">
        <w:rPr>
          <w:rFonts w:ascii="Times New Roman" w:hAnsi="Times New Roman" w:cs="Times New Roman"/>
          <w:sz w:val="20"/>
          <w:szCs w:val="28"/>
          <w:lang w:val="en-US"/>
        </w:rPr>
        <w:t>:</w:t>
      </w:r>
    </w:p>
    <w:p w:rsidR="00097706" w:rsidRPr="000A3E15" w:rsidRDefault="000A3E15" w:rsidP="000A3E15">
      <w:pPr>
        <w:pStyle w:val="a4"/>
        <w:numPr>
          <w:ilvl w:val="0"/>
          <w:numId w:val="12"/>
        </w:numPr>
        <w:spacing w:before="120" w:after="0" w:line="260" w:lineRule="atLeast"/>
        <w:jc w:val="both"/>
        <w:rPr>
          <w:rFonts w:ascii="Times New Roman" w:hAnsi="Times New Roman" w:cs="Times New Roman"/>
          <w:sz w:val="20"/>
          <w:szCs w:val="28"/>
          <w:lang w:val="en-US"/>
        </w:rPr>
      </w:pPr>
      <w:r w:rsidRPr="000A3E15">
        <w:rPr>
          <w:rFonts w:ascii="Times New Roman" w:hAnsi="Times New Roman" w:cs="Times New Roman"/>
          <w:sz w:val="20"/>
          <w:szCs w:val="28"/>
          <w:lang w:val="en-US"/>
        </w:rPr>
        <w:t xml:space="preserve">deep </w:t>
      </w:r>
      <w:proofErr w:type="spellStart"/>
      <w:r w:rsidRPr="000A3E15">
        <w:rPr>
          <w:rFonts w:ascii="Times New Roman" w:hAnsi="Times New Roman" w:cs="Times New Roman"/>
          <w:sz w:val="20"/>
          <w:szCs w:val="28"/>
          <w:lang w:val="en-US"/>
        </w:rPr>
        <w:t>subcriticality</w:t>
      </w:r>
      <w:proofErr w:type="spellEnd"/>
      <w:r w:rsidRPr="000A3E15">
        <w:rPr>
          <w:rFonts w:ascii="Times New Roman" w:hAnsi="Times New Roman" w:cs="Times New Roman"/>
          <w:sz w:val="20"/>
          <w:szCs w:val="28"/>
          <w:lang w:val="en-US"/>
        </w:rPr>
        <w:t xml:space="preserve"> of the </w:t>
      </w:r>
      <w:r>
        <w:rPr>
          <w:rFonts w:ascii="Times New Roman" w:hAnsi="Times New Roman" w:cs="Times New Roman"/>
          <w:sz w:val="20"/>
          <w:szCs w:val="28"/>
          <w:lang w:val="en-US"/>
        </w:rPr>
        <w:t>FFHR</w:t>
      </w:r>
      <w:r w:rsidRPr="000A3E15">
        <w:rPr>
          <w:rFonts w:ascii="Times New Roman" w:hAnsi="Times New Roman" w:cs="Times New Roman"/>
          <w:sz w:val="20"/>
          <w:szCs w:val="28"/>
          <w:lang w:val="en-US"/>
        </w:rPr>
        <w:t xml:space="preserve"> fission zone - this excludes accidents associated with uncontrolled acceleration on prompt neutrons</w:t>
      </w:r>
      <w:r w:rsidR="00097706" w:rsidRPr="000A3E15">
        <w:rPr>
          <w:rFonts w:ascii="Times New Roman" w:hAnsi="Times New Roman" w:cs="Times New Roman"/>
          <w:sz w:val="20"/>
          <w:szCs w:val="28"/>
          <w:lang w:val="en-US"/>
        </w:rPr>
        <w:t>;</w:t>
      </w:r>
    </w:p>
    <w:p w:rsidR="00097706" w:rsidRPr="000A3E15" w:rsidRDefault="000A3E15" w:rsidP="000A3E15">
      <w:pPr>
        <w:pStyle w:val="a4"/>
        <w:numPr>
          <w:ilvl w:val="0"/>
          <w:numId w:val="12"/>
        </w:numPr>
        <w:spacing w:before="120" w:after="0" w:line="260" w:lineRule="atLeast"/>
        <w:jc w:val="both"/>
        <w:rPr>
          <w:rFonts w:ascii="Times New Roman" w:hAnsi="Times New Roman" w:cs="Times New Roman"/>
          <w:sz w:val="20"/>
          <w:szCs w:val="28"/>
          <w:lang w:val="en-US"/>
        </w:rPr>
      </w:pPr>
      <w:r w:rsidRPr="000A3E15">
        <w:rPr>
          <w:rFonts w:ascii="Times New Roman" w:hAnsi="Times New Roman" w:cs="Times New Roman"/>
          <w:sz w:val="20"/>
          <w:szCs w:val="28"/>
          <w:lang w:val="en-US"/>
        </w:rPr>
        <w:t xml:space="preserve">control of the FFHR power by changing the power of the </w:t>
      </w:r>
      <w:r w:rsidR="00395AEA">
        <w:rPr>
          <w:rFonts w:ascii="Times New Roman" w:hAnsi="Times New Roman" w:cs="Times New Roman"/>
          <w:sz w:val="20"/>
          <w:szCs w:val="28"/>
          <w:lang w:val="en-US"/>
        </w:rPr>
        <w:t>fusion</w:t>
      </w:r>
      <w:r w:rsidRPr="000A3E15">
        <w:rPr>
          <w:rFonts w:ascii="Times New Roman" w:hAnsi="Times New Roman" w:cs="Times New Roman"/>
          <w:sz w:val="20"/>
          <w:szCs w:val="28"/>
          <w:lang w:val="en-US"/>
        </w:rPr>
        <w:t xml:space="preserve"> neutron source</w:t>
      </w:r>
      <w:r w:rsidR="00097706" w:rsidRPr="000A3E15">
        <w:rPr>
          <w:rFonts w:ascii="Times New Roman" w:hAnsi="Times New Roman" w:cs="Times New Roman"/>
          <w:sz w:val="20"/>
          <w:szCs w:val="28"/>
          <w:lang w:val="en-US"/>
        </w:rPr>
        <w:t>;</w:t>
      </w:r>
    </w:p>
    <w:p w:rsidR="00097706" w:rsidRPr="000A3E15" w:rsidRDefault="000A3E15" w:rsidP="000A3E15">
      <w:pPr>
        <w:pStyle w:val="a4"/>
        <w:numPr>
          <w:ilvl w:val="0"/>
          <w:numId w:val="12"/>
        </w:numPr>
        <w:spacing w:before="120" w:after="0" w:line="260" w:lineRule="atLeast"/>
        <w:jc w:val="both"/>
        <w:rPr>
          <w:rFonts w:ascii="Times New Roman" w:hAnsi="Times New Roman" w:cs="Times New Roman"/>
          <w:sz w:val="20"/>
          <w:szCs w:val="28"/>
          <w:lang w:val="en-US"/>
        </w:rPr>
      </w:pPr>
      <w:r w:rsidRPr="000A3E15">
        <w:rPr>
          <w:rFonts w:ascii="Times New Roman" w:hAnsi="Times New Roman" w:cs="Times New Roman"/>
          <w:sz w:val="20"/>
          <w:szCs w:val="28"/>
          <w:lang w:val="en-US"/>
        </w:rPr>
        <w:t xml:space="preserve">high energy of </w:t>
      </w:r>
      <w:r w:rsidR="00395AEA">
        <w:rPr>
          <w:rFonts w:ascii="Times New Roman" w:hAnsi="Times New Roman" w:cs="Times New Roman"/>
          <w:sz w:val="20"/>
          <w:szCs w:val="28"/>
          <w:lang w:val="en-US"/>
        </w:rPr>
        <w:t>fusion</w:t>
      </w:r>
      <w:r w:rsidRPr="000A3E15">
        <w:rPr>
          <w:rFonts w:ascii="Times New Roman" w:hAnsi="Times New Roman" w:cs="Times New Roman"/>
          <w:sz w:val="20"/>
          <w:szCs w:val="28"/>
          <w:lang w:val="en-US"/>
        </w:rPr>
        <w:t xml:space="preserve"> neutrons and the ability to provide a high neutron flux density</w:t>
      </w:r>
      <w:r w:rsidR="00097706" w:rsidRPr="000A3E15">
        <w:rPr>
          <w:rFonts w:ascii="Times New Roman" w:hAnsi="Times New Roman" w:cs="Times New Roman"/>
          <w:sz w:val="20"/>
          <w:szCs w:val="28"/>
          <w:lang w:val="en-US"/>
        </w:rPr>
        <w:t>;</w:t>
      </w:r>
    </w:p>
    <w:p w:rsidR="00097706" w:rsidRPr="000A3E15" w:rsidRDefault="000A3E15" w:rsidP="000A3E15">
      <w:pPr>
        <w:pStyle w:val="a4"/>
        <w:numPr>
          <w:ilvl w:val="0"/>
          <w:numId w:val="12"/>
        </w:numPr>
        <w:spacing w:before="120" w:after="0" w:line="260" w:lineRule="atLeast"/>
        <w:jc w:val="both"/>
        <w:rPr>
          <w:rFonts w:ascii="Times New Roman" w:hAnsi="Times New Roman" w:cs="Times New Roman"/>
          <w:sz w:val="20"/>
          <w:szCs w:val="28"/>
          <w:lang w:val="en-US"/>
        </w:rPr>
      </w:pPr>
      <w:r w:rsidRPr="000A3E15">
        <w:rPr>
          <w:rFonts w:ascii="Times New Roman" w:hAnsi="Times New Roman" w:cs="Times New Roman"/>
          <w:sz w:val="20"/>
          <w:szCs w:val="28"/>
          <w:lang w:val="en-US"/>
        </w:rPr>
        <w:t xml:space="preserve">insignificant effect on the physical characteristics of the FFHR of the inclusion of MA in the blanket material, which makes it possible to achieve a high content of </w:t>
      </w:r>
      <w:proofErr w:type="spellStart"/>
      <w:r w:rsidRPr="000A3E15">
        <w:rPr>
          <w:rFonts w:ascii="Times New Roman" w:hAnsi="Times New Roman" w:cs="Times New Roman"/>
          <w:sz w:val="20"/>
          <w:szCs w:val="28"/>
          <w:lang w:val="en-US"/>
        </w:rPr>
        <w:t>transplutonium</w:t>
      </w:r>
      <w:proofErr w:type="spellEnd"/>
      <w:r w:rsidRPr="000A3E15">
        <w:rPr>
          <w:rFonts w:ascii="Times New Roman" w:hAnsi="Times New Roman" w:cs="Times New Roman"/>
          <w:sz w:val="20"/>
          <w:szCs w:val="28"/>
          <w:lang w:val="en-US"/>
        </w:rPr>
        <w:t xml:space="preserve"> elements without compromising the safety of the reactor</w:t>
      </w:r>
      <w:r w:rsidR="00097706" w:rsidRPr="000A3E15">
        <w:rPr>
          <w:rFonts w:ascii="Times New Roman" w:hAnsi="Times New Roman" w:cs="Times New Roman"/>
          <w:sz w:val="20"/>
          <w:szCs w:val="28"/>
          <w:lang w:val="en-US"/>
        </w:rPr>
        <w:t>;</w:t>
      </w:r>
    </w:p>
    <w:p w:rsidR="00097706" w:rsidRPr="00DF6E3D" w:rsidRDefault="00DF6E3D" w:rsidP="00DF6E3D">
      <w:pPr>
        <w:pStyle w:val="a4"/>
        <w:numPr>
          <w:ilvl w:val="0"/>
          <w:numId w:val="12"/>
        </w:numPr>
        <w:spacing w:before="120" w:after="0" w:line="260" w:lineRule="atLeast"/>
        <w:jc w:val="both"/>
        <w:rPr>
          <w:rFonts w:ascii="Times New Roman" w:hAnsi="Times New Roman" w:cs="Times New Roman"/>
          <w:sz w:val="20"/>
          <w:szCs w:val="28"/>
          <w:lang w:val="en-US"/>
        </w:rPr>
      </w:pPr>
      <w:r w:rsidRPr="00DF6E3D">
        <w:rPr>
          <w:rFonts w:ascii="Times New Roman" w:hAnsi="Times New Roman" w:cs="Times New Roman"/>
          <w:sz w:val="20"/>
          <w:szCs w:val="28"/>
          <w:lang w:val="en-US"/>
        </w:rPr>
        <w:t>the possibility of achieving high burn-up</w:t>
      </w:r>
      <w:r w:rsidR="00097706" w:rsidRPr="00DF6E3D">
        <w:rPr>
          <w:rFonts w:ascii="Times New Roman" w:hAnsi="Times New Roman" w:cs="Times New Roman"/>
          <w:sz w:val="20"/>
          <w:szCs w:val="28"/>
          <w:lang w:val="en-US"/>
        </w:rPr>
        <w:t>.</w:t>
      </w:r>
    </w:p>
    <w:p w:rsidR="00097706" w:rsidRPr="00DF6E3D" w:rsidRDefault="007B4EBE" w:rsidP="007B4EBE">
      <w:pPr>
        <w:spacing w:before="120" w:after="0" w:line="260" w:lineRule="atLeast"/>
        <w:contextualSpacing/>
        <w:jc w:val="both"/>
        <w:rPr>
          <w:rFonts w:ascii="Times New Roman" w:hAnsi="Times New Roman" w:cs="Times New Roman"/>
          <w:sz w:val="20"/>
          <w:szCs w:val="28"/>
          <w:lang w:val="en-US"/>
        </w:rPr>
      </w:pPr>
      <w:r w:rsidRPr="00DF6E3D">
        <w:rPr>
          <w:rFonts w:ascii="Times New Roman" w:hAnsi="Times New Roman" w:cs="Times New Roman"/>
          <w:sz w:val="20"/>
          <w:szCs w:val="28"/>
          <w:lang w:val="en-US"/>
        </w:rPr>
        <w:tab/>
      </w:r>
      <w:r w:rsidR="00395AEA">
        <w:rPr>
          <w:rFonts w:ascii="Times New Roman" w:hAnsi="Times New Roman" w:cs="Times New Roman"/>
          <w:sz w:val="20"/>
          <w:szCs w:val="28"/>
          <w:lang w:val="en-US"/>
        </w:rPr>
        <w:t>C</w:t>
      </w:r>
      <w:r w:rsidR="00DF6E3D" w:rsidRPr="00DF6E3D">
        <w:rPr>
          <w:rFonts w:ascii="Times New Roman" w:hAnsi="Times New Roman" w:cs="Times New Roman"/>
          <w:sz w:val="20"/>
          <w:szCs w:val="28"/>
          <w:lang w:val="en-US"/>
        </w:rPr>
        <w:t>alculation study [</w:t>
      </w:r>
      <w:r w:rsidR="00DF6E3D">
        <w:rPr>
          <w:rFonts w:ascii="Times New Roman" w:hAnsi="Times New Roman" w:cs="Times New Roman"/>
          <w:sz w:val="20"/>
          <w:szCs w:val="28"/>
          <w:lang w:val="en-US"/>
        </w:rPr>
        <w:t>15</w:t>
      </w:r>
      <w:r w:rsidR="00DF6E3D" w:rsidRPr="00DF6E3D">
        <w:rPr>
          <w:rFonts w:ascii="Times New Roman" w:hAnsi="Times New Roman" w:cs="Times New Roman"/>
          <w:sz w:val="20"/>
          <w:szCs w:val="28"/>
          <w:lang w:val="en-US"/>
        </w:rPr>
        <w:t xml:space="preserve">] was shown that in a </w:t>
      </w:r>
      <w:r w:rsidR="00395AEA">
        <w:rPr>
          <w:rFonts w:ascii="Times New Roman" w:hAnsi="Times New Roman" w:cs="Times New Roman"/>
          <w:sz w:val="20"/>
          <w:szCs w:val="28"/>
          <w:lang w:val="en-US"/>
        </w:rPr>
        <w:t>FFHR</w:t>
      </w:r>
      <w:r w:rsidR="00DF6E3D" w:rsidRPr="00DF6E3D">
        <w:rPr>
          <w:rFonts w:ascii="Times New Roman" w:hAnsi="Times New Roman" w:cs="Times New Roman"/>
          <w:sz w:val="20"/>
          <w:szCs w:val="28"/>
          <w:lang w:val="en-US"/>
        </w:rPr>
        <w:t xml:space="preserve"> based on a tokamak technology possible to achieve very high rates of MA transmutation - up to 1170 kg / year depending on the initial loading of MA into the subcritical blanket. Although the average neutron energy in the subcritical blanket was quite high (3-3.5 MeV), only 40% of them have energies above 1 MeV, for which the fission cross section of the main MA isotopes is much higher than the radiative capture cross section. This is related to the accu</w:t>
      </w:r>
      <w:r w:rsidR="00DF6E3D">
        <w:rPr>
          <w:rFonts w:ascii="Times New Roman" w:hAnsi="Times New Roman" w:cs="Times New Roman"/>
          <w:sz w:val="20"/>
          <w:szCs w:val="28"/>
          <w:lang w:val="en-US"/>
        </w:rPr>
        <w:t>mulation of Pu isotopes (mainly</w:t>
      </w:r>
      <w:r w:rsidR="00DF6E3D" w:rsidRPr="00DF6E3D">
        <w:rPr>
          <w:rFonts w:ascii="Times New Roman" w:hAnsi="Times New Roman" w:cs="Times New Roman"/>
          <w:sz w:val="20"/>
          <w:szCs w:val="28"/>
          <w:lang w:val="en-US"/>
        </w:rPr>
        <w:t xml:space="preserve"> </w:t>
      </w:r>
      <w:r w:rsidR="00DF6E3D" w:rsidRPr="00DF6E3D">
        <w:rPr>
          <w:rFonts w:ascii="Times New Roman" w:hAnsi="Times New Roman" w:cs="Times New Roman"/>
          <w:sz w:val="20"/>
          <w:szCs w:val="28"/>
          <w:vertAlign w:val="superscript"/>
          <w:lang w:val="en-US"/>
        </w:rPr>
        <w:t>238</w:t>
      </w:r>
      <w:r w:rsidR="00DF6E3D" w:rsidRPr="00DF6E3D">
        <w:rPr>
          <w:rFonts w:ascii="Times New Roman" w:hAnsi="Times New Roman" w:cs="Times New Roman"/>
          <w:sz w:val="20"/>
          <w:szCs w:val="28"/>
          <w:lang w:val="en-US"/>
        </w:rPr>
        <w:t xml:space="preserve">Pu) due to the absorption of neutrons on the </w:t>
      </w:r>
      <w:r w:rsidR="00DF6E3D" w:rsidRPr="00DF6E3D">
        <w:rPr>
          <w:rFonts w:ascii="Times New Roman" w:hAnsi="Times New Roman" w:cs="Times New Roman"/>
          <w:sz w:val="20"/>
          <w:szCs w:val="28"/>
          <w:vertAlign w:val="superscript"/>
          <w:lang w:val="en-US"/>
        </w:rPr>
        <w:t>237</w:t>
      </w:r>
      <w:r w:rsidR="00DF6E3D" w:rsidRPr="00DF6E3D">
        <w:rPr>
          <w:rFonts w:ascii="Times New Roman" w:hAnsi="Times New Roman" w:cs="Times New Roman"/>
          <w:sz w:val="20"/>
          <w:szCs w:val="28"/>
          <w:lang w:val="en-US"/>
        </w:rPr>
        <w:t xml:space="preserve">Np and </w:t>
      </w:r>
      <w:r w:rsidR="00DF6E3D" w:rsidRPr="00DF6E3D">
        <w:rPr>
          <w:rFonts w:ascii="Times New Roman" w:hAnsi="Times New Roman" w:cs="Times New Roman"/>
          <w:sz w:val="20"/>
          <w:szCs w:val="28"/>
          <w:vertAlign w:val="superscript"/>
          <w:lang w:val="en-US"/>
        </w:rPr>
        <w:t>241</w:t>
      </w:r>
      <w:r w:rsidR="00DF6E3D" w:rsidRPr="00DF6E3D">
        <w:rPr>
          <w:rFonts w:ascii="Times New Roman" w:hAnsi="Times New Roman" w:cs="Times New Roman"/>
          <w:sz w:val="20"/>
          <w:szCs w:val="28"/>
          <w:lang w:val="en-US"/>
        </w:rPr>
        <w:t>Am isotopes, and the accumulation of Cm isotopes.</w:t>
      </w:r>
    </w:p>
    <w:p w:rsidR="005D555D" w:rsidRPr="00DF6E3D" w:rsidRDefault="007B4EBE" w:rsidP="007B4EBE">
      <w:pPr>
        <w:spacing w:before="120" w:after="0" w:line="260" w:lineRule="atLeast"/>
        <w:contextualSpacing/>
        <w:jc w:val="both"/>
        <w:rPr>
          <w:rFonts w:ascii="Times New Roman" w:hAnsi="Times New Roman" w:cs="Times New Roman"/>
          <w:sz w:val="20"/>
          <w:szCs w:val="28"/>
          <w:lang w:val="en-US"/>
        </w:rPr>
      </w:pPr>
      <w:r w:rsidRPr="00DF6E3D">
        <w:rPr>
          <w:rFonts w:ascii="Times New Roman" w:hAnsi="Times New Roman" w:cs="Times New Roman"/>
          <w:sz w:val="20"/>
          <w:szCs w:val="28"/>
          <w:lang w:val="en-US"/>
        </w:rPr>
        <w:tab/>
      </w:r>
      <w:r w:rsidR="00DF6E3D" w:rsidRPr="00DF6E3D">
        <w:rPr>
          <w:rFonts w:ascii="Times New Roman" w:hAnsi="Times New Roman" w:cs="Times New Roman"/>
          <w:sz w:val="20"/>
          <w:szCs w:val="28"/>
          <w:lang w:val="en-US"/>
        </w:rPr>
        <w:t xml:space="preserve">Despite the differences in the design and neutron-physical characteristics of the considered reactor systems, the main mechanism of MA transmutation remains their conversion into Pu and Cm isotopes, rather than their transformation into </w:t>
      </w:r>
      <w:r w:rsidR="00DF6E3D">
        <w:rPr>
          <w:rFonts w:ascii="Times New Roman" w:hAnsi="Times New Roman" w:cs="Times New Roman"/>
          <w:sz w:val="20"/>
          <w:szCs w:val="28"/>
          <w:lang w:val="en-US"/>
        </w:rPr>
        <w:t>FP</w:t>
      </w:r>
      <w:r w:rsidR="00DF6E3D" w:rsidRPr="00DF6E3D">
        <w:rPr>
          <w:rFonts w:ascii="Times New Roman" w:hAnsi="Times New Roman" w:cs="Times New Roman"/>
          <w:sz w:val="20"/>
          <w:szCs w:val="28"/>
          <w:lang w:val="en-US"/>
        </w:rPr>
        <w:t xml:space="preserve">. </w:t>
      </w:r>
      <w:r w:rsidR="005D555D" w:rsidRPr="00DF6E3D">
        <w:rPr>
          <w:rFonts w:ascii="Times New Roman" w:hAnsi="Times New Roman" w:cs="Times New Roman"/>
          <w:sz w:val="20"/>
          <w:szCs w:val="28"/>
          <w:lang w:val="en-US"/>
        </w:rPr>
        <w:t xml:space="preserve"> </w:t>
      </w:r>
    </w:p>
    <w:p w:rsidR="005D555D" w:rsidRPr="00D01A20" w:rsidRDefault="007B4EBE" w:rsidP="007B4EBE">
      <w:pPr>
        <w:spacing w:before="120" w:after="0" w:line="260" w:lineRule="atLeast"/>
        <w:contextualSpacing/>
        <w:jc w:val="both"/>
        <w:rPr>
          <w:rFonts w:ascii="Times New Roman" w:hAnsi="Times New Roman" w:cs="Times New Roman"/>
          <w:sz w:val="20"/>
          <w:szCs w:val="28"/>
          <w:lang w:val="en-US"/>
        </w:rPr>
      </w:pPr>
      <w:r w:rsidRPr="00DF6E3D">
        <w:rPr>
          <w:rFonts w:ascii="Times New Roman" w:hAnsi="Times New Roman" w:cs="Times New Roman"/>
          <w:sz w:val="20"/>
          <w:szCs w:val="28"/>
          <w:lang w:val="en-US"/>
        </w:rPr>
        <w:lastRenderedPageBreak/>
        <w:tab/>
      </w:r>
      <w:r w:rsidR="00D01A20" w:rsidRPr="00D01A20">
        <w:rPr>
          <w:rFonts w:ascii="Times New Roman" w:hAnsi="Times New Roman" w:cs="Times New Roman"/>
          <w:sz w:val="20"/>
          <w:szCs w:val="28"/>
          <w:lang w:val="en-US"/>
        </w:rPr>
        <w:t xml:space="preserve">A correct comparison of the technologies under consideration cannot be limited only by indicators directly related to MA transmutation. </w:t>
      </w:r>
      <w:r w:rsidR="00850034" w:rsidRPr="00850034">
        <w:rPr>
          <w:rFonts w:ascii="Times New Roman" w:hAnsi="Times New Roman" w:cs="Times New Roman"/>
          <w:sz w:val="20"/>
          <w:szCs w:val="28"/>
          <w:lang w:val="en-US"/>
        </w:rPr>
        <w:t>Fast reactors with sodium or lead coolant, MSR and FFHR has significant differences not only in the technological aspect, but also in the degree of readiness of both reactor and associated fuel technologies. Also they have differences in the main tasks within the overall nuclear power system and, as a result, differences in the required financial, time and labor resources determine the need for a comprehensive analysis.</w:t>
      </w:r>
      <w:r w:rsidR="00D01A20" w:rsidRPr="00D01A20">
        <w:rPr>
          <w:rFonts w:ascii="Times New Roman" w:hAnsi="Times New Roman" w:cs="Times New Roman"/>
          <w:sz w:val="20"/>
          <w:szCs w:val="28"/>
          <w:lang w:val="en-US"/>
        </w:rPr>
        <w:t xml:space="preserve"> Such a comparison is possible </w:t>
      </w:r>
      <w:r w:rsidR="00395AEA">
        <w:rPr>
          <w:rFonts w:ascii="Times New Roman" w:hAnsi="Times New Roman" w:cs="Times New Roman"/>
          <w:sz w:val="20"/>
          <w:szCs w:val="28"/>
          <w:lang w:val="en-US"/>
        </w:rPr>
        <w:t xml:space="preserve">by </w:t>
      </w:r>
      <w:r w:rsidR="00D01A20" w:rsidRPr="00D01A20">
        <w:rPr>
          <w:rFonts w:ascii="Times New Roman" w:hAnsi="Times New Roman" w:cs="Times New Roman"/>
          <w:sz w:val="20"/>
          <w:szCs w:val="28"/>
          <w:lang w:val="en-US"/>
        </w:rPr>
        <w:t xml:space="preserve">using </w:t>
      </w:r>
      <w:r w:rsidR="00D01A20" w:rsidRPr="00E84A3C">
        <w:rPr>
          <w:rFonts w:ascii="Times New Roman" w:hAnsi="Times New Roman" w:cs="Times New Roman"/>
          <w:sz w:val="20"/>
          <w:szCs w:val="28"/>
          <w:lang w:val="en-US"/>
        </w:rPr>
        <w:t xml:space="preserve">methods of </w:t>
      </w:r>
      <w:r w:rsidR="00275E5E" w:rsidRPr="00E84A3C">
        <w:rPr>
          <w:rFonts w:ascii="Tahoma" w:hAnsi="Tahoma" w:cs="Tahoma"/>
          <w:sz w:val="20"/>
          <w:szCs w:val="28"/>
          <w:lang w:val="en-US"/>
        </w:rPr>
        <w:t>﻿</w:t>
      </w:r>
      <w:r w:rsidR="00275E5E" w:rsidRPr="00E84A3C">
        <w:rPr>
          <w:rFonts w:ascii="Times New Roman" w:hAnsi="Times New Roman" w:cs="Times New Roman"/>
          <w:sz w:val="20"/>
          <w:szCs w:val="28"/>
          <w:lang w:val="en-US"/>
        </w:rPr>
        <w:t>multi-criteria evaluation and ranking</w:t>
      </w:r>
      <w:r w:rsidR="00D01A20" w:rsidRPr="00D01A20">
        <w:rPr>
          <w:rFonts w:ascii="Times New Roman" w:hAnsi="Times New Roman" w:cs="Times New Roman"/>
          <w:sz w:val="20"/>
          <w:szCs w:val="28"/>
          <w:lang w:val="en-US"/>
        </w:rPr>
        <w:t>.</w:t>
      </w:r>
      <w:r w:rsidRPr="00D01A20">
        <w:rPr>
          <w:rFonts w:ascii="Times New Roman" w:hAnsi="Times New Roman" w:cs="Times New Roman"/>
          <w:sz w:val="20"/>
          <w:szCs w:val="28"/>
          <w:lang w:val="en-US"/>
        </w:rPr>
        <w:t xml:space="preserve"> </w:t>
      </w:r>
    </w:p>
    <w:p w:rsidR="00E026F5" w:rsidRPr="00D01A20" w:rsidRDefault="00275E5E" w:rsidP="00275E5E">
      <w:pPr>
        <w:pStyle w:val="2"/>
        <w:numPr>
          <w:ilvl w:val="0"/>
          <w:numId w:val="10"/>
        </w:numPr>
        <w:spacing w:before="100" w:beforeAutospacing="1" w:after="100" w:afterAutospacing="1" w:line="280" w:lineRule="atLeast"/>
        <w:rPr>
          <w:rFonts w:ascii="Times New Roman" w:hAnsi="Times New Roman" w:cs="Times New Roman"/>
          <w:color w:val="000000" w:themeColor="text1"/>
          <w:sz w:val="24"/>
          <w:szCs w:val="24"/>
          <w:lang w:val="en-US"/>
        </w:rPr>
      </w:pPr>
      <w:r w:rsidRPr="00275E5E">
        <w:rPr>
          <w:rFonts w:ascii="Tahoma" w:hAnsi="Tahoma" w:cs="Tahoma"/>
          <w:color w:val="000000" w:themeColor="text1"/>
          <w:sz w:val="24"/>
          <w:szCs w:val="24"/>
          <w:lang w:val="en-US"/>
        </w:rPr>
        <w:t>﻿</w:t>
      </w:r>
      <w:r w:rsidRPr="00E84A3C">
        <w:rPr>
          <w:rFonts w:ascii="Times New Roman" w:hAnsi="Times New Roman" w:cs="Times New Roman"/>
          <w:color w:val="000000" w:themeColor="text1"/>
          <w:sz w:val="24"/>
          <w:szCs w:val="24"/>
          <w:lang w:val="en-US"/>
        </w:rPr>
        <w:t xml:space="preserve">MULTI-CRITERIA EVALUATION AND RANKING </w:t>
      </w:r>
      <w:r w:rsidR="00D01A20" w:rsidRPr="00E84A3C">
        <w:rPr>
          <w:rFonts w:ascii="Times New Roman" w:hAnsi="Times New Roman" w:cs="Times New Roman"/>
          <w:color w:val="000000" w:themeColor="text1"/>
          <w:sz w:val="24"/>
          <w:szCs w:val="24"/>
          <w:lang w:val="en-US"/>
        </w:rPr>
        <w:t>OF MA</w:t>
      </w:r>
      <w:r w:rsidR="00D01A20" w:rsidRPr="00D01A20">
        <w:rPr>
          <w:rFonts w:ascii="Times New Roman" w:hAnsi="Times New Roman" w:cs="Times New Roman"/>
          <w:color w:val="000000" w:themeColor="text1"/>
          <w:sz w:val="24"/>
          <w:szCs w:val="24"/>
          <w:lang w:val="en-US"/>
        </w:rPr>
        <w:t xml:space="preserve"> TRANSMUTATION TECHNOLOGIES</w:t>
      </w:r>
    </w:p>
    <w:p w:rsidR="00F3386A" w:rsidRDefault="00F3386A" w:rsidP="007B4EBE">
      <w:pPr>
        <w:spacing w:before="120" w:after="0" w:line="260" w:lineRule="atLeast"/>
        <w:ind w:firstLine="709"/>
        <w:contextualSpacing/>
        <w:jc w:val="both"/>
        <w:rPr>
          <w:rFonts w:ascii="Times New Roman" w:hAnsi="Times New Roman" w:cs="Times New Roman"/>
          <w:sz w:val="20"/>
          <w:szCs w:val="24"/>
          <w:lang w:val="en-US"/>
        </w:rPr>
      </w:pPr>
      <w:r w:rsidRPr="00F3386A">
        <w:rPr>
          <w:rFonts w:ascii="Times New Roman" w:hAnsi="Times New Roman" w:cs="Times New Roman"/>
          <w:sz w:val="20"/>
          <w:szCs w:val="24"/>
          <w:lang w:val="en-US"/>
        </w:rPr>
        <w:t xml:space="preserve">In today's world practice, extensive experience has been accumulated in the application of </w:t>
      </w:r>
      <w:r w:rsidR="00E84A3C" w:rsidRPr="00E84A3C">
        <w:rPr>
          <w:rFonts w:ascii="Times New Roman" w:hAnsi="Times New Roman" w:cs="Times New Roman"/>
          <w:sz w:val="20"/>
          <w:szCs w:val="24"/>
          <w:lang w:val="en-US"/>
        </w:rPr>
        <w:t xml:space="preserve">multiple-criteria decision analysis </w:t>
      </w:r>
      <w:r w:rsidR="00E84A3C">
        <w:rPr>
          <w:rFonts w:ascii="Times New Roman" w:hAnsi="Times New Roman" w:cs="Times New Roman"/>
          <w:sz w:val="20"/>
          <w:szCs w:val="24"/>
          <w:lang w:val="en-US"/>
        </w:rPr>
        <w:t>(</w:t>
      </w:r>
      <w:r w:rsidRPr="00E84A3C">
        <w:rPr>
          <w:rFonts w:ascii="Times New Roman" w:hAnsi="Times New Roman" w:cs="Times New Roman"/>
          <w:sz w:val="20"/>
          <w:szCs w:val="24"/>
          <w:lang w:val="en-US"/>
        </w:rPr>
        <w:t>MC</w:t>
      </w:r>
      <w:r w:rsidR="00E84A3C" w:rsidRPr="00E84A3C">
        <w:rPr>
          <w:rFonts w:ascii="Times New Roman" w:hAnsi="Times New Roman" w:cs="Times New Roman"/>
          <w:sz w:val="20"/>
          <w:szCs w:val="24"/>
          <w:lang w:val="en-US"/>
        </w:rPr>
        <w:t>D</w:t>
      </w:r>
      <w:r w:rsidRPr="00E84A3C">
        <w:rPr>
          <w:rFonts w:ascii="Times New Roman" w:hAnsi="Times New Roman" w:cs="Times New Roman"/>
          <w:sz w:val="20"/>
          <w:szCs w:val="24"/>
          <w:lang w:val="en-US"/>
        </w:rPr>
        <w:t>A</w:t>
      </w:r>
      <w:r w:rsidR="00E84A3C">
        <w:rPr>
          <w:rFonts w:ascii="Times New Roman" w:hAnsi="Times New Roman" w:cs="Times New Roman"/>
          <w:sz w:val="20"/>
          <w:szCs w:val="24"/>
          <w:lang w:val="en-US"/>
        </w:rPr>
        <w:t>)</w:t>
      </w:r>
      <w:r w:rsidRPr="00F3386A">
        <w:rPr>
          <w:rFonts w:ascii="Times New Roman" w:hAnsi="Times New Roman" w:cs="Times New Roman"/>
          <w:sz w:val="20"/>
          <w:szCs w:val="24"/>
          <w:lang w:val="en-US"/>
        </w:rPr>
        <w:t xml:space="preserve"> methods to solve problems in various subject areas, related to the nuclear industry: comparison of nuclear and non-nuclear energy technologies, substantiation of options for the development of nuclear power, comparison of the effectiveness of nuclear technologies and fuel cycle technologies, decision support in the field of SNF / RW management and in many other areas. </w:t>
      </w:r>
    </w:p>
    <w:p w:rsidR="007B4EBE" w:rsidRPr="00F3386A" w:rsidRDefault="00F3386A" w:rsidP="00F3386A">
      <w:pPr>
        <w:spacing w:before="120" w:after="0" w:line="260" w:lineRule="atLeast"/>
        <w:ind w:firstLine="709"/>
        <w:contextualSpacing/>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A feature of the application of MC</w:t>
      </w:r>
      <w:r w:rsidR="00E84A3C">
        <w:rPr>
          <w:rFonts w:ascii="Times New Roman" w:hAnsi="Times New Roman" w:cs="Times New Roman"/>
          <w:sz w:val="20"/>
          <w:szCs w:val="24"/>
          <w:lang w:val="en-US"/>
        </w:rPr>
        <w:t>D</w:t>
      </w:r>
      <w:r w:rsidRPr="00E84A3C">
        <w:rPr>
          <w:rFonts w:ascii="Times New Roman" w:hAnsi="Times New Roman" w:cs="Times New Roman"/>
          <w:sz w:val="20"/>
          <w:szCs w:val="24"/>
          <w:lang w:val="en-US"/>
        </w:rPr>
        <w:t>A</w:t>
      </w:r>
      <w:r w:rsidRPr="00F3386A">
        <w:rPr>
          <w:rFonts w:ascii="Times New Roman" w:hAnsi="Times New Roman" w:cs="Times New Roman"/>
          <w:sz w:val="20"/>
          <w:szCs w:val="24"/>
          <w:lang w:val="en-US"/>
        </w:rPr>
        <w:t xml:space="preserve"> to assess prospects for the deployment of nuclear power technologies and NFC technologies at </w:t>
      </w:r>
      <w:r w:rsidR="00275E5E">
        <w:rPr>
          <w:rFonts w:ascii="Times New Roman" w:hAnsi="Times New Roman" w:cs="Times New Roman"/>
          <w:sz w:val="20"/>
          <w:szCs w:val="24"/>
          <w:lang w:val="en-US"/>
        </w:rPr>
        <w:t>a</w:t>
      </w:r>
      <w:r w:rsidRPr="00F3386A">
        <w:rPr>
          <w:rFonts w:ascii="Times New Roman" w:hAnsi="Times New Roman" w:cs="Times New Roman"/>
          <w:sz w:val="20"/>
          <w:szCs w:val="24"/>
          <w:lang w:val="en-US"/>
        </w:rPr>
        <w:t xml:space="preserve"> project level is impossibility of formulating a universal set of comparison parameters. However, in the global expert environment, there is an understanding that, in the general case, the criteria used should characterize: technological readiness, safety, efficiency, resistance to proliferation and physical protection, waste management, environmental impact, national specifics and interests, including aspects of industrial infrastructure. For this reason, the criteria are determined for the specific problem under consideration based on the available information.</w:t>
      </w:r>
    </w:p>
    <w:p w:rsidR="001C04B1" w:rsidRPr="005F109A" w:rsidRDefault="00F3386A" w:rsidP="00F3386A">
      <w:pPr>
        <w:pStyle w:val="3"/>
        <w:numPr>
          <w:ilvl w:val="1"/>
          <w:numId w:val="10"/>
        </w:numPr>
      </w:pPr>
      <w:r w:rsidRPr="00F3386A">
        <w:t>Selection of criteria and methodology for comparing technologies</w:t>
      </w:r>
    </w:p>
    <w:p w:rsidR="007B4EBE" w:rsidRPr="00F3386A" w:rsidRDefault="00F3386A" w:rsidP="00DC0ACE">
      <w:pPr>
        <w:spacing w:before="120" w:after="0" w:line="260" w:lineRule="atLeast"/>
        <w:ind w:firstLine="709"/>
        <w:contextualSpacing/>
        <w:jc w:val="both"/>
        <w:rPr>
          <w:rFonts w:ascii="Times New Roman" w:hAnsi="Times New Roman" w:cs="Times New Roman"/>
          <w:sz w:val="20"/>
          <w:szCs w:val="24"/>
          <w:lang w:val="en-US"/>
        </w:rPr>
      </w:pPr>
      <w:r w:rsidRPr="00F3386A">
        <w:rPr>
          <w:rFonts w:ascii="Times New Roman" w:hAnsi="Times New Roman" w:cs="Times New Roman"/>
          <w:sz w:val="20"/>
          <w:szCs w:val="24"/>
          <w:lang w:val="en-US"/>
        </w:rPr>
        <w:t>The assessment and comparison of these MA transmutation technologies was carried out in 4 key areas (high-level objectives), including 8 areas of assessment and 24 criteria (Figure 1).</w:t>
      </w:r>
      <w:r w:rsidR="00CE672B" w:rsidRPr="00F3386A">
        <w:rPr>
          <w:rFonts w:ascii="Times New Roman" w:hAnsi="Times New Roman" w:cs="Times New Roman"/>
          <w:sz w:val="20"/>
          <w:szCs w:val="24"/>
          <w:lang w:val="en-US"/>
        </w:rPr>
        <w:t xml:space="preserve"> </w:t>
      </w:r>
    </w:p>
    <w:p w:rsidR="00CE672B" w:rsidRDefault="00FB1341" w:rsidP="00CE672B">
      <w:pPr>
        <w:spacing w:before="120" w:after="0" w:line="260" w:lineRule="atLeast"/>
        <w:contextualSpacing/>
        <w:jc w:val="center"/>
        <w:rPr>
          <w:rFonts w:ascii="Times New Roman" w:hAnsi="Times New Roman" w:cs="Times New Roman"/>
          <w:sz w:val="20"/>
          <w:szCs w:val="24"/>
        </w:rPr>
      </w:pPr>
      <w:r w:rsidRPr="00FB1341">
        <w:rPr>
          <w:noProof/>
          <w:lang w:eastAsia="ru-RU"/>
        </w:rPr>
        <w:drawing>
          <wp:inline distT="0" distB="0" distL="0" distR="0" wp14:anchorId="28D30E51" wp14:editId="11245918">
            <wp:extent cx="4594860" cy="385025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5604" cy="3859255"/>
                    </a:xfrm>
                    <a:prstGeom prst="rect">
                      <a:avLst/>
                    </a:prstGeom>
                  </pic:spPr>
                </pic:pic>
              </a:graphicData>
            </a:graphic>
          </wp:inline>
        </w:drawing>
      </w:r>
    </w:p>
    <w:p w:rsidR="00CE672B" w:rsidRPr="00F3386A" w:rsidRDefault="00F3386A" w:rsidP="00CE672B">
      <w:pPr>
        <w:spacing w:after="120" w:line="260" w:lineRule="atLeast"/>
        <w:jc w:val="center"/>
        <w:rPr>
          <w:rFonts w:ascii="Times New Roman" w:hAnsi="Times New Roman" w:cs="Times New Roman"/>
          <w:sz w:val="20"/>
          <w:szCs w:val="24"/>
          <w:lang w:val="en-US"/>
        </w:rPr>
      </w:pPr>
      <w:r>
        <w:rPr>
          <w:rFonts w:ascii="Times New Roman" w:hAnsi="Times New Roman" w:cs="Times New Roman"/>
          <w:sz w:val="20"/>
          <w:szCs w:val="24"/>
          <w:lang w:val="en-US"/>
        </w:rPr>
        <w:t>FIG</w:t>
      </w:r>
      <w:r w:rsidR="00CE672B" w:rsidRPr="00F3386A">
        <w:rPr>
          <w:rFonts w:ascii="Times New Roman" w:hAnsi="Times New Roman" w:cs="Times New Roman"/>
          <w:sz w:val="20"/>
          <w:szCs w:val="24"/>
          <w:lang w:val="en-US"/>
        </w:rPr>
        <w:t xml:space="preserve"> 1. </w:t>
      </w:r>
      <w:r w:rsidRPr="00F3386A">
        <w:rPr>
          <w:rFonts w:ascii="Times New Roman" w:hAnsi="Times New Roman" w:cs="Times New Roman"/>
          <w:sz w:val="20"/>
          <w:szCs w:val="24"/>
          <w:lang w:val="en-US"/>
        </w:rPr>
        <w:t>The hierarchical structure of th</w:t>
      </w:r>
      <w:r w:rsidR="00E612D8">
        <w:rPr>
          <w:rFonts w:ascii="Times New Roman" w:hAnsi="Times New Roman" w:cs="Times New Roman"/>
          <w:sz w:val="20"/>
          <w:szCs w:val="24"/>
          <w:lang w:val="en-US"/>
        </w:rPr>
        <w:t>e</w:t>
      </w:r>
      <w:r w:rsidRPr="00F3386A">
        <w:rPr>
          <w:rFonts w:ascii="Times New Roman" w:hAnsi="Times New Roman" w:cs="Times New Roman"/>
          <w:sz w:val="20"/>
          <w:szCs w:val="24"/>
          <w:lang w:val="en-US"/>
        </w:rPr>
        <w:t xml:space="preserve"> </w:t>
      </w:r>
      <w:r>
        <w:rPr>
          <w:rFonts w:ascii="Times New Roman" w:hAnsi="Times New Roman" w:cs="Times New Roman"/>
          <w:sz w:val="20"/>
          <w:szCs w:val="24"/>
          <w:lang w:val="en-US"/>
        </w:rPr>
        <w:t>o</w:t>
      </w:r>
      <w:r w:rsidRPr="00F3386A">
        <w:rPr>
          <w:rFonts w:ascii="Times New Roman" w:hAnsi="Times New Roman" w:cs="Times New Roman"/>
          <w:sz w:val="20"/>
          <w:szCs w:val="24"/>
          <w:lang w:val="en-US"/>
        </w:rPr>
        <w:t>bjectives tree</w:t>
      </w:r>
    </w:p>
    <w:p w:rsidR="00CE672B" w:rsidRPr="00F3386A" w:rsidRDefault="00CE672B" w:rsidP="00F3386A">
      <w:pPr>
        <w:spacing w:before="120" w:after="0" w:line="260" w:lineRule="atLeast"/>
        <w:contextualSpacing/>
        <w:jc w:val="both"/>
        <w:rPr>
          <w:rFonts w:ascii="Times New Roman" w:hAnsi="Times New Roman" w:cs="Times New Roman"/>
          <w:sz w:val="20"/>
          <w:szCs w:val="24"/>
          <w:lang w:val="en-US"/>
        </w:rPr>
      </w:pPr>
      <w:r w:rsidRPr="00F3386A">
        <w:rPr>
          <w:rFonts w:ascii="Times New Roman" w:hAnsi="Times New Roman" w:cs="Times New Roman"/>
          <w:sz w:val="20"/>
          <w:szCs w:val="24"/>
          <w:lang w:val="en-US"/>
        </w:rPr>
        <w:tab/>
      </w:r>
      <w:r w:rsidR="00F3386A" w:rsidRPr="00F3386A">
        <w:rPr>
          <w:rFonts w:ascii="Times New Roman" w:hAnsi="Times New Roman" w:cs="Times New Roman"/>
          <w:sz w:val="20"/>
          <w:szCs w:val="24"/>
          <w:lang w:val="en-US"/>
        </w:rPr>
        <w:t xml:space="preserve">The selected structure of the objective tree allows to compose a large number of criteria within several important areas of technology assessment and more fully reflect their advantages and disadvantages. Although in the international practice of </w:t>
      </w:r>
      <w:r w:rsidR="00F3386A" w:rsidRPr="00E84A3C">
        <w:rPr>
          <w:rFonts w:ascii="Times New Roman" w:hAnsi="Times New Roman" w:cs="Times New Roman"/>
          <w:sz w:val="20"/>
          <w:szCs w:val="24"/>
          <w:lang w:val="en-US"/>
        </w:rPr>
        <w:t>conducting MC</w:t>
      </w:r>
      <w:r w:rsidR="00E84A3C" w:rsidRPr="00E84A3C">
        <w:rPr>
          <w:rFonts w:ascii="Times New Roman" w:hAnsi="Times New Roman" w:cs="Times New Roman"/>
          <w:sz w:val="20"/>
          <w:szCs w:val="24"/>
          <w:lang w:val="en-US"/>
        </w:rPr>
        <w:t>D</w:t>
      </w:r>
      <w:r w:rsidR="00F3386A" w:rsidRPr="00E84A3C">
        <w:rPr>
          <w:rFonts w:ascii="Times New Roman" w:hAnsi="Times New Roman" w:cs="Times New Roman"/>
          <w:sz w:val="20"/>
          <w:szCs w:val="24"/>
          <w:lang w:val="en-US"/>
        </w:rPr>
        <w:t>A, the aggregation</w:t>
      </w:r>
      <w:r w:rsidR="00F3386A" w:rsidRPr="00F3386A">
        <w:rPr>
          <w:rFonts w:ascii="Times New Roman" w:hAnsi="Times New Roman" w:cs="Times New Roman"/>
          <w:sz w:val="20"/>
          <w:szCs w:val="24"/>
          <w:lang w:val="en-US"/>
        </w:rPr>
        <w:t xml:space="preserve"> of assessment areas into three high-level </w:t>
      </w:r>
      <w:r w:rsidR="00A3005E" w:rsidRPr="00F3386A">
        <w:rPr>
          <w:rFonts w:ascii="Times New Roman" w:hAnsi="Times New Roman" w:cs="Times New Roman"/>
          <w:sz w:val="20"/>
          <w:szCs w:val="24"/>
          <w:lang w:val="en-US"/>
        </w:rPr>
        <w:t>objectives</w:t>
      </w:r>
      <w:r w:rsidR="00F3386A" w:rsidRPr="00F3386A">
        <w:rPr>
          <w:rFonts w:ascii="Times New Roman" w:hAnsi="Times New Roman" w:cs="Times New Roman"/>
          <w:sz w:val="20"/>
          <w:szCs w:val="24"/>
          <w:lang w:val="en-US"/>
        </w:rPr>
        <w:t xml:space="preserve"> </w:t>
      </w:r>
      <w:r w:rsidR="00F3386A" w:rsidRPr="00F3386A">
        <w:rPr>
          <w:rFonts w:ascii="Times New Roman" w:hAnsi="Times New Roman" w:cs="Times New Roman"/>
          <w:sz w:val="20"/>
          <w:szCs w:val="24"/>
          <w:lang w:val="en-US"/>
        </w:rPr>
        <w:lastRenderedPageBreak/>
        <w:t xml:space="preserve">(economy, environment, social sphere) is accepted, but the specifics of the problem under consideration and the features of technologies required changes in the structure of high-level </w:t>
      </w:r>
      <w:r w:rsidR="00A3005E" w:rsidRPr="00F3386A">
        <w:rPr>
          <w:rFonts w:ascii="Times New Roman" w:hAnsi="Times New Roman" w:cs="Times New Roman"/>
          <w:sz w:val="20"/>
          <w:szCs w:val="24"/>
          <w:lang w:val="en-US"/>
        </w:rPr>
        <w:t>objectives</w:t>
      </w:r>
      <w:r w:rsidR="00F3386A" w:rsidRPr="00F3386A">
        <w:rPr>
          <w:rFonts w:ascii="Times New Roman" w:hAnsi="Times New Roman" w:cs="Times New Roman"/>
          <w:sz w:val="20"/>
          <w:szCs w:val="24"/>
          <w:lang w:val="en-US"/>
        </w:rPr>
        <w:t xml:space="preserve"> and in the assessment areas.</w:t>
      </w:r>
    </w:p>
    <w:p w:rsidR="00CE672B" w:rsidRPr="00F3386A" w:rsidRDefault="00CE672B" w:rsidP="00F3386A">
      <w:pPr>
        <w:spacing w:before="120" w:after="60" w:line="260" w:lineRule="atLeast"/>
        <w:jc w:val="both"/>
        <w:rPr>
          <w:rFonts w:ascii="Times New Roman" w:hAnsi="Times New Roman" w:cs="Times New Roman"/>
          <w:i/>
          <w:sz w:val="20"/>
          <w:szCs w:val="24"/>
          <w:lang w:val="en-US"/>
        </w:rPr>
      </w:pPr>
      <w:r w:rsidRPr="00F3386A">
        <w:rPr>
          <w:rFonts w:ascii="Times New Roman" w:hAnsi="Times New Roman" w:cs="Times New Roman"/>
          <w:sz w:val="20"/>
          <w:szCs w:val="24"/>
          <w:lang w:val="en-US"/>
        </w:rPr>
        <w:tab/>
      </w:r>
      <w:r w:rsidR="00F3386A" w:rsidRPr="00F3386A">
        <w:rPr>
          <w:rFonts w:ascii="Times New Roman" w:hAnsi="Times New Roman" w:cs="Times New Roman"/>
          <w:i/>
          <w:sz w:val="20"/>
          <w:szCs w:val="24"/>
          <w:lang w:val="en-US"/>
        </w:rPr>
        <w:t>High-level objective "MA Transmutation"</w:t>
      </w:r>
    </w:p>
    <w:p w:rsidR="00F3386A" w:rsidRPr="004063FD" w:rsidRDefault="00F3386A" w:rsidP="00F3386A">
      <w:pPr>
        <w:spacing w:before="120" w:after="0" w:line="260" w:lineRule="atLeast"/>
        <w:ind w:firstLine="708"/>
        <w:contextualSpacing/>
        <w:jc w:val="both"/>
        <w:rPr>
          <w:rFonts w:ascii="Times New Roman" w:hAnsi="Times New Roman" w:cs="Times New Roman"/>
          <w:sz w:val="20"/>
          <w:szCs w:val="24"/>
          <w:lang w:val="en-US"/>
        </w:rPr>
      </w:pPr>
      <w:r w:rsidRPr="004063FD">
        <w:rPr>
          <w:rFonts w:ascii="Times New Roman" w:hAnsi="Times New Roman" w:cs="Times New Roman"/>
          <w:sz w:val="20"/>
          <w:szCs w:val="24"/>
          <w:lang w:val="en-US"/>
        </w:rPr>
        <w:t>High-level objective "MA Transmutation" includes two areas of assessment: the efficiency of MA transmutation and the technical parameters of nuclear systems that determine their performance in terms of MA transmutation.</w:t>
      </w:r>
    </w:p>
    <w:p w:rsidR="00CE672B" w:rsidRPr="004063FD" w:rsidRDefault="00F3386A" w:rsidP="00F3386A">
      <w:pPr>
        <w:spacing w:before="120" w:after="0" w:line="260" w:lineRule="atLeast"/>
        <w:ind w:firstLine="708"/>
        <w:contextualSpacing/>
        <w:jc w:val="both"/>
        <w:rPr>
          <w:rFonts w:ascii="Times New Roman" w:hAnsi="Times New Roman" w:cs="Times New Roman"/>
          <w:sz w:val="20"/>
          <w:szCs w:val="24"/>
          <w:lang w:val="en-US"/>
        </w:rPr>
      </w:pPr>
      <w:r w:rsidRPr="004063FD">
        <w:rPr>
          <w:rFonts w:ascii="Times New Roman" w:hAnsi="Times New Roman" w:cs="Times New Roman"/>
          <w:sz w:val="20"/>
          <w:szCs w:val="24"/>
          <w:lang w:val="en-US"/>
        </w:rPr>
        <w:t>The area of ​​assessment "Efficiency of MA transmutation" contains two criteria: the average rate of MA transmutation and the efficiency of MA transmutation. The area of ​​assessment "Technical parameters of nuclear systems" includes the following set of criteria: the fuel residence time in the reactor core, the duration of the external fuel cycle, the average neutron energy and average neutron flux density in the reactor core, as well as the presence of a fertile isotope in nuclear fuel.</w:t>
      </w:r>
    </w:p>
    <w:p w:rsidR="00CE672B" w:rsidRPr="00C42F47" w:rsidRDefault="00CE672B" w:rsidP="00CE672B">
      <w:pPr>
        <w:spacing w:before="120" w:after="60" w:line="260" w:lineRule="atLeast"/>
        <w:jc w:val="both"/>
        <w:rPr>
          <w:rFonts w:ascii="Times New Roman" w:hAnsi="Times New Roman" w:cs="Times New Roman"/>
          <w:i/>
          <w:sz w:val="20"/>
          <w:szCs w:val="24"/>
          <w:lang w:val="en-US"/>
        </w:rPr>
      </w:pPr>
      <w:r w:rsidRPr="004063FD">
        <w:rPr>
          <w:rFonts w:ascii="Times New Roman" w:hAnsi="Times New Roman" w:cs="Times New Roman"/>
          <w:sz w:val="20"/>
          <w:szCs w:val="24"/>
          <w:lang w:val="en-US"/>
        </w:rPr>
        <w:tab/>
      </w:r>
      <w:r w:rsidR="00C42F47" w:rsidRPr="00F3386A">
        <w:rPr>
          <w:rFonts w:ascii="Times New Roman" w:hAnsi="Times New Roman" w:cs="Times New Roman"/>
          <w:i/>
          <w:sz w:val="20"/>
          <w:szCs w:val="24"/>
          <w:lang w:val="en-US"/>
        </w:rPr>
        <w:t xml:space="preserve">High-level objective </w:t>
      </w:r>
      <w:r w:rsidR="004A635D">
        <w:rPr>
          <w:rFonts w:ascii="Times New Roman" w:hAnsi="Times New Roman" w:cs="Times New Roman"/>
          <w:i/>
          <w:sz w:val="20"/>
          <w:szCs w:val="24"/>
          <w:lang w:val="en-US"/>
        </w:rPr>
        <w:t>“</w:t>
      </w:r>
      <w:r w:rsidR="00C42F47" w:rsidRPr="00C42F47">
        <w:rPr>
          <w:rFonts w:ascii="Times New Roman" w:hAnsi="Times New Roman" w:cs="Times New Roman"/>
          <w:i/>
          <w:sz w:val="20"/>
          <w:szCs w:val="24"/>
          <w:lang w:val="en-US"/>
        </w:rPr>
        <w:t>Economics</w:t>
      </w:r>
      <w:r w:rsidR="004A635D">
        <w:rPr>
          <w:rFonts w:ascii="Times New Roman" w:hAnsi="Times New Roman" w:cs="Times New Roman"/>
          <w:i/>
          <w:sz w:val="20"/>
          <w:szCs w:val="24"/>
          <w:lang w:val="en-US"/>
        </w:rPr>
        <w:t>”</w:t>
      </w:r>
    </w:p>
    <w:p w:rsidR="00C42F47" w:rsidRDefault="00C42F47" w:rsidP="00C42F47">
      <w:pPr>
        <w:spacing w:before="120" w:after="0" w:line="260" w:lineRule="atLeast"/>
        <w:ind w:firstLine="708"/>
        <w:contextualSpacing/>
        <w:jc w:val="both"/>
        <w:rPr>
          <w:rFonts w:ascii="Times New Roman" w:hAnsi="Times New Roman" w:cs="Times New Roman"/>
          <w:sz w:val="20"/>
          <w:szCs w:val="24"/>
          <w:lang w:val="en-US"/>
        </w:rPr>
      </w:pPr>
      <w:r w:rsidRPr="00C42F47">
        <w:rPr>
          <w:rFonts w:ascii="Times New Roman" w:hAnsi="Times New Roman" w:cs="Times New Roman"/>
          <w:sz w:val="20"/>
          <w:szCs w:val="24"/>
          <w:lang w:val="en-US"/>
        </w:rPr>
        <w:t xml:space="preserve">It is difficult to carry out a detailed economic analysis of the technologies under consideration, since most of them are at the initial stage of development, and the difference in target purpose of technologies (electricity generation or utilization of MA) does not allow using LCOE as an assessment criterion. </w:t>
      </w:r>
      <w:r w:rsidR="00A3005E" w:rsidRPr="00A3005E">
        <w:rPr>
          <w:rFonts w:ascii="Times New Roman" w:hAnsi="Times New Roman" w:cs="Times New Roman"/>
          <w:sz w:val="20"/>
          <w:szCs w:val="24"/>
          <w:lang w:val="en-US"/>
        </w:rPr>
        <w:t>Proceeding from these conditions, two assessment areas and three criteria were identified. This set allow for an assessment taking into account the sufficiency of the data used and in relation to the main problem under consideration - MA transmutation</w:t>
      </w:r>
      <w:r w:rsidRPr="00C42F47">
        <w:rPr>
          <w:rFonts w:ascii="Times New Roman" w:hAnsi="Times New Roman" w:cs="Times New Roman"/>
          <w:sz w:val="20"/>
          <w:szCs w:val="24"/>
          <w:lang w:val="en-US"/>
        </w:rPr>
        <w:t>. The area of ​​assessment "Economic efficiency" includes one criterion - "CAPEX", which allows comparing the estimated unit cost of plant construction in relation to a unit with a VVER-TOI reactor.</w:t>
      </w:r>
      <w:r w:rsidR="00CE672B" w:rsidRPr="00C42F47">
        <w:rPr>
          <w:rFonts w:ascii="Times New Roman" w:hAnsi="Times New Roman" w:cs="Times New Roman"/>
          <w:sz w:val="20"/>
          <w:szCs w:val="24"/>
          <w:lang w:val="en-US"/>
        </w:rPr>
        <w:tab/>
      </w:r>
    </w:p>
    <w:p w:rsidR="00CE672B" w:rsidRPr="00C42F47" w:rsidRDefault="00C42F47" w:rsidP="00C42F47">
      <w:pPr>
        <w:spacing w:before="120" w:after="0" w:line="260" w:lineRule="atLeast"/>
        <w:ind w:firstLine="708"/>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The assessment area "R&amp;D cost" </w:t>
      </w:r>
      <w:r w:rsidRPr="00C42F47">
        <w:rPr>
          <w:rFonts w:ascii="Times New Roman" w:hAnsi="Times New Roman" w:cs="Times New Roman"/>
          <w:sz w:val="20"/>
          <w:szCs w:val="24"/>
          <w:lang w:val="en-US"/>
        </w:rPr>
        <w:t>includes two criteria: R&amp;D cost estimate (reactor and related systems) and R&amp;D cost estimate (partitioning of MA).</w:t>
      </w:r>
    </w:p>
    <w:p w:rsidR="00CE672B" w:rsidRPr="00C42F47" w:rsidRDefault="00CE672B" w:rsidP="00CE672B">
      <w:pPr>
        <w:spacing w:before="120" w:after="60" w:line="260" w:lineRule="atLeast"/>
        <w:jc w:val="both"/>
        <w:rPr>
          <w:rFonts w:ascii="Times New Roman" w:hAnsi="Times New Roman" w:cs="Times New Roman"/>
          <w:i/>
          <w:sz w:val="20"/>
          <w:szCs w:val="24"/>
          <w:lang w:val="en-US"/>
        </w:rPr>
      </w:pPr>
      <w:r w:rsidRPr="00C42F47">
        <w:rPr>
          <w:rFonts w:ascii="Times New Roman" w:hAnsi="Times New Roman" w:cs="Times New Roman"/>
          <w:sz w:val="20"/>
          <w:szCs w:val="24"/>
          <w:lang w:val="en-US"/>
        </w:rPr>
        <w:tab/>
      </w:r>
      <w:r w:rsidR="00C42F47" w:rsidRPr="00F3386A">
        <w:rPr>
          <w:rFonts w:ascii="Times New Roman" w:hAnsi="Times New Roman" w:cs="Times New Roman"/>
          <w:i/>
          <w:sz w:val="20"/>
          <w:szCs w:val="24"/>
          <w:lang w:val="en-US"/>
        </w:rPr>
        <w:t xml:space="preserve">High-level objective </w:t>
      </w:r>
      <w:r w:rsidR="004A635D">
        <w:rPr>
          <w:rFonts w:ascii="Times New Roman" w:hAnsi="Times New Roman" w:cs="Times New Roman"/>
          <w:i/>
          <w:sz w:val="20"/>
          <w:szCs w:val="24"/>
          <w:lang w:val="en-US"/>
        </w:rPr>
        <w:t>“</w:t>
      </w:r>
      <w:r w:rsidR="00A3005E" w:rsidRPr="004A635D">
        <w:rPr>
          <w:rFonts w:ascii="Times New Roman" w:hAnsi="Times New Roman" w:cs="Times New Roman"/>
          <w:i/>
          <w:sz w:val="20"/>
          <w:szCs w:val="24"/>
          <w:lang w:val="en-US"/>
        </w:rPr>
        <w:t>Environment</w:t>
      </w:r>
      <w:r w:rsidR="004A635D">
        <w:rPr>
          <w:rFonts w:ascii="Times New Roman" w:hAnsi="Times New Roman" w:cs="Times New Roman"/>
          <w:i/>
          <w:sz w:val="20"/>
          <w:szCs w:val="24"/>
          <w:lang w:val="en-US"/>
        </w:rPr>
        <w:t>”</w:t>
      </w:r>
    </w:p>
    <w:p w:rsidR="00842D7D" w:rsidRDefault="004A635D" w:rsidP="004A635D">
      <w:pPr>
        <w:spacing w:before="120" w:after="0" w:line="260" w:lineRule="atLeast"/>
        <w:ind w:firstLine="708"/>
        <w:contextualSpacing/>
        <w:jc w:val="both"/>
        <w:rPr>
          <w:rFonts w:ascii="Times New Roman" w:hAnsi="Times New Roman" w:cs="Times New Roman"/>
          <w:sz w:val="20"/>
          <w:szCs w:val="24"/>
          <w:lang w:val="en-US"/>
        </w:rPr>
      </w:pPr>
      <w:r w:rsidRPr="004A635D">
        <w:rPr>
          <w:rFonts w:ascii="Times New Roman" w:hAnsi="Times New Roman" w:cs="Times New Roman"/>
          <w:sz w:val="20"/>
          <w:szCs w:val="24"/>
          <w:lang w:val="en-US"/>
        </w:rPr>
        <w:t>The high-level objective "Environment" include factors which potentially affecting to the environment through to safe operation of a nuclear power plants, formation of radioactive waste after the decommissioning of power plants and features of the nuclear fuel cycle of the reactors t</w:t>
      </w:r>
      <w:r>
        <w:rPr>
          <w:rFonts w:ascii="Times New Roman" w:hAnsi="Times New Roman" w:cs="Times New Roman"/>
          <w:sz w:val="20"/>
          <w:szCs w:val="24"/>
          <w:lang w:val="en-US"/>
        </w:rPr>
        <w:t>echnologies under consideration</w:t>
      </w:r>
      <w:r w:rsidR="00842D7D" w:rsidRPr="00842D7D">
        <w:rPr>
          <w:rFonts w:ascii="Times New Roman" w:hAnsi="Times New Roman" w:cs="Times New Roman"/>
          <w:sz w:val="20"/>
          <w:szCs w:val="24"/>
          <w:lang w:val="en-US"/>
        </w:rPr>
        <w:t>.</w:t>
      </w:r>
    </w:p>
    <w:p w:rsidR="00CE672B" w:rsidRPr="00842D7D" w:rsidRDefault="00CE672B" w:rsidP="00CE672B">
      <w:pPr>
        <w:spacing w:before="120" w:after="0" w:line="260" w:lineRule="atLeast"/>
        <w:contextualSpacing/>
        <w:jc w:val="both"/>
        <w:rPr>
          <w:rFonts w:ascii="Times New Roman" w:hAnsi="Times New Roman" w:cs="Times New Roman"/>
          <w:sz w:val="20"/>
          <w:szCs w:val="24"/>
          <w:lang w:val="en-US"/>
        </w:rPr>
      </w:pPr>
      <w:r w:rsidRPr="00842D7D">
        <w:rPr>
          <w:rFonts w:ascii="Times New Roman" w:hAnsi="Times New Roman" w:cs="Times New Roman"/>
          <w:sz w:val="20"/>
          <w:szCs w:val="24"/>
          <w:lang w:val="en-US"/>
        </w:rPr>
        <w:tab/>
      </w:r>
      <w:r w:rsidR="00842D7D" w:rsidRPr="00842D7D">
        <w:rPr>
          <w:rFonts w:ascii="Times New Roman" w:hAnsi="Times New Roman" w:cs="Times New Roman"/>
          <w:sz w:val="20"/>
          <w:szCs w:val="24"/>
          <w:lang w:val="en-US"/>
        </w:rPr>
        <w:t>The area "Safety</w:t>
      </w:r>
      <w:r w:rsidR="00842D7D">
        <w:rPr>
          <w:rFonts w:ascii="Times New Roman" w:hAnsi="Times New Roman" w:cs="Times New Roman"/>
          <w:sz w:val="20"/>
          <w:szCs w:val="24"/>
          <w:lang w:val="en-US"/>
        </w:rPr>
        <w:t xml:space="preserve"> impact</w:t>
      </w:r>
      <w:r w:rsidR="00842D7D" w:rsidRPr="00842D7D">
        <w:rPr>
          <w:rFonts w:ascii="Times New Roman" w:hAnsi="Times New Roman" w:cs="Times New Roman"/>
          <w:sz w:val="20"/>
          <w:szCs w:val="24"/>
          <w:lang w:val="en-US"/>
        </w:rPr>
        <w:t>" combined 2 criteria: the effect of MA adding to the fuel on the neutron-physical characteristics of the reactor and the number of protective barriers</w:t>
      </w:r>
      <w:r w:rsidRPr="00842D7D">
        <w:rPr>
          <w:rFonts w:ascii="Times New Roman" w:hAnsi="Times New Roman" w:cs="Times New Roman"/>
          <w:sz w:val="20"/>
          <w:szCs w:val="24"/>
          <w:lang w:val="en-US"/>
        </w:rPr>
        <w:t>.</w:t>
      </w:r>
    </w:p>
    <w:p w:rsidR="00CE672B" w:rsidRPr="00842D7D" w:rsidRDefault="00CE672B" w:rsidP="00842D7D">
      <w:pPr>
        <w:spacing w:before="120" w:after="0" w:line="260" w:lineRule="atLeast"/>
        <w:contextualSpacing/>
        <w:jc w:val="both"/>
        <w:rPr>
          <w:rFonts w:ascii="Times New Roman" w:hAnsi="Times New Roman" w:cs="Times New Roman"/>
          <w:sz w:val="20"/>
          <w:szCs w:val="24"/>
          <w:lang w:val="en-US"/>
        </w:rPr>
      </w:pPr>
      <w:r w:rsidRPr="00842D7D">
        <w:rPr>
          <w:rFonts w:ascii="Times New Roman" w:hAnsi="Times New Roman" w:cs="Times New Roman"/>
          <w:sz w:val="20"/>
          <w:szCs w:val="24"/>
          <w:lang w:val="en-US"/>
        </w:rPr>
        <w:tab/>
      </w:r>
      <w:r w:rsidR="00842D7D" w:rsidRPr="00842D7D">
        <w:rPr>
          <w:rFonts w:ascii="Times New Roman" w:hAnsi="Times New Roman" w:cs="Times New Roman"/>
          <w:sz w:val="20"/>
          <w:szCs w:val="24"/>
          <w:lang w:val="en-US"/>
        </w:rPr>
        <w:t xml:space="preserve">The area "Environmental Impact" includes three criteria: the </w:t>
      </w:r>
      <w:r w:rsidR="004F30F1">
        <w:rPr>
          <w:rFonts w:ascii="Times New Roman" w:hAnsi="Times New Roman" w:cs="Times New Roman"/>
          <w:sz w:val="20"/>
          <w:szCs w:val="24"/>
          <w:lang w:val="en-US"/>
        </w:rPr>
        <w:t>operational</w:t>
      </w:r>
      <w:r w:rsidR="004F30F1" w:rsidRPr="004F30F1">
        <w:rPr>
          <w:rFonts w:ascii="Times New Roman" w:hAnsi="Times New Roman" w:cs="Times New Roman"/>
          <w:sz w:val="20"/>
          <w:szCs w:val="24"/>
          <w:lang w:val="en-US"/>
        </w:rPr>
        <w:t xml:space="preserve"> </w:t>
      </w:r>
      <w:r w:rsidR="00842D7D" w:rsidRPr="00842D7D">
        <w:rPr>
          <w:rFonts w:ascii="Times New Roman" w:hAnsi="Times New Roman" w:cs="Times New Roman"/>
          <w:sz w:val="20"/>
          <w:szCs w:val="24"/>
          <w:lang w:val="en-US"/>
        </w:rPr>
        <w:t xml:space="preserve">lifetime of the facility, the </w:t>
      </w:r>
      <w:r w:rsidR="004F30F1">
        <w:rPr>
          <w:rFonts w:ascii="Times New Roman" w:hAnsi="Times New Roman" w:cs="Times New Roman"/>
          <w:sz w:val="20"/>
          <w:szCs w:val="24"/>
          <w:lang w:val="en-US"/>
        </w:rPr>
        <w:t xml:space="preserve">MA </w:t>
      </w:r>
      <w:r w:rsidR="00842D7D" w:rsidRPr="00842D7D">
        <w:rPr>
          <w:rFonts w:ascii="Times New Roman" w:hAnsi="Times New Roman" w:cs="Times New Roman"/>
          <w:sz w:val="20"/>
          <w:szCs w:val="24"/>
          <w:lang w:val="en-US"/>
        </w:rPr>
        <w:t xml:space="preserve">amount in the last unloading + in the external fuel cycle at the moment of reactor shutdown, and MA losses in the reprocessing process during the operational lifetime of </w:t>
      </w:r>
      <w:r w:rsidR="004F30F1">
        <w:rPr>
          <w:rFonts w:ascii="Times New Roman" w:hAnsi="Times New Roman" w:cs="Times New Roman"/>
          <w:sz w:val="20"/>
          <w:szCs w:val="24"/>
          <w:lang w:val="en-US"/>
        </w:rPr>
        <w:t>the reactor</w:t>
      </w:r>
      <w:r w:rsidR="00842D7D" w:rsidRPr="00842D7D">
        <w:rPr>
          <w:rFonts w:ascii="Times New Roman" w:hAnsi="Times New Roman" w:cs="Times New Roman"/>
          <w:sz w:val="20"/>
          <w:szCs w:val="24"/>
          <w:lang w:val="en-US"/>
        </w:rPr>
        <w:t xml:space="preserve">. These criteria directly affect </w:t>
      </w:r>
      <w:r w:rsidR="0045454C">
        <w:rPr>
          <w:rFonts w:ascii="Times New Roman" w:hAnsi="Times New Roman" w:cs="Times New Roman"/>
          <w:sz w:val="20"/>
          <w:szCs w:val="24"/>
          <w:lang w:val="en-US"/>
        </w:rPr>
        <w:t xml:space="preserve">to </w:t>
      </w:r>
      <w:r w:rsidR="00842D7D" w:rsidRPr="00842D7D">
        <w:rPr>
          <w:rFonts w:ascii="Times New Roman" w:hAnsi="Times New Roman" w:cs="Times New Roman"/>
          <w:sz w:val="20"/>
          <w:szCs w:val="24"/>
          <w:lang w:val="en-US"/>
        </w:rPr>
        <w:t>the amount of generated radioactive waste that will have to be handled after the decommissioning of nuclear reactor or nuclear fuel cycle facility.</w:t>
      </w:r>
    </w:p>
    <w:p w:rsidR="00EC1A01" w:rsidRPr="00A3005E" w:rsidRDefault="00EC1A01" w:rsidP="00EC1A01">
      <w:pPr>
        <w:spacing w:before="120" w:after="60" w:line="260" w:lineRule="atLeast"/>
        <w:jc w:val="both"/>
        <w:rPr>
          <w:rFonts w:ascii="Times New Roman" w:hAnsi="Times New Roman" w:cs="Times New Roman"/>
          <w:i/>
          <w:sz w:val="20"/>
          <w:szCs w:val="24"/>
          <w:lang w:val="en-US"/>
        </w:rPr>
      </w:pPr>
      <w:r w:rsidRPr="00842D7D">
        <w:rPr>
          <w:rFonts w:ascii="Times New Roman" w:hAnsi="Times New Roman" w:cs="Times New Roman"/>
          <w:sz w:val="20"/>
          <w:szCs w:val="24"/>
          <w:lang w:val="en-US"/>
        </w:rPr>
        <w:tab/>
      </w:r>
      <w:r w:rsidR="00C42F47" w:rsidRPr="00F3386A">
        <w:rPr>
          <w:rFonts w:ascii="Times New Roman" w:hAnsi="Times New Roman" w:cs="Times New Roman"/>
          <w:i/>
          <w:sz w:val="20"/>
          <w:szCs w:val="24"/>
          <w:lang w:val="en-US"/>
        </w:rPr>
        <w:t>High</w:t>
      </w:r>
      <w:r w:rsidR="00C42F47" w:rsidRPr="00A3005E">
        <w:rPr>
          <w:rFonts w:ascii="Times New Roman" w:hAnsi="Times New Roman" w:cs="Times New Roman"/>
          <w:i/>
          <w:sz w:val="20"/>
          <w:szCs w:val="24"/>
          <w:lang w:val="en-US"/>
        </w:rPr>
        <w:t>-</w:t>
      </w:r>
      <w:r w:rsidR="00C42F47" w:rsidRPr="00F3386A">
        <w:rPr>
          <w:rFonts w:ascii="Times New Roman" w:hAnsi="Times New Roman" w:cs="Times New Roman"/>
          <w:i/>
          <w:sz w:val="20"/>
          <w:szCs w:val="24"/>
          <w:lang w:val="en-US"/>
        </w:rPr>
        <w:t>level</w:t>
      </w:r>
      <w:r w:rsidR="00C42F47" w:rsidRPr="00A3005E">
        <w:rPr>
          <w:rFonts w:ascii="Times New Roman" w:hAnsi="Times New Roman" w:cs="Times New Roman"/>
          <w:i/>
          <w:sz w:val="20"/>
          <w:szCs w:val="24"/>
          <w:lang w:val="en-US"/>
        </w:rPr>
        <w:t xml:space="preserve"> </w:t>
      </w:r>
      <w:r w:rsidR="00C42F47" w:rsidRPr="00F3386A">
        <w:rPr>
          <w:rFonts w:ascii="Times New Roman" w:hAnsi="Times New Roman" w:cs="Times New Roman"/>
          <w:i/>
          <w:sz w:val="20"/>
          <w:szCs w:val="24"/>
          <w:lang w:val="en-US"/>
        </w:rPr>
        <w:t>objective</w:t>
      </w:r>
      <w:r w:rsidR="00C42F47" w:rsidRPr="00A3005E">
        <w:rPr>
          <w:rFonts w:ascii="Times New Roman" w:hAnsi="Times New Roman" w:cs="Times New Roman"/>
          <w:i/>
          <w:sz w:val="20"/>
          <w:szCs w:val="24"/>
          <w:lang w:val="en-US"/>
        </w:rPr>
        <w:t xml:space="preserve"> </w:t>
      </w:r>
      <w:r w:rsidR="004A635D">
        <w:rPr>
          <w:rFonts w:ascii="Times New Roman" w:hAnsi="Times New Roman" w:cs="Times New Roman"/>
          <w:i/>
          <w:sz w:val="20"/>
          <w:szCs w:val="24"/>
          <w:lang w:val="en-US"/>
        </w:rPr>
        <w:t>“</w:t>
      </w:r>
      <w:r w:rsidR="00A3005E" w:rsidRPr="00A3005E">
        <w:rPr>
          <w:rFonts w:ascii="Times New Roman" w:hAnsi="Times New Roman" w:cs="Times New Roman"/>
          <w:i/>
          <w:sz w:val="20"/>
          <w:szCs w:val="24"/>
          <w:lang w:val="en-US"/>
        </w:rPr>
        <w:t>Technology readiness</w:t>
      </w:r>
      <w:r w:rsidR="004A635D">
        <w:rPr>
          <w:rFonts w:ascii="Times New Roman" w:hAnsi="Times New Roman" w:cs="Times New Roman"/>
          <w:i/>
          <w:sz w:val="20"/>
          <w:szCs w:val="24"/>
          <w:lang w:val="en-US"/>
        </w:rPr>
        <w:t>”</w:t>
      </w:r>
    </w:p>
    <w:p w:rsidR="00EC1A01" w:rsidRPr="00060380" w:rsidRDefault="0021238D" w:rsidP="0021238D">
      <w:pPr>
        <w:spacing w:before="120" w:after="0" w:line="260" w:lineRule="atLeast"/>
        <w:ind w:firstLine="708"/>
        <w:contextualSpacing/>
        <w:jc w:val="both"/>
        <w:rPr>
          <w:rFonts w:ascii="Times New Roman" w:hAnsi="Times New Roman" w:cs="Times New Roman"/>
          <w:sz w:val="20"/>
          <w:szCs w:val="24"/>
          <w:lang w:val="en-US"/>
        </w:rPr>
      </w:pPr>
      <w:r w:rsidRPr="0021238D">
        <w:rPr>
          <w:rFonts w:ascii="Times New Roman" w:hAnsi="Times New Roman" w:cs="Times New Roman"/>
          <w:sz w:val="20"/>
          <w:szCs w:val="24"/>
          <w:lang w:val="en-US"/>
        </w:rPr>
        <w:t xml:space="preserve">One of the most important aspects in prioritizing various technological options is the </w:t>
      </w:r>
      <w:r w:rsidR="00060380" w:rsidRPr="0021238D">
        <w:rPr>
          <w:rFonts w:ascii="Times New Roman" w:hAnsi="Times New Roman" w:cs="Times New Roman"/>
          <w:sz w:val="20"/>
          <w:szCs w:val="24"/>
          <w:lang w:val="en-US"/>
        </w:rPr>
        <w:t>readiness</w:t>
      </w:r>
      <w:r w:rsidRPr="0021238D">
        <w:rPr>
          <w:rFonts w:ascii="Times New Roman" w:hAnsi="Times New Roman" w:cs="Times New Roman"/>
          <w:sz w:val="20"/>
          <w:szCs w:val="24"/>
          <w:lang w:val="en-US"/>
        </w:rPr>
        <w:t xml:space="preserve"> of the technologies under consideration, which affects the level of costs for their implementation, the timing of their development, the need to develop new regulatory standards, etc. The high-level objective "Technology Readiness" includes two assessment areas: Level of the technology development and Infrastructure Readiness. </w:t>
      </w:r>
      <w:r w:rsidR="00060380" w:rsidRPr="00060380">
        <w:rPr>
          <w:rFonts w:ascii="Times New Roman" w:hAnsi="Times New Roman" w:cs="Times New Roman"/>
          <w:sz w:val="20"/>
          <w:szCs w:val="24"/>
          <w:lang w:val="en-US"/>
        </w:rPr>
        <w:t>These assessment areas</w:t>
      </w:r>
      <w:r w:rsidRPr="00060380">
        <w:rPr>
          <w:rFonts w:ascii="Times New Roman" w:hAnsi="Times New Roman" w:cs="Times New Roman"/>
          <w:sz w:val="20"/>
          <w:szCs w:val="24"/>
          <w:lang w:val="en-US"/>
        </w:rPr>
        <w:t xml:space="preserve"> include eight assessment criteria.</w:t>
      </w:r>
    </w:p>
    <w:p w:rsidR="00EC1A01" w:rsidRPr="00060380" w:rsidRDefault="00EC1A01" w:rsidP="00060380">
      <w:pPr>
        <w:spacing w:before="120" w:after="0" w:line="260" w:lineRule="atLeast"/>
        <w:contextualSpacing/>
        <w:jc w:val="both"/>
        <w:rPr>
          <w:rFonts w:ascii="Times New Roman" w:hAnsi="Times New Roman" w:cs="Times New Roman"/>
          <w:sz w:val="20"/>
          <w:szCs w:val="24"/>
          <w:lang w:val="en-US"/>
        </w:rPr>
      </w:pPr>
      <w:r w:rsidRPr="00060380">
        <w:rPr>
          <w:rFonts w:ascii="Times New Roman" w:hAnsi="Times New Roman" w:cs="Times New Roman"/>
          <w:sz w:val="20"/>
          <w:szCs w:val="24"/>
          <w:lang w:val="en-US"/>
        </w:rPr>
        <w:tab/>
      </w:r>
      <w:r w:rsidR="00060380" w:rsidRPr="00060380">
        <w:rPr>
          <w:rFonts w:ascii="Times New Roman" w:hAnsi="Times New Roman" w:cs="Times New Roman"/>
          <w:sz w:val="20"/>
          <w:szCs w:val="24"/>
          <w:lang w:val="en-US"/>
        </w:rPr>
        <w:t>The assessment area "Level of the technology development" includes six criteria: the current TRL of the reactor, the current TRL of the coolant, the current TRL of the primary circuit structural ma</w:t>
      </w:r>
      <w:r w:rsidR="0045454C">
        <w:rPr>
          <w:rFonts w:ascii="Times New Roman" w:hAnsi="Times New Roman" w:cs="Times New Roman"/>
          <w:sz w:val="20"/>
          <w:szCs w:val="24"/>
          <w:lang w:val="en-US"/>
        </w:rPr>
        <w:t>terials, the current TRL of nucl</w:t>
      </w:r>
      <w:r w:rsidR="00060380" w:rsidRPr="00060380">
        <w:rPr>
          <w:rFonts w:ascii="Times New Roman" w:hAnsi="Times New Roman" w:cs="Times New Roman"/>
          <w:sz w:val="20"/>
          <w:szCs w:val="24"/>
          <w:lang w:val="en-US"/>
        </w:rPr>
        <w:t>ear fuel with MA, the probability of the project failure and the expected time to reach the technology readiness.</w:t>
      </w:r>
    </w:p>
    <w:p w:rsidR="00EC1A01" w:rsidRDefault="00EC1A01" w:rsidP="00060380">
      <w:pPr>
        <w:spacing w:before="120" w:after="0" w:line="260" w:lineRule="atLeast"/>
        <w:contextualSpacing/>
        <w:jc w:val="both"/>
        <w:rPr>
          <w:rFonts w:ascii="Times New Roman" w:hAnsi="Times New Roman" w:cs="Times New Roman"/>
          <w:sz w:val="20"/>
          <w:szCs w:val="24"/>
          <w:lang w:val="en-US"/>
        </w:rPr>
      </w:pPr>
      <w:r w:rsidRPr="00060380">
        <w:rPr>
          <w:rFonts w:ascii="Times New Roman" w:hAnsi="Times New Roman" w:cs="Times New Roman"/>
          <w:sz w:val="20"/>
          <w:szCs w:val="24"/>
          <w:lang w:val="en-US"/>
        </w:rPr>
        <w:tab/>
      </w:r>
      <w:r w:rsidR="00060380" w:rsidRPr="00060380">
        <w:rPr>
          <w:rFonts w:ascii="Times New Roman" w:hAnsi="Times New Roman" w:cs="Times New Roman"/>
          <w:sz w:val="20"/>
          <w:szCs w:val="24"/>
          <w:lang w:val="en-US"/>
        </w:rPr>
        <w:t xml:space="preserve">The assessment </w:t>
      </w:r>
      <w:r w:rsidR="00060380">
        <w:rPr>
          <w:rFonts w:ascii="Times New Roman" w:hAnsi="Times New Roman" w:cs="Times New Roman"/>
          <w:sz w:val="20"/>
          <w:szCs w:val="24"/>
          <w:lang w:val="en-US"/>
        </w:rPr>
        <w:t>area "Infrastructure Readiness"</w:t>
      </w:r>
      <w:r w:rsidR="00060380" w:rsidRPr="00060380">
        <w:rPr>
          <w:rFonts w:ascii="Times New Roman" w:hAnsi="Times New Roman" w:cs="Times New Roman"/>
          <w:sz w:val="20"/>
          <w:szCs w:val="24"/>
          <w:lang w:val="en-US"/>
        </w:rPr>
        <w:t xml:space="preserve"> describes the components required for both the development and full operation of nuclear power facilities. This area includes 3 criteria: the presence of a regulatory framework, the availability of infrastructure (personnel, training centers, etc.) and the availability of a research reactor base.</w:t>
      </w:r>
    </w:p>
    <w:p w:rsidR="00E84A3C" w:rsidRPr="00E84A3C" w:rsidRDefault="00E84A3C" w:rsidP="00E84A3C">
      <w:pPr>
        <w:spacing w:before="160" w:after="0" w:line="260" w:lineRule="atLeast"/>
        <w:ind w:firstLine="709"/>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 xml:space="preserve">Part of the quantitative assessments of the key criteria were based on published data. For example, assessments of the key criteria for the </w:t>
      </w:r>
      <w:r>
        <w:rPr>
          <w:rFonts w:ascii="Times New Roman" w:hAnsi="Times New Roman" w:cs="Times New Roman"/>
          <w:sz w:val="20"/>
          <w:szCs w:val="24"/>
          <w:lang w:val="en-US"/>
        </w:rPr>
        <w:t>h</w:t>
      </w:r>
      <w:r w:rsidRPr="00E84A3C">
        <w:rPr>
          <w:rFonts w:ascii="Times New Roman" w:hAnsi="Times New Roman" w:cs="Times New Roman"/>
          <w:sz w:val="20"/>
          <w:szCs w:val="24"/>
          <w:lang w:val="en-US"/>
        </w:rPr>
        <w:t xml:space="preserve">igh-level objective </w:t>
      </w:r>
      <w:r w:rsidRPr="00E84A3C">
        <w:rPr>
          <w:rFonts w:ascii="Times New Roman" w:hAnsi="Times New Roman" w:cs="Times New Roman"/>
          <w:sz w:val="20"/>
          <w:szCs w:val="24"/>
          <w:lang w:val="en-US"/>
        </w:rPr>
        <w:t xml:space="preserve">"Transmutation" were based on information from </w:t>
      </w:r>
      <w:r>
        <w:rPr>
          <w:rFonts w:ascii="Times New Roman" w:hAnsi="Times New Roman" w:cs="Times New Roman"/>
          <w:sz w:val="20"/>
          <w:szCs w:val="24"/>
          <w:lang w:val="en-US"/>
        </w:rPr>
        <w:t>[12, 13, 15-21]</w:t>
      </w:r>
      <w:r w:rsidRPr="00E84A3C">
        <w:rPr>
          <w:rFonts w:ascii="Times New Roman" w:hAnsi="Times New Roman" w:cs="Times New Roman"/>
          <w:sz w:val="20"/>
          <w:szCs w:val="24"/>
          <w:lang w:val="en-US"/>
        </w:rPr>
        <w:t>.</w:t>
      </w:r>
      <w:r w:rsidRPr="00E84A3C">
        <w:rPr>
          <w:rFonts w:ascii="Times New Roman" w:hAnsi="Times New Roman" w:cs="Times New Roman"/>
          <w:sz w:val="20"/>
          <w:szCs w:val="24"/>
          <w:lang w:val="en-US"/>
        </w:rPr>
        <w:t xml:space="preserve"> </w:t>
      </w:r>
      <w:bookmarkStart w:id="0" w:name="_GoBack"/>
      <w:bookmarkEnd w:id="0"/>
      <w:r w:rsidRPr="00E84A3C">
        <w:rPr>
          <w:rFonts w:ascii="Times New Roman" w:hAnsi="Times New Roman" w:cs="Times New Roman"/>
          <w:sz w:val="20"/>
          <w:szCs w:val="24"/>
          <w:lang w:val="en-US"/>
        </w:rPr>
        <w:t>The other part was prepared by interviewing a group of experts with subsequent averaging of the obtained estimates.</w:t>
      </w:r>
    </w:p>
    <w:p w:rsidR="00EC1A01" w:rsidRPr="00E612D8" w:rsidRDefault="00E84A3C" w:rsidP="00E612D8">
      <w:pPr>
        <w:spacing w:before="120" w:after="0" w:line="260" w:lineRule="atLeast"/>
        <w:contextualSpacing/>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ab/>
      </w:r>
      <w:r w:rsidR="00E612D8" w:rsidRPr="00E612D8">
        <w:rPr>
          <w:rFonts w:ascii="Times New Roman" w:hAnsi="Times New Roman" w:cs="Times New Roman"/>
          <w:sz w:val="20"/>
          <w:szCs w:val="24"/>
          <w:lang w:val="en-US"/>
        </w:rPr>
        <w:t xml:space="preserve">Figure 2 shows the normalized values of the criteria, and Table 1 provides a description of </w:t>
      </w:r>
      <w:r w:rsidR="00E612D8" w:rsidRPr="00F3386A">
        <w:rPr>
          <w:rFonts w:ascii="Times New Roman" w:hAnsi="Times New Roman" w:cs="Times New Roman"/>
          <w:sz w:val="20"/>
          <w:szCs w:val="24"/>
          <w:lang w:val="en-US"/>
        </w:rPr>
        <w:t>hierarchical structure of th</w:t>
      </w:r>
      <w:r w:rsidR="00E612D8">
        <w:rPr>
          <w:rFonts w:ascii="Times New Roman" w:hAnsi="Times New Roman" w:cs="Times New Roman"/>
          <w:sz w:val="20"/>
          <w:szCs w:val="24"/>
          <w:lang w:val="en-US"/>
        </w:rPr>
        <w:t>e</w:t>
      </w:r>
      <w:r w:rsidR="00E612D8" w:rsidRPr="00F3386A">
        <w:rPr>
          <w:rFonts w:ascii="Times New Roman" w:hAnsi="Times New Roman" w:cs="Times New Roman"/>
          <w:sz w:val="20"/>
          <w:szCs w:val="24"/>
          <w:lang w:val="en-US"/>
        </w:rPr>
        <w:t xml:space="preserve"> </w:t>
      </w:r>
      <w:r w:rsidR="00E612D8">
        <w:rPr>
          <w:rFonts w:ascii="Times New Roman" w:hAnsi="Times New Roman" w:cs="Times New Roman"/>
          <w:sz w:val="20"/>
          <w:szCs w:val="24"/>
          <w:lang w:val="en-US"/>
        </w:rPr>
        <w:t>o</w:t>
      </w:r>
      <w:r w:rsidR="00E612D8" w:rsidRPr="00F3386A">
        <w:rPr>
          <w:rFonts w:ascii="Times New Roman" w:hAnsi="Times New Roman" w:cs="Times New Roman"/>
          <w:sz w:val="20"/>
          <w:szCs w:val="24"/>
          <w:lang w:val="en-US"/>
        </w:rPr>
        <w:t>bjectives tree</w:t>
      </w:r>
      <w:r w:rsidR="00E612D8" w:rsidRPr="00E612D8">
        <w:rPr>
          <w:rFonts w:ascii="Times New Roman" w:hAnsi="Times New Roman" w:cs="Times New Roman"/>
          <w:sz w:val="20"/>
          <w:szCs w:val="24"/>
          <w:lang w:val="en-US"/>
        </w:rPr>
        <w:t>.</w:t>
      </w:r>
    </w:p>
    <w:p w:rsidR="00EC1A01" w:rsidRDefault="00FB1341" w:rsidP="00EC1A01">
      <w:pPr>
        <w:spacing w:before="120" w:after="0" w:line="260" w:lineRule="atLeast"/>
        <w:contextualSpacing/>
        <w:jc w:val="center"/>
        <w:rPr>
          <w:rFonts w:ascii="Times New Roman" w:hAnsi="Times New Roman" w:cs="Times New Roman"/>
          <w:sz w:val="20"/>
          <w:szCs w:val="24"/>
        </w:rPr>
      </w:pPr>
      <w:r w:rsidRPr="00FB1341">
        <w:rPr>
          <w:noProof/>
          <w:lang w:eastAsia="ru-RU"/>
        </w:rPr>
        <w:lastRenderedPageBreak/>
        <w:drawing>
          <wp:inline distT="0" distB="0" distL="0" distR="0">
            <wp:extent cx="5564473" cy="45491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120" cy="4556209"/>
                    </a:xfrm>
                    <a:prstGeom prst="rect">
                      <a:avLst/>
                    </a:prstGeom>
                    <a:noFill/>
                    <a:ln>
                      <a:noFill/>
                    </a:ln>
                  </pic:spPr>
                </pic:pic>
              </a:graphicData>
            </a:graphic>
          </wp:inline>
        </w:drawing>
      </w:r>
    </w:p>
    <w:p w:rsidR="00EC1A01" w:rsidRPr="00E612D8" w:rsidRDefault="00E612D8" w:rsidP="00E612D8">
      <w:pPr>
        <w:spacing w:after="120" w:line="260" w:lineRule="atLeast"/>
        <w:jc w:val="center"/>
        <w:rPr>
          <w:rFonts w:ascii="Times New Roman" w:hAnsi="Times New Roman" w:cs="Times New Roman"/>
          <w:sz w:val="20"/>
          <w:szCs w:val="24"/>
          <w:lang w:val="en-US"/>
        </w:rPr>
      </w:pPr>
      <w:r>
        <w:rPr>
          <w:rFonts w:ascii="Times New Roman" w:hAnsi="Times New Roman" w:cs="Times New Roman"/>
          <w:sz w:val="20"/>
          <w:szCs w:val="24"/>
          <w:lang w:val="en-US"/>
        </w:rPr>
        <w:t>FIG</w:t>
      </w:r>
      <w:r w:rsidR="00EC1A01" w:rsidRPr="00E612D8">
        <w:rPr>
          <w:rFonts w:ascii="Times New Roman" w:hAnsi="Times New Roman" w:cs="Times New Roman"/>
          <w:sz w:val="20"/>
          <w:szCs w:val="24"/>
          <w:lang w:val="en-US"/>
        </w:rPr>
        <w:t xml:space="preserve"> 2. </w:t>
      </w:r>
      <w:r>
        <w:rPr>
          <w:rFonts w:ascii="Times New Roman" w:hAnsi="Times New Roman" w:cs="Times New Roman"/>
          <w:sz w:val="20"/>
          <w:szCs w:val="24"/>
          <w:lang w:val="en-US"/>
        </w:rPr>
        <w:t>N</w:t>
      </w:r>
      <w:r w:rsidRPr="00E612D8">
        <w:rPr>
          <w:rFonts w:ascii="Times New Roman" w:hAnsi="Times New Roman" w:cs="Times New Roman"/>
          <w:sz w:val="20"/>
          <w:szCs w:val="24"/>
          <w:lang w:val="en-US"/>
        </w:rPr>
        <w:t>ormalized values of evaluation criteria</w:t>
      </w:r>
    </w:p>
    <w:p w:rsidR="005F109A" w:rsidRPr="00E612D8" w:rsidRDefault="005F109A" w:rsidP="005F109A">
      <w:pPr>
        <w:spacing w:before="120" w:after="0" w:line="260" w:lineRule="atLeast"/>
        <w:contextualSpacing/>
        <w:jc w:val="both"/>
        <w:rPr>
          <w:rFonts w:ascii="Times New Roman" w:hAnsi="Times New Roman" w:cs="Times New Roman"/>
          <w:sz w:val="20"/>
          <w:szCs w:val="24"/>
          <w:lang w:val="en-US"/>
        </w:rPr>
        <w:sectPr w:rsidR="005F109A" w:rsidRPr="00E612D8" w:rsidSect="00A42778">
          <w:headerReference w:type="even" r:id="rId10"/>
          <w:headerReference w:type="default" r:id="rId11"/>
          <w:footerReference w:type="default" r:id="rId12"/>
          <w:pgSz w:w="11906" w:h="16838"/>
          <w:pgMar w:top="1134" w:right="850" w:bottom="1134" w:left="1701" w:header="708" w:footer="708" w:gutter="0"/>
          <w:cols w:space="708"/>
          <w:docGrid w:linePitch="360"/>
        </w:sectPr>
      </w:pPr>
    </w:p>
    <w:p w:rsidR="005F109A" w:rsidRPr="00E612D8" w:rsidRDefault="00E612D8" w:rsidP="005F109A">
      <w:pPr>
        <w:spacing w:before="120" w:after="0" w:line="260" w:lineRule="atLeast"/>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lastRenderedPageBreak/>
        <w:t>TABLE</w:t>
      </w:r>
      <w:r w:rsidRPr="00E612D8">
        <w:rPr>
          <w:rFonts w:ascii="Times New Roman" w:hAnsi="Times New Roman" w:cs="Times New Roman"/>
          <w:sz w:val="20"/>
          <w:szCs w:val="24"/>
          <w:lang w:val="en-US"/>
        </w:rPr>
        <w:t xml:space="preserve"> </w:t>
      </w:r>
      <w:r w:rsidR="005F109A" w:rsidRPr="00E612D8">
        <w:rPr>
          <w:rFonts w:ascii="Times New Roman" w:hAnsi="Times New Roman" w:cs="Times New Roman"/>
          <w:sz w:val="20"/>
          <w:szCs w:val="24"/>
          <w:lang w:val="en-US"/>
        </w:rPr>
        <w:t xml:space="preserve">1. </w:t>
      </w:r>
      <w:r w:rsidRPr="00E612D8">
        <w:rPr>
          <w:rFonts w:ascii="Times New Roman" w:hAnsi="Times New Roman" w:cs="Times New Roman"/>
          <w:sz w:val="20"/>
          <w:szCs w:val="24"/>
          <w:lang w:val="en-US"/>
        </w:rPr>
        <w:t xml:space="preserve">Summary table of criteria, areas of assessment and high-level </w:t>
      </w:r>
      <w:r>
        <w:rPr>
          <w:rFonts w:ascii="Times New Roman" w:hAnsi="Times New Roman" w:cs="Times New Roman"/>
          <w:sz w:val="20"/>
          <w:szCs w:val="24"/>
          <w:lang w:val="en-US"/>
        </w:rPr>
        <w:t>objectives</w:t>
      </w:r>
    </w:p>
    <w:p w:rsidR="005F109A" w:rsidRPr="00E612D8" w:rsidRDefault="005F109A" w:rsidP="005F109A">
      <w:pPr>
        <w:spacing w:before="120" w:after="0" w:line="260" w:lineRule="atLeast"/>
        <w:contextualSpacing/>
        <w:jc w:val="both"/>
        <w:rPr>
          <w:rFonts w:ascii="Times New Roman" w:hAnsi="Times New Roman" w:cs="Times New Roman"/>
          <w:sz w:val="20"/>
          <w:szCs w:val="24"/>
          <w:lang w:val="en-US"/>
        </w:rPr>
      </w:pPr>
    </w:p>
    <w:tbl>
      <w:tblPr>
        <w:tblStyle w:val="21"/>
        <w:tblW w:w="0" w:type="auto"/>
        <w:tblLook w:val="04A0" w:firstRow="1" w:lastRow="0" w:firstColumn="1" w:lastColumn="0" w:noHBand="0" w:noVBand="1"/>
      </w:tblPr>
      <w:tblGrid>
        <w:gridCol w:w="2263"/>
        <w:gridCol w:w="2977"/>
        <w:gridCol w:w="1418"/>
        <w:gridCol w:w="7431"/>
      </w:tblGrid>
      <w:tr w:rsidR="005F109A" w:rsidTr="005F1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F109A" w:rsidRPr="005F109A" w:rsidRDefault="005B4BA5" w:rsidP="005F109A">
            <w:pPr>
              <w:jc w:val="center"/>
              <w:rPr>
                <w:rFonts w:ascii="Times New Roman" w:hAnsi="Times New Roman" w:cs="Times New Roman"/>
                <w:sz w:val="20"/>
                <w:szCs w:val="20"/>
              </w:rPr>
            </w:pPr>
            <w:proofErr w:type="spellStart"/>
            <w:r w:rsidRPr="005B4BA5">
              <w:rPr>
                <w:rFonts w:ascii="Times New Roman" w:hAnsi="Times New Roman" w:cs="Times New Roman"/>
                <w:sz w:val="20"/>
                <w:szCs w:val="20"/>
              </w:rPr>
              <w:t>High-level</w:t>
            </w:r>
            <w:proofErr w:type="spellEnd"/>
            <w:r w:rsidRPr="005B4BA5">
              <w:rPr>
                <w:rFonts w:ascii="Times New Roman" w:hAnsi="Times New Roman" w:cs="Times New Roman"/>
                <w:sz w:val="20"/>
                <w:szCs w:val="20"/>
              </w:rPr>
              <w:t xml:space="preserve"> </w:t>
            </w:r>
            <w:proofErr w:type="spellStart"/>
            <w:r w:rsidRPr="005B4BA5">
              <w:rPr>
                <w:rFonts w:ascii="Times New Roman" w:hAnsi="Times New Roman" w:cs="Times New Roman"/>
                <w:sz w:val="20"/>
                <w:szCs w:val="20"/>
              </w:rPr>
              <w:t>objectives</w:t>
            </w:r>
            <w:proofErr w:type="spellEnd"/>
          </w:p>
        </w:tc>
        <w:tc>
          <w:tcPr>
            <w:tcW w:w="2977" w:type="dxa"/>
          </w:tcPr>
          <w:p w:rsidR="005F109A" w:rsidRPr="005B4BA5" w:rsidRDefault="005B4BA5" w:rsidP="005F10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Assessment areas</w:t>
            </w:r>
          </w:p>
        </w:tc>
        <w:tc>
          <w:tcPr>
            <w:tcW w:w="1418" w:type="dxa"/>
          </w:tcPr>
          <w:p w:rsidR="005F109A" w:rsidRPr="005B4BA5" w:rsidRDefault="005B4BA5" w:rsidP="005B4B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B4BA5">
              <w:rPr>
                <w:rFonts w:ascii="Times New Roman" w:hAnsi="Times New Roman" w:cs="Times New Roman"/>
                <w:sz w:val="20"/>
                <w:szCs w:val="20"/>
                <w:lang w:val="en-US"/>
              </w:rPr>
              <w:t xml:space="preserve">Short title of </w:t>
            </w:r>
            <w:r>
              <w:rPr>
                <w:rFonts w:ascii="Times New Roman" w:hAnsi="Times New Roman" w:cs="Times New Roman"/>
                <w:sz w:val="20"/>
                <w:szCs w:val="20"/>
              </w:rPr>
              <w:t>с</w:t>
            </w:r>
            <w:proofErr w:type="spellStart"/>
            <w:r>
              <w:rPr>
                <w:rFonts w:ascii="Times New Roman" w:hAnsi="Times New Roman" w:cs="Times New Roman"/>
                <w:sz w:val="20"/>
                <w:szCs w:val="20"/>
                <w:lang w:val="en-US"/>
              </w:rPr>
              <w:t>riteria</w:t>
            </w:r>
            <w:proofErr w:type="spellEnd"/>
          </w:p>
        </w:tc>
        <w:tc>
          <w:tcPr>
            <w:tcW w:w="7431" w:type="dxa"/>
          </w:tcPr>
          <w:p w:rsidR="005F109A" w:rsidRPr="005F109A" w:rsidRDefault="005B4BA5" w:rsidP="005F10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5B4BA5">
              <w:rPr>
                <w:rFonts w:ascii="Times New Roman" w:hAnsi="Times New Roman" w:cs="Times New Roman"/>
                <w:sz w:val="20"/>
                <w:szCs w:val="20"/>
              </w:rPr>
              <w:t>Description</w:t>
            </w:r>
            <w:proofErr w:type="spellEnd"/>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5F109A" w:rsidRPr="005F109A" w:rsidRDefault="005B4BA5" w:rsidP="005F109A">
            <w:pPr>
              <w:jc w:val="center"/>
              <w:rPr>
                <w:rFonts w:ascii="Times New Roman" w:hAnsi="Times New Roman" w:cs="Times New Roman"/>
                <w:sz w:val="20"/>
                <w:szCs w:val="20"/>
              </w:rPr>
            </w:pPr>
            <w:r w:rsidRPr="004063FD">
              <w:rPr>
                <w:rFonts w:ascii="Times New Roman" w:hAnsi="Times New Roman" w:cs="Times New Roman"/>
                <w:sz w:val="20"/>
                <w:szCs w:val="20"/>
              </w:rPr>
              <w:t xml:space="preserve">MA </w:t>
            </w:r>
            <w:proofErr w:type="spellStart"/>
            <w:r w:rsidRPr="004063FD">
              <w:rPr>
                <w:rFonts w:ascii="Times New Roman" w:hAnsi="Times New Roman" w:cs="Times New Roman"/>
                <w:sz w:val="20"/>
                <w:szCs w:val="20"/>
              </w:rPr>
              <w:t>transmutation</w:t>
            </w:r>
            <w:proofErr w:type="spellEnd"/>
          </w:p>
        </w:tc>
        <w:tc>
          <w:tcPr>
            <w:tcW w:w="2977" w:type="dxa"/>
            <w:vMerge w:val="restart"/>
          </w:tcPr>
          <w:p w:rsidR="005F109A" w:rsidRPr="005F109A" w:rsidRDefault="004063FD"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E</w:t>
            </w:r>
            <w:proofErr w:type="spellStart"/>
            <w:r w:rsidRPr="004063FD">
              <w:rPr>
                <w:rFonts w:ascii="Times New Roman" w:hAnsi="Times New Roman" w:cs="Times New Roman"/>
                <w:sz w:val="20"/>
                <w:szCs w:val="20"/>
              </w:rPr>
              <w:t>fficiency</w:t>
            </w:r>
            <w:proofErr w:type="spellEnd"/>
            <w:r w:rsidRPr="004063FD">
              <w:rPr>
                <w:rFonts w:ascii="Times New Roman" w:hAnsi="Times New Roman" w:cs="Times New Roman"/>
                <w:sz w:val="20"/>
                <w:szCs w:val="20"/>
              </w:rPr>
              <w:t xml:space="preserve"> </w:t>
            </w:r>
            <w:proofErr w:type="spellStart"/>
            <w:r w:rsidRPr="004063FD">
              <w:rPr>
                <w:rFonts w:ascii="Times New Roman" w:hAnsi="Times New Roman" w:cs="Times New Roman"/>
                <w:sz w:val="20"/>
                <w:szCs w:val="20"/>
              </w:rPr>
              <w:t>of</w:t>
            </w:r>
            <w:proofErr w:type="spellEnd"/>
            <w:r w:rsidRPr="004063FD">
              <w:rPr>
                <w:rFonts w:ascii="Times New Roman" w:hAnsi="Times New Roman" w:cs="Times New Roman"/>
                <w:sz w:val="20"/>
                <w:szCs w:val="20"/>
              </w:rPr>
              <w:t xml:space="preserve"> MA </w:t>
            </w:r>
            <w:proofErr w:type="spellStart"/>
            <w:r w:rsidRPr="004063FD">
              <w:rPr>
                <w:rFonts w:ascii="Times New Roman" w:hAnsi="Times New Roman" w:cs="Times New Roman"/>
                <w:sz w:val="20"/>
                <w:szCs w:val="20"/>
              </w:rPr>
              <w:t>transmutation</w:t>
            </w:r>
            <w:proofErr w:type="spellEnd"/>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w:t>
            </w:r>
          </w:p>
        </w:tc>
        <w:tc>
          <w:tcPr>
            <w:tcW w:w="7431" w:type="dxa"/>
            <w:vAlign w:val="center"/>
          </w:tcPr>
          <w:p w:rsidR="005F109A" w:rsidRPr="004063FD" w:rsidRDefault="004063FD" w:rsidP="00406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w:t>
            </w:r>
            <w:r w:rsidRPr="004063FD">
              <w:rPr>
                <w:rFonts w:ascii="Times New Roman" w:hAnsi="Times New Roman" w:cs="Times New Roman"/>
                <w:sz w:val="20"/>
                <w:szCs w:val="20"/>
                <w:lang w:val="en-US"/>
              </w:rPr>
              <w:t>verage rate of MA transmutation</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kg</w:t>
            </w:r>
            <w:r w:rsidR="005F109A" w:rsidRPr="004063FD">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year</w:t>
            </w:r>
            <w:r w:rsidR="005F109A" w:rsidRPr="004063FD">
              <w:rPr>
                <w:rFonts w:ascii="Times New Roman" w:eastAsia="MS Gothic" w:hAnsi="Times New Roman" w:cs="Times New Roman"/>
                <w:sz w:val="20"/>
                <w:szCs w:val="20"/>
                <w:lang w:val="en-US"/>
              </w:rPr>
              <w:t>‧</w:t>
            </w:r>
            <w:r>
              <w:rPr>
                <w:rFonts w:ascii="Times New Roman" w:hAnsi="Times New Roman" w:cs="Times New Roman"/>
                <w:sz w:val="20"/>
                <w:szCs w:val="20"/>
                <w:lang w:val="en-US"/>
              </w:rPr>
              <w:t>GW</w:t>
            </w:r>
            <w:proofErr w:type="spellEnd"/>
            <w:r w:rsidR="005F109A" w:rsidRPr="004063FD">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th</w:t>
            </w:r>
            <w:proofErr w:type="spellEnd"/>
            <w:r w:rsidR="005F109A" w:rsidRPr="004063FD">
              <w:rPr>
                <w:rFonts w:ascii="Times New Roman" w:hAnsi="Times New Roman" w:cs="Times New Roman"/>
                <w:sz w:val="20"/>
                <w:szCs w:val="20"/>
                <w:lang w:val="en-US"/>
              </w:rPr>
              <w:t>)</w:t>
            </w:r>
          </w:p>
        </w:tc>
      </w:tr>
      <w:tr w:rsidR="005F109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063FD" w:rsidRDefault="005F109A" w:rsidP="005F109A">
            <w:pPr>
              <w:jc w:val="center"/>
              <w:rPr>
                <w:rFonts w:ascii="Times New Roman" w:hAnsi="Times New Roman" w:cs="Times New Roman"/>
                <w:sz w:val="20"/>
                <w:szCs w:val="20"/>
                <w:lang w:val="en-US"/>
              </w:rPr>
            </w:pPr>
          </w:p>
        </w:tc>
        <w:tc>
          <w:tcPr>
            <w:tcW w:w="2977" w:type="dxa"/>
            <w:vMerge/>
          </w:tcPr>
          <w:p w:rsidR="005F109A" w:rsidRPr="004063FD"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109A">
              <w:rPr>
                <w:rFonts w:ascii="Times New Roman" w:hAnsi="Times New Roman" w:cs="Times New Roman"/>
                <w:sz w:val="20"/>
                <w:szCs w:val="20"/>
                <w:lang w:val="en-US"/>
              </w:rPr>
              <w:t>K2</w:t>
            </w:r>
          </w:p>
        </w:tc>
        <w:tc>
          <w:tcPr>
            <w:tcW w:w="7431" w:type="dxa"/>
            <w:vAlign w:val="center"/>
          </w:tcPr>
          <w:p w:rsidR="005F109A" w:rsidRPr="005F109A" w:rsidRDefault="004063FD"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E</w:t>
            </w:r>
            <w:r w:rsidRPr="004063FD">
              <w:rPr>
                <w:rFonts w:ascii="Times New Roman" w:hAnsi="Times New Roman" w:cs="Times New Roman"/>
                <w:sz w:val="20"/>
                <w:szCs w:val="20"/>
                <w:lang w:val="en-US"/>
              </w:rPr>
              <w:t>fficiency of MA transmutation</w:t>
            </w:r>
            <w:r w:rsidR="005F109A" w:rsidRPr="005F109A">
              <w:rPr>
                <w:rFonts w:ascii="Times New Roman" w:hAnsi="Times New Roman" w:cs="Times New Roman"/>
                <w:sz w:val="20"/>
                <w:szCs w:val="20"/>
              </w:rPr>
              <w:t>, %</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5F109A" w:rsidRDefault="005F109A" w:rsidP="005F109A">
            <w:pPr>
              <w:jc w:val="center"/>
              <w:rPr>
                <w:rFonts w:ascii="Times New Roman" w:hAnsi="Times New Roman" w:cs="Times New Roman"/>
                <w:sz w:val="20"/>
                <w:szCs w:val="20"/>
              </w:rPr>
            </w:pPr>
          </w:p>
        </w:tc>
        <w:tc>
          <w:tcPr>
            <w:tcW w:w="2977" w:type="dxa"/>
            <w:vMerge w:val="restart"/>
          </w:tcPr>
          <w:p w:rsidR="005F109A" w:rsidRPr="004063FD" w:rsidRDefault="004063FD"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063FD">
              <w:rPr>
                <w:rFonts w:ascii="Times New Roman" w:hAnsi="Times New Roman" w:cs="Times New Roman"/>
                <w:sz w:val="20"/>
                <w:szCs w:val="20"/>
                <w:lang w:val="en-US"/>
              </w:rPr>
              <w:t>Technical parameters of nuclear systems</w:t>
            </w: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К3</w:t>
            </w:r>
          </w:p>
        </w:tc>
        <w:tc>
          <w:tcPr>
            <w:tcW w:w="7431" w:type="dxa"/>
            <w:vAlign w:val="center"/>
          </w:tcPr>
          <w:p w:rsidR="005F109A" w:rsidRPr="004063FD" w:rsidRDefault="004063FD" w:rsidP="00406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F</w:t>
            </w:r>
            <w:r w:rsidRPr="004063FD">
              <w:rPr>
                <w:rFonts w:ascii="Times New Roman" w:hAnsi="Times New Roman" w:cs="Times New Roman"/>
                <w:sz w:val="20"/>
                <w:szCs w:val="20"/>
                <w:lang w:val="en-US"/>
              </w:rPr>
              <w:t>uel residence time in the reactor core</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EFPD</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063FD" w:rsidRDefault="005F109A" w:rsidP="005F109A">
            <w:pPr>
              <w:jc w:val="center"/>
              <w:rPr>
                <w:rFonts w:ascii="Times New Roman" w:hAnsi="Times New Roman" w:cs="Times New Roman"/>
                <w:sz w:val="20"/>
                <w:szCs w:val="20"/>
                <w:lang w:val="en-US"/>
              </w:rPr>
            </w:pPr>
          </w:p>
        </w:tc>
        <w:tc>
          <w:tcPr>
            <w:tcW w:w="2977" w:type="dxa"/>
            <w:vMerge/>
          </w:tcPr>
          <w:p w:rsidR="005F109A" w:rsidRPr="004063FD"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К4</w:t>
            </w:r>
          </w:p>
        </w:tc>
        <w:tc>
          <w:tcPr>
            <w:tcW w:w="7431" w:type="dxa"/>
            <w:vAlign w:val="center"/>
          </w:tcPr>
          <w:p w:rsidR="005F109A" w:rsidRPr="004063FD" w:rsidRDefault="004063FD" w:rsidP="00406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w:t>
            </w:r>
            <w:r w:rsidRPr="004063FD">
              <w:rPr>
                <w:rFonts w:ascii="Times New Roman" w:hAnsi="Times New Roman" w:cs="Times New Roman"/>
                <w:sz w:val="20"/>
                <w:szCs w:val="20"/>
                <w:lang w:val="en-US"/>
              </w:rPr>
              <w:t>uration of the external fuel cycle</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years</w:t>
            </w:r>
          </w:p>
        </w:tc>
      </w:tr>
      <w:tr w:rsidR="005F109A" w:rsidRPr="004063FD"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063FD" w:rsidRDefault="005F109A" w:rsidP="005F109A">
            <w:pPr>
              <w:jc w:val="center"/>
              <w:rPr>
                <w:rFonts w:ascii="Times New Roman" w:hAnsi="Times New Roman" w:cs="Times New Roman"/>
                <w:sz w:val="20"/>
                <w:szCs w:val="20"/>
                <w:lang w:val="en-US"/>
              </w:rPr>
            </w:pPr>
          </w:p>
        </w:tc>
        <w:tc>
          <w:tcPr>
            <w:tcW w:w="2977" w:type="dxa"/>
            <w:vMerge/>
          </w:tcPr>
          <w:p w:rsidR="005F109A" w:rsidRPr="004063FD"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К5</w:t>
            </w:r>
          </w:p>
        </w:tc>
        <w:tc>
          <w:tcPr>
            <w:tcW w:w="7431" w:type="dxa"/>
            <w:vAlign w:val="center"/>
          </w:tcPr>
          <w:p w:rsidR="005F109A" w:rsidRPr="004063FD" w:rsidRDefault="004063FD" w:rsidP="00406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w:t>
            </w:r>
            <w:r w:rsidRPr="004063FD">
              <w:rPr>
                <w:rFonts w:ascii="Times New Roman" w:hAnsi="Times New Roman" w:cs="Times New Roman"/>
                <w:sz w:val="20"/>
                <w:szCs w:val="20"/>
                <w:lang w:val="en-US"/>
              </w:rPr>
              <w:t>verage neutron energy</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MeV</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063FD" w:rsidRDefault="005F109A" w:rsidP="005F109A">
            <w:pPr>
              <w:jc w:val="center"/>
              <w:rPr>
                <w:rFonts w:ascii="Times New Roman" w:hAnsi="Times New Roman" w:cs="Times New Roman"/>
                <w:sz w:val="20"/>
                <w:szCs w:val="20"/>
                <w:lang w:val="en-US"/>
              </w:rPr>
            </w:pPr>
          </w:p>
        </w:tc>
        <w:tc>
          <w:tcPr>
            <w:tcW w:w="2977" w:type="dxa"/>
            <w:vMerge/>
          </w:tcPr>
          <w:p w:rsidR="005F109A" w:rsidRPr="004063FD"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К6</w:t>
            </w:r>
          </w:p>
        </w:tc>
        <w:tc>
          <w:tcPr>
            <w:tcW w:w="7431" w:type="dxa"/>
            <w:vAlign w:val="center"/>
          </w:tcPr>
          <w:p w:rsidR="005F109A" w:rsidRPr="004063FD" w:rsidRDefault="004063FD" w:rsidP="00406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063FD">
              <w:rPr>
                <w:rFonts w:ascii="Times New Roman" w:hAnsi="Times New Roman" w:cs="Times New Roman"/>
                <w:sz w:val="20"/>
                <w:szCs w:val="20"/>
                <w:lang w:val="en-US"/>
              </w:rPr>
              <w:t>Average neutron flux density</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neutron</w:t>
            </w:r>
            <w:r w:rsidR="00235E56" w:rsidRPr="004063FD">
              <w:rPr>
                <w:rFonts w:ascii="Times New Roman" w:eastAsia="MS Gothic" w:hAnsi="Times New Roman" w:cs="Times New Roman"/>
                <w:sz w:val="20"/>
                <w:szCs w:val="20"/>
                <w:lang w:val="en-US"/>
              </w:rPr>
              <w:t>/</w:t>
            </w:r>
            <w:r w:rsidR="005F109A" w:rsidRPr="004063FD">
              <w:rPr>
                <w:rFonts w:ascii="Times New Roman" w:hAnsi="Times New Roman" w:cs="Times New Roman"/>
                <w:sz w:val="20"/>
                <w:szCs w:val="20"/>
                <w:lang w:val="en-US"/>
              </w:rPr>
              <w:t>(</w:t>
            </w:r>
            <w:r>
              <w:rPr>
                <w:rFonts w:ascii="Times New Roman" w:hAnsi="Times New Roman" w:cs="Times New Roman"/>
                <w:sz w:val="20"/>
                <w:szCs w:val="20"/>
                <w:lang w:val="en-US"/>
              </w:rPr>
              <w:t>sm</w:t>
            </w:r>
            <w:r w:rsidR="005F109A" w:rsidRPr="004063FD">
              <w:rPr>
                <w:rFonts w:ascii="Times New Roman" w:hAnsi="Times New Roman" w:cs="Times New Roman"/>
                <w:sz w:val="20"/>
                <w:szCs w:val="20"/>
                <w:vertAlign w:val="superscript"/>
                <w:lang w:val="en-US"/>
              </w:rPr>
              <w:t>2</w:t>
            </w:r>
            <w:r w:rsidR="005F109A" w:rsidRPr="004063FD">
              <w:rPr>
                <w:rFonts w:ascii="Times New Roman" w:eastAsia="MS Gothic" w:hAnsi="Times New Roman" w:cs="Times New Roman"/>
                <w:sz w:val="20"/>
                <w:szCs w:val="20"/>
                <w:lang w:val="en-US"/>
              </w:rPr>
              <w:t>‧</w:t>
            </w:r>
            <w:r>
              <w:rPr>
                <w:rFonts w:ascii="Times New Roman" w:hAnsi="Times New Roman" w:cs="Times New Roman"/>
                <w:sz w:val="20"/>
                <w:szCs w:val="20"/>
                <w:lang w:val="en-US"/>
              </w:rPr>
              <w:t>s</w:t>
            </w:r>
            <w:r w:rsidR="005F109A" w:rsidRPr="004063FD">
              <w:rPr>
                <w:rFonts w:ascii="Times New Roman" w:hAnsi="Times New Roman" w:cs="Times New Roman"/>
                <w:sz w:val="20"/>
                <w:szCs w:val="20"/>
                <w:lang w:val="en-US"/>
              </w:rPr>
              <w:t>)</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063FD" w:rsidRDefault="005F109A" w:rsidP="005F109A">
            <w:pPr>
              <w:jc w:val="center"/>
              <w:rPr>
                <w:rFonts w:ascii="Times New Roman" w:hAnsi="Times New Roman" w:cs="Times New Roman"/>
                <w:sz w:val="20"/>
                <w:szCs w:val="20"/>
                <w:lang w:val="en-US"/>
              </w:rPr>
            </w:pPr>
          </w:p>
        </w:tc>
        <w:tc>
          <w:tcPr>
            <w:tcW w:w="2977" w:type="dxa"/>
            <w:vMerge/>
          </w:tcPr>
          <w:p w:rsidR="005F109A" w:rsidRPr="004063FD"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К7</w:t>
            </w:r>
          </w:p>
        </w:tc>
        <w:tc>
          <w:tcPr>
            <w:tcW w:w="7431" w:type="dxa"/>
            <w:vAlign w:val="center"/>
          </w:tcPr>
          <w:p w:rsidR="005F109A" w:rsidRPr="004063FD" w:rsidRDefault="004063FD" w:rsidP="00406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w:t>
            </w:r>
            <w:r w:rsidRPr="004063FD">
              <w:rPr>
                <w:rFonts w:ascii="Times New Roman" w:hAnsi="Times New Roman" w:cs="Times New Roman"/>
                <w:sz w:val="20"/>
                <w:szCs w:val="20"/>
                <w:lang w:val="en-US"/>
              </w:rPr>
              <w:t>resence of a fertile isotope</w:t>
            </w:r>
            <w:r w:rsidR="005F109A" w:rsidRPr="004063FD">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val="restart"/>
          </w:tcPr>
          <w:p w:rsidR="005F109A" w:rsidRPr="005B4BA5" w:rsidRDefault="005B4BA5" w:rsidP="005F109A">
            <w:pPr>
              <w:jc w:val="center"/>
              <w:rPr>
                <w:rFonts w:ascii="Times New Roman" w:hAnsi="Times New Roman" w:cs="Times New Roman"/>
                <w:sz w:val="20"/>
                <w:szCs w:val="20"/>
                <w:lang w:val="en-US"/>
              </w:rPr>
            </w:pPr>
            <w:r>
              <w:rPr>
                <w:rFonts w:ascii="Times New Roman" w:hAnsi="Times New Roman" w:cs="Times New Roman"/>
                <w:sz w:val="20"/>
                <w:szCs w:val="20"/>
                <w:lang w:val="en-US"/>
              </w:rPr>
              <w:t>Economic</w:t>
            </w:r>
            <w:r w:rsidR="000F68C7">
              <w:rPr>
                <w:rFonts w:ascii="Times New Roman" w:hAnsi="Times New Roman" w:cs="Times New Roman"/>
                <w:sz w:val="20"/>
                <w:szCs w:val="20"/>
                <w:lang w:val="en-US"/>
              </w:rPr>
              <w:t>s</w:t>
            </w:r>
          </w:p>
        </w:tc>
        <w:tc>
          <w:tcPr>
            <w:tcW w:w="2977" w:type="dxa"/>
          </w:tcPr>
          <w:p w:rsidR="005F109A" w:rsidRPr="005F109A" w:rsidRDefault="00C42F47"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42F47">
              <w:rPr>
                <w:rFonts w:ascii="Times New Roman" w:hAnsi="Times New Roman" w:cs="Times New Roman"/>
                <w:sz w:val="20"/>
                <w:szCs w:val="20"/>
              </w:rPr>
              <w:t>Economic</w:t>
            </w:r>
            <w:proofErr w:type="spellEnd"/>
            <w:r w:rsidRPr="00C42F47">
              <w:rPr>
                <w:rFonts w:ascii="Times New Roman" w:hAnsi="Times New Roman" w:cs="Times New Roman"/>
                <w:sz w:val="20"/>
                <w:szCs w:val="20"/>
              </w:rPr>
              <w:t xml:space="preserve"> </w:t>
            </w:r>
            <w:proofErr w:type="spellStart"/>
            <w:r w:rsidRPr="00C42F47">
              <w:rPr>
                <w:rFonts w:ascii="Times New Roman" w:hAnsi="Times New Roman" w:cs="Times New Roman"/>
                <w:sz w:val="20"/>
                <w:szCs w:val="20"/>
              </w:rPr>
              <w:t>efficiency</w:t>
            </w:r>
            <w:proofErr w:type="spellEnd"/>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К8</w:t>
            </w:r>
          </w:p>
        </w:tc>
        <w:tc>
          <w:tcPr>
            <w:tcW w:w="7431" w:type="dxa"/>
            <w:vAlign w:val="center"/>
          </w:tcPr>
          <w:p w:rsidR="005F109A" w:rsidRPr="00C42F47" w:rsidRDefault="005F109A" w:rsidP="00C42F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42F47">
              <w:rPr>
                <w:rFonts w:ascii="Times New Roman" w:hAnsi="Times New Roman" w:cs="Times New Roman"/>
                <w:sz w:val="20"/>
                <w:szCs w:val="20"/>
                <w:lang w:val="en-US"/>
              </w:rPr>
              <w:t xml:space="preserve">CAPEX, </w:t>
            </w:r>
            <w:r w:rsidR="00C42F47" w:rsidRPr="00C42F47">
              <w:rPr>
                <w:rFonts w:ascii="Times New Roman" w:hAnsi="Times New Roman" w:cs="Times New Roman"/>
                <w:sz w:val="20"/>
                <w:szCs w:val="20"/>
                <w:lang w:val="en-US"/>
              </w:rPr>
              <w:t xml:space="preserve">relative to the </w:t>
            </w:r>
            <w:r w:rsidR="00C42F47">
              <w:rPr>
                <w:rFonts w:ascii="Times New Roman" w:hAnsi="Times New Roman" w:cs="Times New Roman"/>
                <w:sz w:val="20"/>
                <w:szCs w:val="20"/>
                <w:lang w:val="en-US"/>
              </w:rPr>
              <w:t>CAPEX</w:t>
            </w:r>
            <w:r w:rsidR="00C42F47" w:rsidRPr="00C42F47">
              <w:rPr>
                <w:rFonts w:ascii="Times New Roman" w:hAnsi="Times New Roman" w:cs="Times New Roman"/>
                <w:sz w:val="20"/>
                <w:szCs w:val="20"/>
                <w:lang w:val="en-US"/>
              </w:rPr>
              <w:t xml:space="preserve"> of the VVER reactor</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C42F47" w:rsidRDefault="005F109A" w:rsidP="005F109A">
            <w:pPr>
              <w:jc w:val="center"/>
              <w:rPr>
                <w:rFonts w:ascii="Times New Roman" w:hAnsi="Times New Roman" w:cs="Times New Roman"/>
                <w:sz w:val="20"/>
                <w:szCs w:val="20"/>
                <w:lang w:val="en-US"/>
              </w:rPr>
            </w:pPr>
          </w:p>
        </w:tc>
        <w:tc>
          <w:tcPr>
            <w:tcW w:w="2977" w:type="dxa"/>
            <w:vMerge w:val="restart"/>
          </w:tcPr>
          <w:p w:rsidR="005F109A" w:rsidRPr="00C42F47" w:rsidRDefault="00C42F47"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42F47">
              <w:rPr>
                <w:rFonts w:ascii="Times New Roman" w:hAnsi="Times New Roman" w:cs="Times New Roman"/>
                <w:sz w:val="20"/>
                <w:szCs w:val="20"/>
              </w:rPr>
              <w:t xml:space="preserve">R&amp;D </w:t>
            </w:r>
            <w:proofErr w:type="spellStart"/>
            <w:r w:rsidRPr="00C42F47">
              <w:rPr>
                <w:rFonts w:ascii="Times New Roman" w:hAnsi="Times New Roman" w:cs="Times New Roman"/>
                <w:sz w:val="20"/>
                <w:szCs w:val="20"/>
              </w:rPr>
              <w:t>cost</w:t>
            </w:r>
            <w:proofErr w:type="spellEnd"/>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К9</w:t>
            </w:r>
          </w:p>
        </w:tc>
        <w:tc>
          <w:tcPr>
            <w:tcW w:w="7431" w:type="dxa"/>
            <w:vAlign w:val="center"/>
          </w:tcPr>
          <w:p w:rsidR="005F109A" w:rsidRPr="00C42F47" w:rsidRDefault="00C42F47" w:rsidP="005340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42F47">
              <w:rPr>
                <w:rFonts w:ascii="Times New Roman" w:hAnsi="Times New Roman" w:cs="Times New Roman"/>
                <w:sz w:val="20"/>
                <w:szCs w:val="20"/>
                <w:lang w:val="en-US"/>
              </w:rPr>
              <w:t>R&amp;D cost estimate (reactor and related systems)</w:t>
            </w:r>
            <w:r w:rsidR="005340FF">
              <w:rPr>
                <w:rFonts w:ascii="Times New Roman" w:hAnsi="Times New Roman" w:cs="Times New Roman"/>
                <w:sz w:val="20"/>
                <w:szCs w:val="20"/>
                <w:lang w:val="en-US"/>
              </w:rPr>
              <w:t>, millions $</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C42F47" w:rsidRDefault="005F109A" w:rsidP="005F109A">
            <w:pPr>
              <w:jc w:val="center"/>
              <w:rPr>
                <w:rFonts w:ascii="Times New Roman" w:hAnsi="Times New Roman" w:cs="Times New Roman"/>
                <w:sz w:val="20"/>
                <w:szCs w:val="20"/>
                <w:lang w:val="en-US"/>
              </w:rPr>
            </w:pPr>
          </w:p>
        </w:tc>
        <w:tc>
          <w:tcPr>
            <w:tcW w:w="2977" w:type="dxa"/>
            <w:vMerge/>
          </w:tcPr>
          <w:p w:rsidR="005F109A" w:rsidRPr="00C42F47"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К10</w:t>
            </w:r>
          </w:p>
        </w:tc>
        <w:tc>
          <w:tcPr>
            <w:tcW w:w="7431" w:type="dxa"/>
            <w:vAlign w:val="center"/>
          </w:tcPr>
          <w:p w:rsidR="005F109A" w:rsidRPr="00C42F47" w:rsidRDefault="00C42F47"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42F47">
              <w:rPr>
                <w:rFonts w:ascii="Times New Roman" w:hAnsi="Times New Roman" w:cs="Times New Roman"/>
                <w:sz w:val="20"/>
                <w:szCs w:val="20"/>
                <w:lang w:val="en-US"/>
              </w:rPr>
              <w:t>R&amp;D cost estimate (partitioning of MA)</w:t>
            </w:r>
            <w:r w:rsidR="005F109A" w:rsidRPr="00C42F47">
              <w:rPr>
                <w:rFonts w:ascii="Times New Roman" w:hAnsi="Times New Roman" w:cs="Times New Roman"/>
                <w:sz w:val="20"/>
                <w:szCs w:val="20"/>
                <w:lang w:val="en-US"/>
              </w:rPr>
              <w:t xml:space="preserve">, </w:t>
            </w:r>
            <w:r w:rsidR="005340FF">
              <w:rPr>
                <w:rFonts w:ascii="Times New Roman" w:hAnsi="Times New Roman" w:cs="Times New Roman"/>
                <w:sz w:val="20"/>
                <w:szCs w:val="20"/>
                <w:lang w:val="en-US"/>
              </w:rPr>
              <w:t>millions $</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5F109A" w:rsidRPr="005B4BA5" w:rsidRDefault="005B4BA5" w:rsidP="005F109A">
            <w:pPr>
              <w:jc w:val="center"/>
              <w:rPr>
                <w:rFonts w:ascii="Times New Roman" w:hAnsi="Times New Roman" w:cs="Times New Roman"/>
                <w:sz w:val="20"/>
                <w:szCs w:val="20"/>
                <w:lang w:val="en-US"/>
              </w:rPr>
            </w:pPr>
            <w:r>
              <w:rPr>
                <w:rFonts w:ascii="Times New Roman" w:hAnsi="Times New Roman" w:cs="Times New Roman"/>
                <w:sz w:val="20"/>
                <w:szCs w:val="20"/>
                <w:lang w:val="en-US"/>
              </w:rPr>
              <w:t>Environment</w:t>
            </w:r>
          </w:p>
        </w:tc>
        <w:tc>
          <w:tcPr>
            <w:tcW w:w="2977" w:type="dxa"/>
            <w:vMerge w:val="restart"/>
          </w:tcPr>
          <w:p w:rsidR="005F109A" w:rsidRPr="005F109A" w:rsidRDefault="004F30F1"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2D7D">
              <w:rPr>
                <w:rFonts w:ascii="Times New Roman" w:hAnsi="Times New Roman" w:cs="Times New Roman"/>
                <w:sz w:val="20"/>
                <w:szCs w:val="24"/>
                <w:lang w:val="en-US"/>
              </w:rPr>
              <w:t>Safety</w:t>
            </w:r>
            <w:r>
              <w:rPr>
                <w:rFonts w:ascii="Times New Roman" w:hAnsi="Times New Roman" w:cs="Times New Roman"/>
                <w:sz w:val="20"/>
                <w:szCs w:val="24"/>
                <w:lang w:val="en-US"/>
              </w:rPr>
              <w:t xml:space="preserve"> impact</w:t>
            </w: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К11</w:t>
            </w:r>
          </w:p>
        </w:tc>
        <w:tc>
          <w:tcPr>
            <w:tcW w:w="7431" w:type="dxa"/>
            <w:vAlign w:val="center"/>
          </w:tcPr>
          <w:p w:rsidR="005F109A" w:rsidRPr="004F30F1" w:rsidRDefault="004F30F1" w:rsidP="004F3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w:t>
            </w:r>
            <w:r w:rsidRPr="004F30F1">
              <w:rPr>
                <w:rFonts w:ascii="Times New Roman" w:hAnsi="Times New Roman" w:cs="Times New Roman"/>
                <w:sz w:val="20"/>
                <w:szCs w:val="20"/>
                <w:lang w:val="en-US"/>
              </w:rPr>
              <w:t>ffect of MA adding to the fuel on the neutron-physical characteristics of the reactor</w:t>
            </w:r>
            <w:r>
              <w:rPr>
                <w:rFonts w:ascii="Times New Roman" w:hAnsi="Times New Roman" w:cs="Times New Roman"/>
                <w:sz w:val="20"/>
                <w:szCs w:val="20"/>
                <w:lang w:val="en-US"/>
              </w:rPr>
              <w:t>, score</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F30F1" w:rsidRDefault="005F109A" w:rsidP="005F109A">
            <w:pPr>
              <w:jc w:val="center"/>
              <w:rPr>
                <w:rFonts w:ascii="Times New Roman" w:hAnsi="Times New Roman" w:cs="Times New Roman"/>
                <w:sz w:val="20"/>
                <w:szCs w:val="20"/>
                <w:lang w:val="en-US"/>
              </w:rPr>
            </w:pPr>
          </w:p>
        </w:tc>
        <w:tc>
          <w:tcPr>
            <w:tcW w:w="2977" w:type="dxa"/>
            <w:vMerge/>
          </w:tcPr>
          <w:p w:rsidR="005F109A" w:rsidRPr="004F30F1"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4F30F1"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109A">
              <w:rPr>
                <w:rFonts w:ascii="Times New Roman" w:hAnsi="Times New Roman" w:cs="Times New Roman"/>
                <w:sz w:val="20"/>
                <w:szCs w:val="20"/>
              </w:rPr>
              <w:t>К</w:t>
            </w:r>
            <w:r w:rsidRPr="004F30F1">
              <w:rPr>
                <w:rFonts w:ascii="Times New Roman" w:hAnsi="Times New Roman" w:cs="Times New Roman"/>
                <w:sz w:val="20"/>
                <w:szCs w:val="20"/>
                <w:lang w:val="en-US"/>
              </w:rPr>
              <w:t>12</w:t>
            </w:r>
          </w:p>
        </w:tc>
        <w:tc>
          <w:tcPr>
            <w:tcW w:w="7431" w:type="dxa"/>
            <w:vAlign w:val="center"/>
          </w:tcPr>
          <w:p w:rsidR="005F109A" w:rsidRPr="00395AEA" w:rsidRDefault="004F30F1"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w:t>
            </w:r>
            <w:r w:rsidRPr="004F30F1">
              <w:rPr>
                <w:rFonts w:ascii="Times New Roman" w:hAnsi="Times New Roman" w:cs="Times New Roman"/>
                <w:sz w:val="20"/>
                <w:szCs w:val="20"/>
                <w:lang w:val="en-US"/>
              </w:rPr>
              <w:t xml:space="preserve">umber of protective barriers, </w:t>
            </w:r>
            <w:r>
              <w:rPr>
                <w:rFonts w:ascii="Times New Roman" w:hAnsi="Times New Roman" w:cs="Times New Roman"/>
                <w:sz w:val="20"/>
                <w:szCs w:val="20"/>
                <w:lang w:val="en-US"/>
              </w:rPr>
              <w:t>units</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F30F1" w:rsidRDefault="005F109A" w:rsidP="005F109A">
            <w:pPr>
              <w:jc w:val="center"/>
              <w:rPr>
                <w:rFonts w:ascii="Times New Roman" w:hAnsi="Times New Roman" w:cs="Times New Roman"/>
                <w:sz w:val="20"/>
                <w:szCs w:val="20"/>
                <w:lang w:val="en-US"/>
              </w:rPr>
            </w:pPr>
          </w:p>
        </w:tc>
        <w:tc>
          <w:tcPr>
            <w:tcW w:w="2977" w:type="dxa"/>
            <w:vMerge w:val="restart"/>
          </w:tcPr>
          <w:p w:rsidR="005F109A" w:rsidRPr="004F30F1" w:rsidRDefault="004F30F1" w:rsidP="00FB13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42D7D">
              <w:rPr>
                <w:rFonts w:ascii="Times New Roman" w:hAnsi="Times New Roman" w:cs="Times New Roman"/>
                <w:sz w:val="20"/>
                <w:szCs w:val="24"/>
                <w:lang w:val="en-US"/>
              </w:rPr>
              <w:t xml:space="preserve">Environmental </w:t>
            </w:r>
            <w:r w:rsidR="00FB1341">
              <w:rPr>
                <w:rFonts w:ascii="Times New Roman" w:hAnsi="Times New Roman" w:cs="Times New Roman"/>
                <w:sz w:val="20"/>
                <w:szCs w:val="24"/>
                <w:lang w:val="en-US"/>
              </w:rPr>
              <w:t>i</w:t>
            </w:r>
            <w:r w:rsidRPr="00842D7D">
              <w:rPr>
                <w:rFonts w:ascii="Times New Roman" w:hAnsi="Times New Roman" w:cs="Times New Roman"/>
                <w:sz w:val="20"/>
                <w:szCs w:val="24"/>
                <w:lang w:val="en-US"/>
              </w:rPr>
              <w:t>mpact</w:t>
            </w:r>
          </w:p>
        </w:tc>
        <w:tc>
          <w:tcPr>
            <w:tcW w:w="1418" w:type="dxa"/>
          </w:tcPr>
          <w:p w:rsidR="005F109A" w:rsidRPr="004F30F1"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109A">
              <w:rPr>
                <w:rFonts w:ascii="Times New Roman" w:hAnsi="Times New Roman" w:cs="Times New Roman"/>
                <w:sz w:val="20"/>
                <w:szCs w:val="20"/>
                <w:lang w:val="en-US"/>
              </w:rPr>
              <w:t>K1</w:t>
            </w:r>
            <w:r w:rsidRPr="004F30F1">
              <w:rPr>
                <w:rFonts w:ascii="Times New Roman" w:hAnsi="Times New Roman" w:cs="Times New Roman"/>
                <w:sz w:val="20"/>
                <w:szCs w:val="20"/>
                <w:lang w:val="en-US"/>
              </w:rPr>
              <w:t>3</w:t>
            </w:r>
          </w:p>
        </w:tc>
        <w:tc>
          <w:tcPr>
            <w:tcW w:w="7431" w:type="dxa"/>
            <w:vAlign w:val="center"/>
          </w:tcPr>
          <w:p w:rsidR="005F109A" w:rsidRPr="004F30F1" w:rsidRDefault="004F30F1" w:rsidP="004F3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O</w:t>
            </w:r>
            <w:r w:rsidRPr="004F30F1">
              <w:rPr>
                <w:rFonts w:ascii="Times New Roman" w:hAnsi="Times New Roman" w:cs="Times New Roman"/>
                <w:sz w:val="20"/>
                <w:szCs w:val="20"/>
                <w:lang w:val="en-US"/>
              </w:rPr>
              <w:t>perational lifetime of the facility</w:t>
            </w:r>
            <w:r w:rsidR="005F109A" w:rsidRPr="004F30F1">
              <w:rPr>
                <w:rFonts w:ascii="Times New Roman" w:hAnsi="Times New Roman" w:cs="Times New Roman"/>
                <w:sz w:val="20"/>
                <w:szCs w:val="20"/>
                <w:lang w:val="en-US"/>
              </w:rPr>
              <w:t xml:space="preserve">, </w:t>
            </w:r>
            <w:r>
              <w:rPr>
                <w:rFonts w:ascii="Times New Roman" w:hAnsi="Times New Roman" w:cs="Times New Roman"/>
                <w:sz w:val="20"/>
                <w:szCs w:val="20"/>
                <w:lang w:val="en-US"/>
              </w:rPr>
              <w:t>years</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F30F1" w:rsidRDefault="005F109A" w:rsidP="005F109A">
            <w:pPr>
              <w:jc w:val="center"/>
              <w:rPr>
                <w:rFonts w:ascii="Times New Roman" w:hAnsi="Times New Roman" w:cs="Times New Roman"/>
                <w:sz w:val="20"/>
                <w:szCs w:val="20"/>
                <w:lang w:val="en-US"/>
              </w:rPr>
            </w:pPr>
          </w:p>
        </w:tc>
        <w:tc>
          <w:tcPr>
            <w:tcW w:w="2977" w:type="dxa"/>
            <w:vMerge/>
          </w:tcPr>
          <w:p w:rsidR="005F109A" w:rsidRPr="004F30F1"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4F30F1"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109A">
              <w:rPr>
                <w:rFonts w:ascii="Times New Roman" w:hAnsi="Times New Roman" w:cs="Times New Roman"/>
                <w:sz w:val="20"/>
                <w:szCs w:val="20"/>
                <w:lang w:val="en-US"/>
              </w:rPr>
              <w:t>K1</w:t>
            </w:r>
            <w:r w:rsidRPr="004F30F1">
              <w:rPr>
                <w:rFonts w:ascii="Times New Roman" w:hAnsi="Times New Roman" w:cs="Times New Roman"/>
                <w:sz w:val="20"/>
                <w:szCs w:val="20"/>
                <w:lang w:val="en-US"/>
              </w:rPr>
              <w:t>4</w:t>
            </w:r>
          </w:p>
        </w:tc>
        <w:tc>
          <w:tcPr>
            <w:tcW w:w="7431" w:type="dxa"/>
            <w:vAlign w:val="center"/>
          </w:tcPr>
          <w:p w:rsidR="005F109A" w:rsidRPr="004F30F1" w:rsidRDefault="004F30F1" w:rsidP="004F30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F30F1">
              <w:rPr>
                <w:rFonts w:ascii="Times New Roman" w:hAnsi="Times New Roman" w:cs="Times New Roman"/>
                <w:sz w:val="20"/>
                <w:szCs w:val="20"/>
                <w:lang w:val="en-US"/>
              </w:rPr>
              <w:t>MA amount in the last unloading + in the external fuel cycle</w:t>
            </w:r>
            <w:r w:rsidR="005F109A" w:rsidRPr="004F30F1">
              <w:rPr>
                <w:rFonts w:ascii="Times New Roman" w:hAnsi="Times New Roman" w:cs="Times New Roman"/>
                <w:sz w:val="20"/>
                <w:szCs w:val="20"/>
                <w:lang w:val="en-US"/>
              </w:rPr>
              <w:t xml:space="preserve">, </w:t>
            </w:r>
            <w:r>
              <w:rPr>
                <w:rFonts w:ascii="Times New Roman" w:hAnsi="Times New Roman" w:cs="Times New Roman"/>
                <w:sz w:val="20"/>
                <w:szCs w:val="20"/>
                <w:lang w:val="en-US"/>
              </w:rPr>
              <w:t>t HM</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4F30F1" w:rsidRDefault="005F109A" w:rsidP="005F109A">
            <w:pPr>
              <w:jc w:val="center"/>
              <w:rPr>
                <w:rFonts w:ascii="Times New Roman" w:hAnsi="Times New Roman" w:cs="Times New Roman"/>
                <w:sz w:val="20"/>
                <w:szCs w:val="20"/>
                <w:lang w:val="en-US"/>
              </w:rPr>
            </w:pPr>
          </w:p>
        </w:tc>
        <w:tc>
          <w:tcPr>
            <w:tcW w:w="2977" w:type="dxa"/>
            <w:vMerge/>
          </w:tcPr>
          <w:p w:rsidR="005F109A" w:rsidRPr="004F30F1"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lang w:val="en-US"/>
              </w:rPr>
              <w:t>K1</w:t>
            </w:r>
            <w:r w:rsidRPr="005F109A">
              <w:rPr>
                <w:rFonts w:ascii="Times New Roman" w:hAnsi="Times New Roman" w:cs="Times New Roman"/>
                <w:sz w:val="20"/>
                <w:szCs w:val="20"/>
              </w:rPr>
              <w:t>5</w:t>
            </w:r>
          </w:p>
        </w:tc>
        <w:tc>
          <w:tcPr>
            <w:tcW w:w="7431" w:type="dxa"/>
            <w:vAlign w:val="center"/>
          </w:tcPr>
          <w:p w:rsidR="005F109A" w:rsidRPr="004F30F1" w:rsidRDefault="004F30F1" w:rsidP="004F3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30F1">
              <w:rPr>
                <w:rFonts w:ascii="Times New Roman" w:hAnsi="Times New Roman" w:cs="Times New Roman"/>
                <w:sz w:val="20"/>
                <w:szCs w:val="20"/>
                <w:lang w:val="en-US"/>
              </w:rPr>
              <w:t>MA losses in the reprocessing process</w:t>
            </w:r>
            <w:r w:rsidR="005F109A" w:rsidRPr="004F30F1">
              <w:rPr>
                <w:rFonts w:ascii="Times New Roman" w:hAnsi="Times New Roman" w:cs="Times New Roman"/>
                <w:sz w:val="20"/>
                <w:szCs w:val="20"/>
                <w:lang w:val="en-US"/>
              </w:rPr>
              <w:t xml:space="preserve">, </w:t>
            </w:r>
            <w:r>
              <w:rPr>
                <w:rFonts w:ascii="Times New Roman" w:hAnsi="Times New Roman" w:cs="Times New Roman"/>
                <w:sz w:val="20"/>
                <w:szCs w:val="20"/>
                <w:lang w:val="en-US"/>
              </w:rPr>
              <w:t>kg HM</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val="restart"/>
          </w:tcPr>
          <w:p w:rsidR="005F109A" w:rsidRPr="005F109A" w:rsidRDefault="000F68C7" w:rsidP="005F109A">
            <w:pPr>
              <w:jc w:val="center"/>
              <w:rPr>
                <w:rFonts w:ascii="Times New Roman" w:hAnsi="Times New Roman" w:cs="Times New Roman"/>
                <w:sz w:val="20"/>
                <w:szCs w:val="20"/>
              </w:rPr>
            </w:pPr>
            <w:proofErr w:type="spellStart"/>
            <w:r>
              <w:rPr>
                <w:rFonts w:ascii="Times New Roman" w:hAnsi="Times New Roman" w:cs="Times New Roman"/>
                <w:sz w:val="20"/>
                <w:szCs w:val="20"/>
              </w:rPr>
              <w:t>Technology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w:t>
            </w:r>
            <w:r w:rsidR="005B4BA5" w:rsidRPr="005B4BA5">
              <w:rPr>
                <w:rFonts w:ascii="Times New Roman" w:hAnsi="Times New Roman" w:cs="Times New Roman"/>
                <w:sz w:val="20"/>
                <w:szCs w:val="20"/>
              </w:rPr>
              <w:t>eadiness</w:t>
            </w:r>
            <w:proofErr w:type="spellEnd"/>
          </w:p>
        </w:tc>
        <w:tc>
          <w:tcPr>
            <w:tcW w:w="2977" w:type="dxa"/>
            <w:vMerge w:val="restart"/>
          </w:tcPr>
          <w:p w:rsidR="005F109A" w:rsidRPr="005B4BA5" w:rsidRDefault="005B4BA5"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4"/>
                <w:lang w:val="en-US"/>
              </w:rPr>
              <w:t>L</w:t>
            </w:r>
            <w:r w:rsidRPr="0021238D">
              <w:rPr>
                <w:rFonts w:ascii="Times New Roman" w:hAnsi="Times New Roman" w:cs="Times New Roman"/>
                <w:sz w:val="20"/>
                <w:szCs w:val="24"/>
                <w:lang w:val="en-US"/>
              </w:rPr>
              <w:t>evel of the technology development</w:t>
            </w: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К16</w:t>
            </w:r>
          </w:p>
        </w:tc>
        <w:tc>
          <w:tcPr>
            <w:tcW w:w="7431" w:type="dxa"/>
            <w:vAlign w:val="center"/>
          </w:tcPr>
          <w:p w:rsidR="005F109A" w:rsidRPr="00060380" w:rsidRDefault="00060380"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w:t>
            </w:r>
            <w:r w:rsidRPr="00060380">
              <w:rPr>
                <w:rFonts w:ascii="Times New Roman" w:hAnsi="Times New Roman" w:cs="Times New Roman"/>
                <w:sz w:val="20"/>
                <w:szCs w:val="20"/>
                <w:lang w:val="en-US"/>
              </w:rPr>
              <w:t>urrent TRL of the reactor</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К17</w:t>
            </w:r>
          </w:p>
        </w:tc>
        <w:tc>
          <w:tcPr>
            <w:tcW w:w="7431" w:type="dxa"/>
            <w:vAlign w:val="center"/>
          </w:tcPr>
          <w:p w:rsidR="005F109A" w:rsidRPr="00060380" w:rsidRDefault="00060380" w:rsidP="00060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w:t>
            </w:r>
            <w:r w:rsidRPr="00060380">
              <w:rPr>
                <w:rFonts w:ascii="Times New Roman" w:hAnsi="Times New Roman" w:cs="Times New Roman"/>
                <w:sz w:val="20"/>
                <w:szCs w:val="20"/>
                <w:lang w:val="en-US"/>
              </w:rPr>
              <w:t xml:space="preserve">urrent TRL of the coolant, </w:t>
            </w:r>
            <w:r>
              <w:rPr>
                <w:rFonts w:ascii="Times New Roman" w:hAnsi="Times New Roman" w:cs="Times New Roman"/>
                <w:sz w:val="20"/>
                <w:szCs w:val="20"/>
                <w:lang w:val="en-US"/>
              </w:rPr>
              <w:t>score</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К18</w:t>
            </w:r>
          </w:p>
        </w:tc>
        <w:tc>
          <w:tcPr>
            <w:tcW w:w="7431" w:type="dxa"/>
            <w:vAlign w:val="center"/>
          </w:tcPr>
          <w:p w:rsidR="005F109A" w:rsidRPr="00060380" w:rsidRDefault="00060380"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w:t>
            </w:r>
            <w:r w:rsidRPr="00060380">
              <w:rPr>
                <w:rFonts w:ascii="Times New Roman" w:hAnsi="Times New Roman" w:cs="Times New Roman"/>
                <w:sz w:val="20"/>
                <w:szCs w:val="20"/>
                <w:lang w:val="en-US"/>
              </w:rPr>
              <w:t>urrent TRL of the primary circuit structural materials,</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К19</w:t>
            </w:r>
          </w:p>
        </w:tc>
        <w:tc>
          <w:tcPr>
            <w:tcW w:w="7431" w:type="dxa"/>
            <w:vAlign w:val="center"/>
          </w:tcPr>
          <w:p w:rsidR="005F109A" w:rsidRPr="00060380" w:rsidRDefault="00060380" w:rsidP="005F10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Current TRL of the nucl</w:t>
            </w:r>
            <w:r w:rsidRPr="00060380">
              <w:rPr>
                <w:rFonts w:ascii="Times New Roman" w:hAnsi="Times New Roman" w:cs="Times New Roman"/>
                <w:sz w:val="20"/>
                <w:szCs w:val="20"/>
                <w:lang w:val="en-US"/>
              </w:rPr>
              <w:t>ear fuel with MA,</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К20</w:t>
            </w:r>
          </w:p>
        </w:tc>
        <w:tc>
          <w:tcPr>
            <w:tcW w:w="7431" w:type="dxa"/>
            <w:vAlign w:val="center"/>
          </w:tcPr>
          <w:p w:rsidR="005F109A" w:rsidRPr="00060380" w:rsidRDefault="00060380"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w:t>
            </w:r>
            <w:r w:rsidRPr="00060380">
              <w:rPr>
                <w:rFonts w:ascii="Times New Roman" w:hAnsi="Times New Roman" w:cs="Times New Roman"/>
                <w:sz w:val="20"/>
                <w:szCs w:val="20"/>
                <w:lang w:val="en-US"/>
              </w:rPr>
              <w:t>robability of the project failure</w:t>
            </w:r>
            <w:r>
              <w:rPr>
                <w:rFonts w:ascii="Times New Roman" w:hAnsi="Times New Roman" w:cs="Times New Roman"/>
                <w:sz w:val="20"/>
                <w:szCs w:val="20"/>
                <w:lang w:val="en-US"/>
              </w:rPr>
              <w:t>, score</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К21</w:t>
            </w:r>
          </w:p>
        </w:tc>
        <w:tc>
          <w:tcPr>
            <w:tcW w:w="7431" w:type="dxa"/>
            <w:vAlign w:val="center"/>
          </w:tcPr>
          <w:p w:rsidR="005F109A" w:rsidRPr="00060380" w:rsidRDefault="00060380" w:rsidP="00060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w:t>
            </w:r>
            <w:r w:rsidRPr="00060380">
              <w:rPr>
                <w:rFonts w:ascii="Times New Roman" w:hAnsi="Times New Roman" w:cs="Times New Roman"/>
                <w:sz w:val="20"/>
                <w:szCs w:val="20"/>
                <w:lang w:val="en-US"/>
              </w:rPr>
              <w:t>xpected time to reach the technology readiness</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years</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val="restart"/>
          </w:tcPr>
          <w:p w:rsidR="005F109A" w:rsidRPr="005F109A" w:rsidRDefault="005B4BA5"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4"/>
                <w:lang w:val="en-US"/>
              </w:rPr>
              <w:t>Infrastructure Readiness</w:t>
            </w: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К22</w:t>
            </w:r>
          </w:p>
        </w:tc>
        <w:tc>
          <w:tcPr>
            <w:tcW w:w="7431" w:type="dxa"/>
            <w:vAlign w:val="center"/>
          </w:tcPr>
          <w:p w:rsidR="005F109A" w:rsidRPr="00060380" w:rsidRDefault="00060380" w:rsidP="005F1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w:t>
            </w:r>
            <w:r w:rsidRPr="00060380">
              <w:rPr>
                <w:rFonts w:ascii="Times New Roman" w:hAnsi="Times New Roman" w:cs="Times New Roman"/>
                <w:sz w:val="20"/>
                <w:szCs w:val="20"/>
                <w:lang w:val="en-US"/>
              </w:rPr>
              <w:t>resence of a regulatory framework</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К23</w:t>
            </w:r>
          </w:p>
        </w:tc>
        <w:tc>
          <w:tcPr>
            <w:tcW w:w="7431" w:type="dxa"/>
            <w:vAlign w:val="center"/>
          </w:tcPr>
          <w:p w:rsidR="005F109A" w:rsidRPr="00060380" w:rsidRDefault="00060380" w:rsidP="005F10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w:t>
            </w:r>
            <w:r w:rsidRPr="00060380">
              <w:rPr>
                <w:rFonts w:ascii="Times New Roman" w:hAnsi="Times New Roman" w:cs="Times New Roman"/>
                <w:sz w:val="20"/>
                <w:szCs w:val="20"/>
                <w:lang w:val="en-US"/>
              </w:rPr>
              <w:t>vailability of infrastructure (personnel, training centers, etc.)</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score</w:t>
            </w:r>
          </w:p>
        </w:tc>
      </w:tr>
      <w:tr w:rsidR="005F109A" w:rsidRPr="00395AEA" w:rsidTr="005F109A">
        <w:tc>
          <w:tcPr>
            <w:cnfStyle w:val="001000000000" w:firstRow="0" w:lastRow="0" w:firstColumn="1" w:lastColumn="0" w:oddVBand="0" w:evenVBand="0" w:oddHBand="0" w:evenHBand="0" w:firstRowFirstColumn="0" w:firstRowLastColumn="0" w:lastRowFirstColumn="0" w:lastRowLastColumn="0"/>
            <w:tcW w:w="2263" w:type="dxa"/>
            <w:vMerge/>
          </w:tcPr>
          <w:p w:rsidR="005F109A" w:rsidRPr="00060380" w:rsidRDefault="005F109A" w:rsidP="005F109A">
            <w:pPr>
              <w:jc w:val="center"/>
              <w:rPr>
                <w:rFonts w:ascii="Times New Roman" w:hAnsi="Times New Roman" w:cs="Times New Roman"/>
                <w:sz w:val="20"/>
                <w:szCs w:val="20"/>
                <w:lang w:val="en-US"/>
              </w:rPr>
            </w:pPr>
          </w:p>
        </w:tc>
        <w:tc>
          <w:tcPr>
            <w:tcW w:w="2977" w:type="dxa"/>
            <w:vMerge/>
          </w:tcPr>
          <w:p w:rsidR="005F109A" w:rsidRPr="00060380"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18" w:type="dxa"/>
          </w:tcPr>
          <w:p w:rsidR="005F109A" w:rsidRPr="005F109A" w:rsidRDefault="005F109A" w:rsidP="005F10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09A">
              <w:rPr>
                <w:rFonts w:ascii="Times New Roman" w:hAnsi="Times New Roman" w:cs="Times New Roman"/>
                <w:sz w:val="20"/>
                <w:szCs w:val="20"/>
              </w:rPr>
              <w:t>К24</w:t>
            </w:r>
          </w:p>
        </w:tc>
        <w:tc>
          <w:tcPr>
            <w:tcW w:w="7431" w:type="dxa"/>
            <w:vAlign w:val="center"/>
          </w:tcPr>
          <w:p w:rsidR="005F109A" w:rsidRPr="00060380" w:rsidRDefault="00060380" w:rsidP="00060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w:t>
            </w:r>
            <w:r w:rsidRPr="00060380">
              <w:rPr>
                <w:rFonts w:ascii="Times New Roman" w:hAnsi="Times New Roman" w:cs="Times New Roman"/>
                <w:sz w:val="20"/>
                <w:szCs w:val="20"/>
                <w:lang w:val="en-US"/>
              </w:rPr>
              <w:t>vailability of a research reactor base</w:t>
            </w:r>
            <w:r w:rsidR="005F109A" w:rsidRPr="0006038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score </w:t>
            </w:r>
          </w:p>
        </w:tc>
      </w:tr>
    </w:tbl>
    <w:p w:rsidR="005F109A" w:rsidRPr="00060380" w:rsidRDefault="005F109A" w:rsidP="005F109A">
      <w:pPr>
        <w:spacing w:before="120" w:after="0" w:line="260" w:lineRule="atLeast"/>
        <w:contextualSpacing/>
        <w:jc w:val="both"/>
        <w:rPr>
          <w:rFonts w:ascii="Times New Roman" w:hAnsi="Times New Roman" w:cs="Times New Roman"/>
          <w:sz w:val="20"/>
          <w:szCs w:val="24"/>
          <w:lang w:val="en-US"/>
        </w:rPr>
      </w:pPr>
    </w:p>
    <w:p w:rsidR="005F109A" w:rsidRPr="00060380" w:rsidRDefault="005F109A" w:rsidP="005F109A">
      <w:pPr>
        <w:spacing w:before="120" w:after="0" w:line="260" w:lineRule="atLeast"/>
        <w:contextualSpacing/>
        <w:jc w:val="both"/>
        <w:rPr>
          <w:rFonts w:ascii="Times New Roman" w:hAnsi="Times New Roman" w:cs="Times New Roman"/>
          <w:sz w:val="20"/>
          <w:szCs w:val="24"/>
          <w:lang w:val="en-US"/>
        </w:rPr>
        <w:sectPr w:rsidR="005F109A" w:rsidRPr="00060380" w:rsidSect="005F109A">
          <w:pgSz w:w="16838" w:h="11906" w:orient="landscape"/>
          <w:pgMar w:top="1701" w:right="1134" w:bottom="851" w:left="1134" w:header="709" w:footer="709" w:gutter="0"/>
          <w:cols w:space="708"/>
          <w:docGrid w:linePitch="360"/>
        </w:sectPr>
      </w:pPr>
    </w:p>
    <w:p w:rsidR="005F109A" w:rsidRPr="00E612D8" w:rsidRDefault="00E612D8" w:rsidP="00E612D8">
      <w:pPr>
        <w:pStyle w:val="3"/>
        <w:numPr>
          <w:ilvl w:val="1"/>
          <w:numId w:val="10"/>
        </w:numPr>
      </w:pPr>
      <w:r w:rsidRPr="00E612D8">
        <w:lastRenderedPageBreak/>
        <w:t>Weighting options</w:t>
      </w:r>
    </w:p>
    <w:p w:rsidR="005F109A" w:rsidRPr="00E612D8" w:rsidRDefault="00E612D8" w:rsidP="00E612D8">
      <w:pPr>
        <w:spacing w:before="120" w:after="0" w:line="260" w:lineRule="atLeast"/>
        <w:ind w:firstLine="708"/>
        <w:contextualSpacing/>
        <w:jc w:val="both"/>
        <w:rPr>
          <w:rFonts w:ascii="Times New Roman" w:hAnsi="Times New Roman" w:cs="Times New Roman"/>
          <w:sz w:val="20"/>
          <w:szCs w:val="24"/>
          <w:lang w:val="en-US"/>
        </w:rPr>
      </w:pPr>
      <w:r w:rsidRPr="00E612D8">
        <w:rPr>
          <w:rFonts w:ascii="Times New Roman" w:hAnsi="Times New Roman" w:cs="Times New Roman"/>
          <w:sz w:val="20"/>
          <w:szCs w:val="24"/>
          <w:lang w:val="en-US"/>
        </w:rPr>
        <w:t xml:space="preserve">The Equal Weights option is used as a starting point for analyzing and comparing the technologies under consideration. It is assumed that all aspects of technology assessment at each level of the </w:t>
      </w:r>
      <w:r>
        <w:rPr>
          <w:rFonts w:ascii="Times New Roman" w:hAnsi="Times New Roman" w:cs="Times New Roman"/>
          <w:sz w:val="20"/>
          <w:szCs w:val="24"/>
          <w:lang w:val="en-US"/>
        </w:rPr>
        <w:t>objective</w:t>
      </w:r>
      <w:r w:rsidRPr="00E612D8">
        <w:rPr>
          <w:rFonts w:ascii="Times New Roman" w:hAnsi="Times New Roman" w:cs="Times New Roman"/>
          <w:sz w:val="20"/>
          <w:szCs w:val="24"/>
          <w:lang w:val="en-US"/>
        </w:rPr>
        <w:t xml:space="preserve"> tree are weighted equally. This approach is used in the absence or insufficient detail information on the importance of certain criteria from experts and decision-makers. In combination with subsequent detailed sensitivity and uncertainty analysis, the Equal Weights approach provides an opportunity to draw conclusions about the potential of each option depending on various aspects of the assessment.</w:t>
      </w:r>
    </w:p>
    <w:p w:rsidR="005F109A" w:rsidRPr="00E612D8" w:rsidRDefault="00E612D8" w:rsidP="005F109A">
      <w:pPr>
        <w:spacing w:before="120" w:after="0" w:line="260" w:lineRule="atLeast"/>
        <w:ind w:firstLine="708"/>
        <w:contextualSpacing/>
        <w:jc w:val="both"/>
        <w:rPr>
          <w:rFonts w:ascii="Times New Roman" w:hAnsi="Times New Roman" w:cs="Times New Roman"/>
          <w:sz w:val="20"/>
          <w:szCs w:val="24"/>
          <w:lang w:val="en-US"/>
        </w:rPr>
      </w:pPr>
      <w:r w:rsidRPr="00E612D8">
        <w:rPr>
          <w:rFonts w:ascii="Times New Roman" w:hAnsi="Times New Roman" w:cs="Times New Roman"/>
          <w:sz w:val="20"/>
          <w:szCs w:val="24"/>
          <w:lang w:val="en-US"/>
        </w:rPr>
        <w:t xml:space="preserve">Further, to evaluate the technologies, four sets of weights were used, which differ from the basic variant "Equal Weights" in that each high-level objective was assigned a high weight in turn. It was assumed that the weight of the highlighted high-level objective is 0.5 points, and the remaining 0.5 points are divided equally among the other three high-level </w:t>
      </w:r>
      <w:r w:rsidR="0071713F" w:rsidRPr="00E612D8">
        <w:rPr>
          <w:rFonts w:ascii="Times New Roman" w:hAnsi="Times New Roman" w:cs="Times New Roman"/>
          <w:sz w:val="20"/>
          <w:szCs w:val="24"/>
          <w:lang w:val="en-US"/>
        </w:rPr>
        <w:t>objectives</w:t>
      </w:r>
      <w:r w:rsidRPr="00E612D8">
        <w:rPr>
          <w:rFonts w:ascii="Times New Roman" w:hAnsi="Times New Roman" w:cs="Times New Roman"/>
          <w:sz w:val="20"/>
          <w:szCs w:val="24"/>
          <w:lang w:val="en-US"/>
        </w:rPr>
        <w:t>. This method makes it possible to analyze the integral assessments of technologies in the case of prioritizing one of the aspects of comparison.</w:t>
      </w:r>
    </w:p>
    <w:p w:rsidR="005F109A" w:rsidRPr="005F109A" w:rsidRDefault="0071713F" w:rsidP="0071713F">
      <w:pPr>
        <w:pStyle w:val="3"/>
        <w:numPr>
          <w:ilvl w:val="1"/>
          <w:numId w:val="10"/>
        </w:numPr>
        <w:rPr>
          <w:szCs w:val="24"/>
        </w:rPr>
      </w:pPr>
      <w:r>
        <w:rPr>
          <w:lang w:val="en-US"/>
        </w:rPr>
        <w:t>A</w:t>
      </w:r>
      <w:r w:rsidRPr="0071713F">
        <w:t>aggregation procedure</w:t>
      </w:r>
    </w:p>
    <w:p w:rsidR="005F109A" w:rsidRPr="0071713F" w:rsidRDefault="005F109A" w:rsidP="0071713F">
      <w:pPr>
        <w:spacing w:before="120" w:after="0" w:line="260" w:lineRule="atLeast"/>
        <w:contextualSpacing/>
        <w:jc w:val="both"/>
        <w:rPr>
          <w:rFonts w:ascii="Times New Roman" w:hAnsi="Times New Roman" w:cs="Times New Roman"/>
          <w:sz w:val="20"/>
          <w:szCs w:val="24"/>
          <w:lang w:val="en-US"/>
        </w:rPr>
      </w:pPr>
      <w:r w:rsidRPr="0071713F">
        <w:rPr>
          <w:rFonts w:ascii="Times New Roman" w:hAnsi="Times New Roman" w:cs="Times New Roman"/>
          <w:sz w:val="20"/>
          <w:szCs w:val="24"/>
          <w:lang w:val="en-US"/>
        </w:rPr>
        <w:tab/>
      </w:r>
      <w:r w:rsidR="0071713F" w:rsidRPr="0071713F">
        <w:rPr>
          <w:rFonts w:ascii="Times New Roman" w:hAnsi="Times New Roman" w:cs="Times New Roman"/>
          <w:sz w:val="20"/>
          <w:szCs w:val="24"/>
          <w:lang w:val="en-US"/>
        </w:rPr>
        <w:t xml:space="preserve">Comparative assessment and ranking of the technologies under consideration was based on the Multi-Attribute Value Theory (MAVT method). The calculation of integral value carried out using the KIND-ET tool developed by the IAEA INPRO section. This tool is intended for </w:t>
      </w:r>
      <w:proofErr w:type="spellStart"/>
      <w:r w:rsidR="0071713F" w:rsidRPr="0071713F">
        <w:rPr>
          <w:rFonts w:ascii="Times New Roman" w:hAnsi="Times New Roman" w:cs="Times New Roman"/>
          <w:sz w:val="20"/>
          <w:szCs w:val="24"/>
          <w:lang w:val="en-US"/>
        </w:rPr>
        <w:t>multicriteria</w:t>
      </w:r>
      <w:proofErr w:type="spellEnd"/>
      <w:r w:rsidR="0071713F" w:rsidRPr="0071713F">
        <w:rPr>
          <w:rFonts w:ascii="Times New Roman" w:hAnsi="Times New Roman" w:cs="Times New Roman"/>
          <w:sz w:val="20"/>
          <w:szCs w:val="24"/>
          <w:lang w:val="en-US"/>
        </w:rPr>
        <w:t xml:space="preserve"> comparative assessment of various technologies and analysis for sensitivity and uncertainty in relation to criteria and weighting factors.</w:t>
      </w:r>
    </w:p>
    <w:p w:rsidR="00415D9D" w:rsidRPr="00415D9D" w:rsidRDefault="0071713F" w:rsidP="0071713F">
      <w:pPr>
        <w:pStyle w:val="2"/>
        <w:numPr>
          <w:ilvl w:val="0"/>
          <w:numId w:val="10"/>
        </w:numPr>
        <w:spacing w:before="100" w:beforeAutospacing="1" w:after="100" w:afterAutospacing="1" w:line="280" w:lineRule="atLeast"/>
        <w:rPr>
          <w:rFonts w:ascii="Times New Roman" w:hAnsi="Times New Roman" w:cs="Times New Roman"/>
          <w:color w:val="000000" w:themeColor="text1"/>
          <w:sz w:val="24"/>
          <w:szCs w:val="24"/>
          <w:lang w:val="en-US"/>
        </w:rPr>
      </w:pPr>
      <w:r w:rsidRPr="0071713F">
        <w:rPr>
          <w:rFonts w:ascii="Times New Roman" w:hAnsi="Times New Roman" w:cs="Times New Roman"/>
          <w:color w:val="000000" w:themeColor="text1"/>
          <w:sz w:val="24"/>
          <w:szCs w:val="24"/>
          <w:lang w:val="en-US"/>
        </w:rPr>
        <w:t>RESULTS OF ASSESSMENTS AND THEIR ANALYSIS</w:t>
      </w:r>
    </w:p>
    <w:p w:rsidR="00EB32CC" w:rsidRPr="00EB32CC" w:rsidRDefault="0071713F" w:rsidP="0071713F">
      <w:pPr>
        <w:pStyle w:val="3"/>
        <w:numPr>
          <w:ilvl w:val="1"/>
          <w:numId w:val="10"/>
        </w:numPr>
      </w:pPr>
      <w:r w:rsidRPr="0071713F">
        <w:t>Assessment of the overall score</w:t>
      </w:r>
    </w:p>
    <w:p w:rsidR="006778F1" w:rsidRPr="006778F1" w:rsidRDefault="00EB32CC" w:rsidP="006778F1">
      <w:pPr>
        <w:spacing w:before="120" w:after="0" w:line="260" w:lineRule="atLeast"/>
        <w:contextualSpacing/>
        <w:jc w:val="both"/>
        <w:rPr>
          <w:rFonts w:ascii="Times New Roman" w:hAnsi="Times New Roman" w:cs="Times New Roman"/>
          <w:sz w:val="20"/>
          <w:szCs w:val="24"/>
          <w:lang w:val="en-US"/>
        </w:rPr>
      </w:pPr>
      <w:r w:rsidRPr="0071713F">
        <w:rPr>
          <w:rFonts w:ascii="Times New Roman" w:hAnsi="Times New Roman" w:cs="Times New Roman"/>
          <w:sz w:val="20"/>
          <w:szCs w:val="24"/>
          <w:lang w:val="en-US"/>
        </w:rPr>
        <w:tab/>
      </w:r>
      <w:r w:rsidR="006778F1" w:rsidRPr="006778F1">
        <w:rPr>
          <w:rFonts w:ascii="Times New Roman" w:hAnsi="Times New Roman" w:cs="Times New Roman"/>
          <w:sz w:val="20"/>
          <w:szCs w:val="24"/>
          <w:lang w:val="en-US"/>
        </w:rPr>
        <w:t xml:space="preserve">It should be noted that all the considered MA </w:t>
      </w:r>
      <w:r w:rsidR="006778F1">
        <w:rPr>
          <w:rFonts w:ascii="Times New Roman" w:hAnsi="Times New Roman" w:cs="Times New Roman"/>
          <w:sz w:val="20"/>
          <w:szCs w:val="24"/>
          <w:lang w:val="en-US"/>
        </w:rPr>
        <w:t>transmutation</w:t>
      </w:r>
      <w:r w:rsidR="006778F1" w:rsidRPr="006778F1">
        <w:rPr>
          <w:rFonts w:ascii="Times New Roman" w:hAnsi="Times New Roman" w:cs="Times New Roman"/>
          <w:sz w:val="20"/>
          <w:szCs w:val="24"/>
          <w:lang w:val="en-US"/>
        </w:rPr>
        <w:t xml:space="preserve"> options are not dominant. This means that each of the listed </w:t>
      </w:r>
      <w:r w:rsidR="006778F1">
        <w:rPr>
          <w:rFonts w:ascii="Times New Roman" w:hAnsi="Times New Roman" w:cs="Times New Roman"/>
          <w:sz w:val="20"/>
          <w:szCs w:val="24"/>
          <w:lang w:val="en-US"/>
        </w:rPr>
        <w:t>technologies</w:t>
      </w:r>
      <w:r w:rsidR="006778F1" w:rsidRPr="006778F1">
        <w:rPr>
          <w:rFonts w:ascii="Times New Roman" w:hAnsi="Times New Roman" w:cs="Times New Roman"/>
          <w:sz w:val="20"/>
          <w:szCs w:val="24"/>
          <w:lang w:val="en-US"/>
        </w:rPr>
        <w:t xml:space="preserve"> can take the first place in the rating if the priorities are chosen accordingly.</w:t>
      </w:r>
    </w:p>
    <w:p w:rsidR="00415D9D" w:rsidRPr="006778F1" w:rsidRDefault="006778F1" w:rsidP="006778F1">
      <w:pPr>
        <w:spacing w:before="120" w:after="0" w:line="260" w:lineRule="atLeast"/>
        <w:ind w:firstLine="708"/>
        <w:contextualSpacing/>
        <w:jc w:val="both"/>
        <w:rPr>
          <w:rFonts w:ascii="Times New Roman" w:hAnsi="Times New Roman" w:cs="Times New Roman"/>
          <w:sz w:val="20"/>
          <w:szCs w:val="24"/>
          <w:lang w:val="en-US"/>
        </w:rPr>
      </w:pPr>
      <w:r w:rsidRPr="006778F1">
        <w:rPr>
          <w:rFonts w:ascii="Times New Roman" w:hAnsi="Times New Roman" w:cs="Times New Roman"/>
          <w:sz w:val="20"/>
          <w:szCs w:val="24"/>
          <w:lang w:val="en-US"/>
        </w:rPr>
        <w:t xml:space="preserve">A comprehensive </w:t>
      </w:r>
      <w:proofErr w:type="spellStart"/>
      <w:r w:rsidRPr="006778F1">
        <w:rPr>
          <w:rFonts w:ascii="Times New Roman" w:hAnsi="Times New Roman" w:cs="Times New Roman"/>
          <w:sz w:val="20"/>
          <w:szCs w:val="24"/>
          <w:lang w:val="en-US"/>
        </w:rPr>
        <w:t>multicriteria</w:t>
      </w:r>
      <w:proofErr w:type="spellEnd"/>
      <w:r w:rsidRPr="006778F1">
        <w:rPr>
          <w:rFonts w:ascii="Times New Roman" w:hAnsi="Times New Roman" w:cs="Times New Roman"/>
          <w:sz w:val="20"/>
          <w:szCs w:val="24"/>
          <w:lang w:val="en-US"/>
        </w:rPr>
        <w:t xml:space="preserve"> analysis of various aspects of the technologies selected for comparison, as expected, led to estimates that differ from the approach in which technologies are compared only according to one criterion without taking into account the influence of other equally important factors. Figure 3 shows an integrated assessment of each of the options under consideration, taking into account the contribution of high-level </w:t>
      </w:r>
      <w:r>
        <w:rPr>
          <w:rFonts w:ascii="Times New Roman" w:hAnsi="Times New Roman" w:cs="Times New Roman"/>
          <w:sz w:val="20"/>
          <w:szCs w:val="24"/>
          <w:lang w:val="en-US"/>
        </w:rPr>
        <w:t>objectives</w:t>
      </w:r>
      <w:r w:rsidRPr="006778F1">
        <w:rPr>
          <w:rFonts w:ascii="Times New Roman" w:hAnsi="Times New Roman" w:cs="Times New Roman"/>
          <w:sz w:val="20"/>
          <w:szCs w:val="24"/>
          <w:lang w:val="en-US"/>
        </w:rPr>
        <w:t>.</w:t>
      </w:r>
    </w:p>
    <w:p w:rsidR="00415D9D" w:rsidRPr="006778F1" w:rsidRDefault="00415D9D" w:rsidP="00415D9D">
      <w:pPr>
        <w:spacing w:before="120" w:after="0" w:line="260" w:lineRule="atLeast"/>
        <w:contextualSpacing/>
        <w:jc w:val="center"/>
        <w:rPr>
          <w:lang w:val="en-US"/>
        </w:rPr>
      </w:pPr>
    </w:p>
    <w:p w:rsidR="00BB4C02" w:rsidRDefault="00BB4C02" w:rsidP="00415D9D">
      <w:pPr>
        <w:spacing w:before="120" w:after="0" w:line="260" w:lineRule="atLeast"/>
        <w:contextualSpacing/>
        <w:jc w:val="center"/>
        <w:rPr>
          <w:rFonts w:ascii="Times New Roman" w:hAnsi="Times New Roman" w:cs="Times New Roman"/>
          <w:sz w:val="20"/>
          <w:szCs w:val="24"/>
        </w:rPr>
      </w:pPr>
      <w:r w:rsidRPr="00BB4C02">
        <w:rPr>
          <w:noProof/>
          <w:lang w:eastAsia="ru-RU"/>
        </w:rPr>
        <w:drawing>
          <wp:inline distT="0" distB="0" distL="0" distR="0" wp14:anchorId="5D0D9C56" wp14:editId="317076E8">
            <wp:extent cx="3226735" cy="2407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563" cy="2413015"/>
                    </a:xfrm>
                    <a:prstGeom prst="rect">
                      <a:avLst/>
                    </a:prstGeom>
                  </pic:spPr>
                </pic:pic>
              </a:graphicData>
            </a:graphic>
          </wp:inline>
        </w:drawing>
      </w:r>
    </w:p>
    <w:p w:rsidR="00415D9D" w:rsidRPr="006778F1" w:rsidRDefault="006778F1" w:rsidP="006778F1">
      <w:pPr>
        <w:spacing w:after="120" w:line="260" w:lineRule="atLeast"/>
        <w:jc w:val="center"/>
        <w:rPr>
          <w:rFonts w:ascii="Times New Roman" w:hAnsi="Times New Roman" w:cs="Times New Roman"/>
          <w:sz w:val="20"/>
          <w:szCs w:val="24"/>
          <w:lang w:val="en-US"/>
        </w:rPr>
      </w:pPr>
      <w:r>
        <w:rPr>
          <w:rFonts w:ascii="Times New Roman" w:hAnsi="Times New Roman" w:cs="Times New Roman"/>
          <w:sz w:val="20"/>
          <w:szCs w:val="24"/>
          <w:lang w:val="en-US"/>
        </w:rPr>
        <w:t>FIG</w:t>
      </w:r>
      <w:r w:rsidR="00415D9D" w:rsidRPr="006778F1">
        <w:rPr>
          <w:rFonts w:ascii="Times New Roman" w:hAnsi="Times New Roman" w:cs="Times New Roman"/>
          <w:sz w:val="20"/>
          <w:szCs w:val="24"/>
          <w:lang w:val="en-US"/>
        </w:rPr>
        <w:t xml:space="preserve"> 3. </w:t>
      </w:r>
      <w:r w:rsidRPr="006778F1">
        <w:rPr>
          <w:rFonts w:ascii="Times New Roman" w:hAnsi="Times New Roman" w:cs="Times New Roman"/>
          <w:sz w:val="20"/>
          <w:szCs w:val="24"/>
          <w:lang w:val="en-US"/>
        </w:rPr>
        <w:t xml:space="preserve">Contribution of high-level </w:t>
      </w:r>
      <w:r>
        <w:rPr>
          <w:rFonts w:ascii="Times New Roman" w:hAnsi="Times New Roman" w:cs="Times New Roman"/>
          <w:sz w:val="20"/>
          <w:szCs w:val="24"/>
          <w:lang w:val="en-US"/>
        </w:rPr>
        <w:t>objectives</w:t>
      </w:r>
      <w:r w:rsidRPr="006778F1">
        <w:rPr>
          <w:rFonts w:ascii="Times New Roman" w:hAnsi="Times New Roman" w:cs="Times New Roman"/>
          <w:sz w:val="20"/>
          <w:szCs w:val="24"/>
          <w:lang w:val="en-US"/>
        </w:rPr>
        <w:t xml:space="preserve"> to the </w:t>
      </w:r>
      <w:r>
        <w:rPr>
          <w:rFonts w:ascii="Times New Roman" w:hAnsi="Times New Roman" w:cs="Times New Roman"/>
          <w:sz w:val="20"/>
          <w:szCs w:val="24"/>
          <w:lang w:val="en-US"/>
        </w:rPr>
        <w:t>overall score</w:t>
      </w:r>
      <w:r w:rsidRPr="006778F1">
        <w:rPr>
          <w:rFonts w:ascii="Times New Roman" w:hAnsi="Times New Roman" w:cs="Times New Roman"/>
          <w:sz w:val="20"/>
          <w:szCs w:val="24"/>
          <w:lang w:val="en-US"/>
        </w:rPr>
        <w:t xml:space="preserve"> of the </w:t>
      </w:r>
      <w:r>
        <w:rPr>
          <w:rFonts w:ascii="Times New Roman" w:hAnsi="Times New Roman" w:cs="Times New Roman"/>
          <w:sz w:val="20"/>
          <w:szCs w:val="24"/>
          <w:lang w:val="en-US"/>
        </w:rPr>
        <w:t>technologies</w:t>
      </w:r>
      <w:r w:rsidRPr="006778F1">
        <w:rPr>
          <w:rFonts w:ascii="Times New Roman" w:hAnsi="Times New Roman" w:cs="Times New Roman"/>
          <w:sz w:val="20"/>
          <w:szCs w:val="24"/>
          <w:lang w:val="en-US"/>
        </w:rPr>
        <w:t xml:space="preserve"> under consideration in the "Equal weights" option</w:t>
      </w:r>
    </w:p>
    <w:p w:rsidR="00235E56" w:rsidRPr="006778F1" w:rsidRDefault="006778F1" w:rsidP="00235E56">
      <w:pPr>
        <w:spacing w:before="120" w:after="0" w:line="260" w:lineRule="atLeast"/>
        <w:ind w:firstLine="708"/>
        <w:contextualSpacing/>
        <w:jc w:val="both"/>
        <w:rPr>
          <w:rFonts w:ascii="Times New Roman" w:hAnsi="Times New Roman" w:cs="Times New Roman"/>
          <w:sz w:val="20"/>
          <w:szCs w:val="24"/>
          <w:lang w:val="en-US"/>
        </w:rPr>
      </w:pPr>
      <w:r w:rsidRPr="006778F1">
        <w:rPr>
          <w:rFonts w:ascii="Times New Roman" w:hAnsi="Times New Roman" w:cs="Times New Roman"/>
          <w:sz w:val="20"/>
          <w:szCs w:val="24"/>
          <w:lang w:val="en-US"/>
        </w:rPr>
        <w:t xml:space="preserve">As can be seen from the graph, the option of MA utilization in fast reactors with a sodium coolant received the highest assessment. First of all, this is due to the readiness and demonstration of the main components of the technology at the operating power reactors, the availability of an experimental and legal basis. It will also require much less financial resources and time to complete the main R&amp;D programs and organize the fabrication of fuel with the MA. However, BN reactors have the lowest MA transmutation rate associated with limiting the amount of MA </w:t>
      </w:r>
      <w:r w:rsidRPr="006778F1">
        <w:rPr>
          <w:rFonts w:ascii="Times New Roman" w:hAnsi="Times New Roman" w:cs="Times New Roman"/>
          <w:sz w:val="20"/>
          <w:szCs w:val="24"/>
          <w:lang w:val="en-US"/>
        </w:rPr>
        <w:lastRenderedPageBreak/>
        <w:t>loading into the reactor core in order to minimize the impact on safety and the main function of the power plant - economically efficient power generation.</w:t>
      </w:r>
      <w:r w:rsidR="00235E56" w:rsidRPr="006778F1">
        <w:rPr>
          <w:rFonts w:ascii="Times New Roman" w:hAnsi="Times New Roman" w:cs="Times New Roman"/>
          <w:sz w:val="20"/>
          <w:szCs w:val="24"/>
          <w:lang w:val="en-US"/>
        </w:rPr>
        <w:t xml:space="preserve"> </w:t>
      </w:r>
    </w:p>
    <w:p w:rsidR="006778F1" w:rsidRDefault="006778F1" w:rsidP="00235E56">
      <w:pPr>
        <w:spacing w:before="120" w:after="0" w:line="260" w:lineRule="atLeast"/>
        <w:ind w:firstLine="708"/>
        <w:contextualSpacing/>
        <w:jc w:val="both"/>
        <w:rPr>
          <w:rFonts w:ascii="Times New Roman" w:hAnsi="Times New Roman" w:cs="Times New Roman"/>
          <w:sz w:val="20"/>
          <w:szCs w:val="24"/>
          <w:lang w:val="en-US"/>
        </w:rPr>
      </w:pPr>
      <w:r w:rsidRPr="006778F1">
        <w:rPr>
          <w:rFonts w:ascii="Times New Roman" w:hAnsi="Times New Roman" w:cs="Times New Roman"/>
          <w:sz w:val="20"/>
          <w:szCs w:val="24"/>
          <w:lang w:val="en-US"/>
        </w:rPr>
        <w:t>A FR with a lead coolant, with comparable or large estimates for the high-level goals "MA Transmutation" and "Environment" and the declared low capital costs, has less development at the moment and requires much higher financial R&amp;D expenditures to demonstrate reactor technology and fuel cycle technologies.</w:t>
      </w:r>
    </w:p>
    <w:p w:rsidR="00235E56" w:rsidRPr="00E223C3" w:rsidRDefault="00E223C3" w:rsidP="00235E56">
      <w:pPr>
        <w:spacing w:before="120" w:after="0" w:line="260" w:lineRule="atLeast"/>
        <w:ind w:firstLine="708"/>
        <w:contextualSpacing/>
        <w:jc w:val="both"/>
        <w:rPr>
          <w:rFonts w:ascii="Times New Roman" w:hAnsi="Times New Roman" w:cs="Times New Roman"/>
          <w:sz w:val="20"/>
          <w:szCs w:val="24"/>
          <w:lang w:val="en-US"/>
        </w:rPr>
      </w:pPr>
      <w:r w:rsidRPr="00E223C3">
        <w:rPr>
          <w:rFonts w:ascii="Times New Roman" w:hAnsi="Times New Roman" w:cs="Times New Roman"/>
          <w:sz w:val="20"/>
          <w:szCs w:val="24"/>
          <w:lang w:val="en-US"/>
        </w:rPr>
        <w:t>MSR has a multiple higher rate of MA transmutation than in a FR with sodium or lead coolant, but at the same time it has a much higher initial loading and final MA discharge, and, consequently, large absolute MA losses during operational life-time. Also, for MSR, structural materials and an effective technology for reprocessing fuel salt to remove accumulated FP have not been demonstrated at present.</w:t>
      </w:r>
    </w:p>
    <w:p w:rsidR="00415D9D" w:rsidRPr="00810F7F" w:rsidRDefault="00235E56" w:rsidP="00810F7F">
      <w:pPr>
        <w:spacing w:before="120" w:after="0" w:line="260" w:lineRule="atLeast"/>
        <w:contextualSpacing/>
        <w:jc w:val="both"/>
        <w:rPr>
          <w:rFonts w:ascii="Times New Roman" w:hAnsi="Times New Roman" w:cs="Times New Roman"/>
          <w:sz w:val="20"/>
          <w:szCs w:val="24"/>
          <w:lang w:val="en-US"/>
        </w:rPr>
      </w:pPr>
      <w:r w:rsidRPr="00E223C3">
        <w:rPr>
          <w:rFonts w:ascii="Times New Roman" w:hAnsi="Times New Roman" w:cs="Times New Roman"/>
          <w:sz w:val="20"/>
          <w:szCs w:val="24"/>
          <w:lang w:val="en-US"/>
        </w:rPr>
        <w:tab/>
      </w:r>
      <w:r w:rsidR="00810F7F" w:rsidRPr="00810F7F">
        <w:rPr>
          <w:rFonts w:ascii="Times New Roman" w:hAnsi="Times New Roman" w:cs="Times New Roman"/>
          <w:sz w:val="20"/>
          <w:szCs w:val="24"/>
          <w:lang w:val="en-US"/>
        </w:rPr>
        <w:t>The FFHR with a fusion part based on a tokamak has the lowest overall</w:t>
      </w:r>
      <w:r w:rsidR="00131A7E">
        <w:rPr>
          <w:rFonts w:ascii="Times New Roman" w:hAnsi="Times New Roman" w:cs="Times New Roman"/>
          <w:sz w:val="20"/>
          <w:szCs w:val="24"/>
          <w:lang w:val="en-US"/>
        </w:rPr>
        <w:t xml:space="preserve"> </w:t>
      </w:r>
      <w:r w:rsidR="00810F7F" w:rsidRPr="00810F7F">
        <w:rPr>
          <w:rFonts w:ascii="Times New Roman" w:hAnsi="Times New Roman" w:cs="Times New Roman"/>
          <w:sz w:val="20"/>
          <w:szCs w:val="24"/>
          <w:lang w:val="en-US"/>
        </w:rPr>
        <w:t xml:space="preserve">score, although it has the highest transmutation rate, the best neutron-physical characteristics, and </w:t>
      </w:r>
      <w:r w:rsidR="00131A7E" w:rsidRPr="00810F7F">
        <w:rPr>
          <w:rFonts w:ascii="Times New Roman" w:hAnsi="Times New Roman" w:cs="Times New Roman"/>
          <w:sz w:val="20"/>
          <w:szCs w:val="24"/>
          <w:lang w:val="en-US"/>
        </w:rPr>
        <w:t>safety parameters</w:t>
      </w:r>
      <w:r w:rsidR="00810F7F" w:rsidRPr="00810F7F">
        <w:rPr>
          <w:rFonts w:ascii="Times New Roman" w:hAnsi="Times New Roman" w:cs="Times New Roman"/>
          <w:sz w:val="20"/>
          <w:szCs w:val="24"/>
          <w:lang w:val="en-US"/>
        </w:rPr>
        <w:t>, since the MA fuel is supposed to be placed in a subcritical blanket. However, the development of this technology is only at an early stage, which is associated with significant R&amp;D co</w:t>
      </w:r>
      <w:r w:rsidR="000F68C7">
        <w:rPr>
          <w:rFonts w:ascii="Times New Roman" w:hAnsi="Times New Roman" w:cs="Times New Roman"/>
          <w:sz w:val="20"/>
          <w:szCs w:val="24"/>
          <w:lang w:val="en-US"/>
        </w:rPr>
        <w:t>sts. Also, according to work [</w:t>
      </w:r>
      <w:r w:rsidR="00E84A3C">
        <w:rPr>
          <w:rFonts w:ascii="Times New Roman" w:hAnsi="Times New Roman" w:cs="Times New Roman"/>
          <w:sz w:val="20"/>
          <w:szCs w:val="24"/>
          <w:lang w:val="en-US"/>
        </w:rPr>
        <w:t>22</w:t>
      </w:r>
      <w:r w:rsidR="00810F7F" w:rsidRPr="00810F7F">
        <w:rPr>
          <w:rFonts w:ascii="Times New Roman" w:hAnsi="Times New Roman" w:cs="Times New Roman"/>
          <w:sz w:val="20"/>
          <w:szCs w:val="24"/>
          <w:lang w:val="en-US"/>
        </w:rPr>
        <w:t>], the capital cost of a FFHR, based on tokamak, is proportional to the square of the large radius of the torus of the thermonuclear fusion chamber. If we compare it with ITER, then CAPEX, at least of the first samples, will significantly exceed the capital costs of the remaining options under consideration.</w:t>
      </w:r>
    </w:p>
    <w:p w:rsidR="00235E56" w:rsidRPr="000F68C7" w:rsidRDefault="00235E56" w:rsidP="00060EB5">
      <w:pPr>
        <w:spacing w:after="120" w:line="260" w:lineRule="atLeast"/>
        <w:jc w:val="both"/>
        <w:rPr>
          <w:rFonts w:ascii="Times New Roman" w:hAnsi="Times New Roman" w:cs="Times New Roman"/>
          <w:sz w:val="20"/>
          <w:szCs w:val="24"/>
          <w:lang w:val="en-US"/>
        </w:rPr>
      </w:pPr>
      <w:r w:rsidRPr="00810F7F">
        <w:rPr>
          <w:rFonts w:ascii="Times New Roman" w:hAnsi="Times New Roman" w:cs="Times New Roman"/>
          <w:sz w:val="20"/>
          <w:szCs w:val="24"/>
          <w:lang w:val="en-US"/>
        </w:rPr>
        <w:tab/>
      </w:r>
      <w:r w:rsidR="000F68C7" w:rsidRPr="000F68C7">
        <w:rPr>
          <w:rFonts w:ascii="Times New Roman" w:hAnsi="Times New Roman" w:cs="Times New Roman"/>
          <w:sz w:val="20"/>
          <w:szCs w:val="24"/>
          <w:lang w:val="en-US"/>
        </w:rPr>
        <w:t>Figure 4 shows a comparison of the change in the overall score depending on the prioritization of a p</w:t>
      </w:r>
      <w:r w:rsidR="000F68C7">
        <w:rPr>
          <w:rFonts w:ascii="Times New Roman" w:hAnsi="Times New Roman" w:cs="Times New Roman"/>
          <w:sz w:val="20"/>
          <w:szCs w:val="24"/>
          <w:lang w:val="en-US"/>
        </w:rPr>
        <w:t>articular high-level objective.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8"/>
      </w:tblGrid>
      <w:tr w:rsidR="00BB4C02" w:rsidTr="00BB4C02">
        <w:tc>
          <w:tcPr>
            <w:tcW w:w="3465" w:type="dxa"/>
            <w:vAlign w:val="center"/>
          </w:tcPr>
          <w:p w:rsidR="00235E56" w:rsidRDefault="00060EB5" w:rsidP="0021238D">
            <w:pPr>
              <w:jc w:val="center"/>
              <w:rPr>
                <w:rFonts w:ascii="Times New Roman" w:hAnsi="Times New Roman" w:cs="Times New Roman"/>
                <w:sz w:val="28"/>
                <w:szCs w:val="28"/>
              </w:rPr>
            </w:pPr>
            <w:r>
              <w:rPr>
                <w:noProof/>
                <w:lang w:eastAsia="ru-RU"/>
              </w:rPr>
              <w:drawing>
                <wp:inline distT="0" distB="0" distL="0" distR="0" wp14:anchorId="1FC73229" wp14:editId="109E2DCE">
                  <wp:extent cx="2874140" cy="2148840"/>
                  <wp:effectExtent l="0" t="0" r="254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4242" cy="2156393"/>
                          </a:xfrm>
                          <a:prstGeom prst="rect">
                            <a:avLst/>
                          </a:prstGeom>
                        </pic:spPr>
                      </pic:pic>
                    </a:graphicData>
                  </a:graphic>
                </wp:inline>
              </w:drawing>
            </w:r>
          </w:p>
        </w:tc>
        <w:tc>
          <w:tcPr>
            <w:tcW w:w="5890" w:type="dxa"/>
            <w:vAlign w:val="center"/>
          </w:tcPr>
          <w:p w:rsidR="00235E56" w:rsidRDefault="00060EB5" w:rsidP="0021238D">
            <w:pPr>
              <w:jc w:val="center"/>
              <w:rPr>
                <w:rFonts w:ascii="Times New Roman" w:hAnsi="Times New Roman" w:cs="Times New Roman"/>
                <w:sz w:val="28"/>
                <w:szCs w:val="28"/>
              </w:rPr>
            </w:pPr>
            <w:r>
              <w:rPr>
                <w:noProof/>
                <w:lang w:eastAsia="ru-RU"/>
              </w:rPr>
              <w:drawing>
                <wp:inline distT="0" distB="0" distL="0" distR="0" wp14:anchorId="7DBB9979" wp14:editId="720DA477">
                  <wp:extent cx="2857500" cy="21363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1507" cy="2146870"/>
                          </a:xfrm>
                          <a:prstGeom prst="rect">
                            <a:avLst/>
                          </a:prstGeom>
                        </pic:spPr>
                      </pic:pic>
                    </a:graphicData>
                  </a:graphic>
                </wp:inline>
              </w:drawing>
            </w:r>
          </w:p>
        </w:tc>
      </w:tr>
      <w:tr w:rsidR="00BB4C02" w:rsidTr="00BB4C02">
        <w:tblPrEx>
          <w:tblCellMar>
            <w:left w:w="0" w:type="dxa"/>
            <w:right w:w="0" w:type="dxa"/>
          </w:tblCellMar>
        </w:tblPrEx>
        <w:tc>
          <w:tcPr>
            <w:tcW w:w="3465" w:type="dxa"/>
            <w:vAlign w:val="center"/>
          </w:tcPr>
          <w:p w:rsidR="00235E56" w:rsidRPr="00235E56" w:rsidRDefault="00235E56" w:rsidP="0021238D">
            <w:pPr>
              <w:jc w:val="center"/>
              <w:rPr>
                <w:rFonts w:ascii="Times New Roman" w:hAnsi="Times New Roman" w:cs="Times New Roman"/>
                <w:i/>
                <w:sz w:val="20"/>
                <w:szCs w:val="28"/>
              </w:rPr>
            </w:pPr>
            <w:r w:rsidRPr="00235E56">
              <w:rPr>
                <w:rFonts w:ascii="Times New Roman" w:hAnsi="Times New Roman" w:cs="Times New Roman"/>
                <w:i/>
                <w:sz w:val="20"/>
                <w:szCs w:val="28"/>
              </w:rPr>
              <w:t>(а)</w:t>
            </w:r>
          </w:p>
        </w:tc>
        <w:tc>
          <w:tcPr>
            <w:tcW w:w="5890" w:type="dxa"/>
            <w:vAlign w:val="center"/>
          </w:tcPr>
          <w:p w:rsidR="00235E56" w:rsidRPr="00235E56" w:rsidRDefault="00BB4C02" w:rsidP="0021238D">
            <w:pPr>
              <w:jc w:val="center"/>
              <w:rPr>
                <w:rFonts w:ascii="Times New Roman" w:hAnsi="Times New Roman" w:cs="Times New Roman"/>
                <w:i/>
                <w:sz w:val="20"/>
                <w:szCs w:val="28"/>
              </w:rPr>
            </w:pPr>
            <w:r>
              <w:rPr>
                <w:rFonts w:ascii="Times New Roman" w:hAnsi="Times New Roman" w:cs="Times New Roman"/>
                <w:i/>
                <w:sz w:val="20"/>
                <w:szCs w:val="28"/>
              </w:rPr>
              <w:t>(b</w:t>
            </w:r>
            <w:r w:rsidR="00235E56" w:rsidRPr="00235E56">
              <w:rPr>
                <w:rFonts w:ascii="Times New Roman" w:hAnsi="Times New Roman" w:cs="Times New Roman"/>
                <w:i/>
                <w:sz w:val="20"/>
                <w:szCs w:val="28"/>
              </w:rPr>
              <w:t>)</w:t>
            </w:r>
          </w:p>
        </w:tc>
      </w:tr>
      <w:tr w:rsidR="00BB4C02" w:rsidTr="00BB4C02">
        <w:tc>
          <w:tcPr>
            <w:tcW w:w="3465" w:type="dxa"/>
            <w:vAlign w:val="center"/>
          </w:tcPr>
          <w:p w:rsidR="00235E56" w:rsidRPr="00235E56" w:rsidRDefault="00BB4C02" w:rsidP="0021238D">
            <w:pPr>
              <w:jc w:val="center"/>
              <w:rPr>
                <w:rFonts w:ascii="Times New Roman" w:hAnsi="Times New Roman" w:cs="Times New Roman"/>
                <w:sz w:val="20"/>
                <w:szCs w:val="28"/>
              </w:rPr>
            </w:pPr>
            <w:r>
              <w:rPr>
                <w:noProof/>
                <w:lang w:eastAsia="ru-RU"/>
              </w:rPr>
              <w:drawing>
                <wp:inline distT="0" distB="0" distL="0" distR="0" wp14:anchorId="6488E187" wp14:editId="3EE57890">
                  <wp:extent cx="2894525" cy="2164080"/>
                  <wp:effectExtent l="0" t="0" r="127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9732" cy="2175449"/>
                          </a:xfrm>
                          <a:prstGeom prst="rect">
                            <a:avLst/>
                          </a:prstGeom>
                        </pic:spPr>
                      </pic:pic>
                    </a:graphicData>
                  </a:graphic>
                </wp:inline>
              </w:drawing>
            </w:r>
          </w:p>
        </w:tc>
        <w:tc>
          <w:tcPr>
            <w:tcW w:w="5890" w:type="dxa"/>
            <w:vAlign w:val="center"/>
          </w:tcPr>
          <w:p w:rsidR="00235E56" w:rsidRPr="00235E56" w:rsidRDefault="00BB4C02" w:rsidP="0021238D">
            <w:pPr>
              <w:jc w:val="center"/>
              <w:rPr>
                <w:rFonts w:ascii="Times New Roman" w:hAnsi="Times New Roman" w:cs="Times New Roman"/>
                <w:sz w:val="20"/>
                <w:szCs w:val="28"/>
              </w:rPr>
            </w:pPr>
            <w:r>
              <w:rPr>
                <w:noProof/>
                <w:lang w:eastAsia="ru-RU"/>
              </w:rPr>
              <w:drawing>
                <wp:inline distT="0" distB="0" distL="0" distR="0" wp14:anchorId="30FC236D" wp14:editId="7E72770B">
                  <wp:extent cx="2831886" cy="2117248"/>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3702" cy="2126082"/>
                          </a:xfrm>
                          <a:prstGeom prst="rect">
                            <a:avLst/>
                          </a:prstGeom>
                        </pic:spPr>
                      </pic:pic>
                    </a:graphicData>
                  </a:graphic>
                </wp:inline>
              </w:drawing>
            </w:r>
          </w:p>
        </w:tc>
      </w:tr>
      <w:tr w:rsidR="00BB4C02" w:rsidTr="00BB4C02">
        <w:tblPrEx>
          <w:tblCellMar>
            <w:left w:w="0" w:type="dxa"/>
            <w:right w:w="0" w:type="dxa"/>
          </w:tblCellMar>
        </w:tblPrEx>
        <w:tc>
          <w:tcPr>
            <w:tcW w:w="3465" w:type="dxa"/>
            <w:vAlign w:val="center"/>
          </w:tcPr>
          <w:p w:rsidR="00235E56" w:rsidRPr="00235E56" w:rsidRDefault="00235E56" w:rsidP="00BB4C02">
            <w:pPr>
              <w:jc w:val="center"/>
              <w:rPr>
                <w:rFonts w:ascii="Times New Roman" w:hAnsi="Times New Roman" w:cs="Times New Roman"/>
                <w:i/>
                <w:sz w:val="20"/>
                <w:szCs w:val="28"/>
              </w:rPr>
            </w:pPr>
            <w:r w:rsidRPr="00235E56">
              <w:rPr>
                <w:rFonts w:ascii="Times New Roman" w:hAnsi="Times New Roman" w:cs="Times New Roman"/>
                <w:i/>
                <w:sz w:val="20"/>
                <w:szCs w:val="28"/>
              </w:rPr>
              <w:t>(</w:t>
            </w:r>
            <w:r w:rsidR="00BB4C02">
              <w:rPr>
                <w:rFonts w:ascii="Times New Roman" w:hAnsi="Times New Roman" w:cs="Times New Roman"/>
                <w:i/>
                <w:sz w:val="20"/>
                <w:szCs w:val="28"/>
                <w:lang w:val="en-US"/>
              </w:rPr>
              <w:t>c</w:t>
            </w:r>
            <w:r w:rsidRPr="00235E56">
              <w:rPr>
                <w:rFonts w:ascii="Times New Roman" w:hAnsi="Times New Roman" w:cs="Times New Roman"/>
                <w:i/>
                <w:sz w:val="20"/>
                <w:szCs w:val="28"/>
              </w:rPr>
              <w:t>)</w:t>
            </w:r>
          </w:p>
        </w:tc>
        <w:tc>
          <w:tcPr>
            <w:tcW w:w="5890" w:type="dxa"/>
            <w:vAlign w:val="center"/>
          </w:tcPr>
          <w:p w:rsidR="00235E56" w:rsidRPr="00235E56" w:rsidRDefault="00235E56" w:rsidP="00BB4C02">
            <w:pPr>
              <w:jc w:val="center"/>
              <w:rPr>
                <w:rFonts w:ascii="Times New Roman" w:hAnsi="Times New Roman" w:cs="Times New Roman"/>
                <w:i/>
                <w:sz w:val="20"/>
                <w:szCs w:val="28"/>
              </w:rPr>
            </w:pPr>
            <w:r w:rsidRPr="00235E56">
              <w:rPr>
                <w:rFonts w:ascii="Times New Roman" w:hAnsi="Times New Roman" w:cs="Times New Roman"/>
                <w:i/>
                <w:sz w:val="20"/>
                <w:szCs w:val="28"/>
              </w:rPr>
              <w:t>(</w:t>
            </w:r>
            <w:r w:rsidR="00BB4C02">
              <w:rPr>
                <w:rFonts w:ascii="Times New Roman" w:hAnsi="Times New Roman" w:cs="Times New Roman"/>
                <w:i/>
                <w:sz w:val="20"/>
                <w:szCs w:val="28"/>
                <w:lang w:val="en-US"/>
              </w:rPr>
              <w:t>d</w:t>
            </w:r>
            <w:r w:rsidRPr="00235E56">
              <w:rPr>
                <w:rFonts w:ascii="Times New Roman" w:hAnsi="Times New Roman" w:cs="Times New Roman"/>
                <w:i/>
                <w:sz w:val="20"/>
                <w:szCs w:val="28"/>
              </w:rPr>
              <w:t>)</w:t>
            </w:r>
          </w:p>
        </w:tc>
      </w:tr>
    </w:tbl>
    <w:p w:rsidR="00235E56" w:rsidRPr="00415D9D" w:rsidRDefault="00235E56" w:rsidP="00235E56">
      <w:pPr>
        <w:spacing w:before="120" w:after="0" w:line="260" w:lineRule="atLeast"/>
        <w:contextualSpacing/>
        <w:jc w:val="center"/>
        <w:rPr>
          <w:rFonts w:ascii="Times New Roman" w:hAnsi="Times New Roman" w:cs="Times New Roman"/>
          <w:sz w:val="20"/>
          <w:szCs w:val="24"/>
        </w:rPr>
      </w:pPr>
    </w:p>
    <w:p w:rsidR="00E10FB7" w:rsidRPr="000F68C7" w:rsidRDefault="000F68C7" w:rsidP="000F68C7">
      <w:pPr>
        <w:spacing w:after="12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FIG</w:t>
      </w:r>
      <w:r w:rsidR="00BB4C02" w:rsidRPr="000F68C7">
        <w:rPr>
          <w:rFonts w:ascii="Times New Roman" w:hAnsi="Times New Roman" w:cs="Times New Roman"/>
          <w:sz w:val="20"/>
          <w:szCs w:val="24"/>
          <w:lang w:val="en-US"/>
        </w:rPr>
        <w:t xml:space="preserve"> </w:t>
      </w:r>
      <w:r w:rsidR="0088483D" w:rsidRPr="000F68C7">
        <w:rPr>
          <w:rFonts w:ascii="Times New Roman" w:hAnsi="Times New Roman" w:cs="Times New Roman"/>
          <w:sz w:val="20"/>
          <w:szCs w:val="24"/>
          <w:lang w:val="en-US"/>
        </w:rPr>
        <w:t>4</w:t>
      </w:r>
      <w:r w:rsidR="00BB4C02" w:rsidRPr="000F68C7">
        <w:rPr>
          <w:rFonts w:ascii="Times New Roman" w:hAnsi="Times New Roman" w:cs="Times New Roman"/>
          <w:sz w:val="20"/>
          <w:szCs w:val="24"/>
          <w:lang w:val="en-US"/>
        </w:rPr>
        <w:t xml:space="preserve">. </w:t>
      </w:r>
      <w:r w:rsidRPr="000F68C7">
        <w:rPr>
          <w:rFonts w:ascii="Times New Roman" w:hAnsi="Times New Roman" w:cs="Times New Roman"/>
          <w:sz w:val="20"/>
          <w:szCs w:val="24"/>
          <w:lang w:val="en-US"/>
        </w:rPr>
        <w:t>Change in the overall score depending on the prioritization of the high-level objective (a) "MA transmutation", (b) "Economics", (c) "Environment" and (d) "Technology readiness"</w:t>
      </w:r>
    </w:p>
    <w:p w:rsidR="0088483D" w:rsidRPr="000F68C7" w:rsidRDefault="000F68C7" w:rsidP="0088483D">
      <w:pPr>
        <w:spacing w:after="0" w:line="260" w:lineRule="atLeast"/>
        <w:ind w:firstLine="708"/>
        <w:jc w:val="both"/>
        <w:rPr>
          <w:rFonts w:ascii="Times New Roman" w:hAnsi="Times New Roman" w:cs="Times New Roman"/>
          <w:sz w:val="20"/>
          <w:szCs w:val="24"/>
          <w:lang w:val="en-US"/>
        </w:rPr>
      </w:pPr>
      <w:r w:rsidRPr="000F68C7">
        <w:rPr>
          <w:rFonts w:ascii="Times New Roman" w:hAnsi="Times New Roman" w:cs="Times New Roman"/>
          <w:sz w:val="20"/>
          <w:szCs w:val="24"/>
          <w:lang w:val="en-US"/>
        </w:rPr>
        <w:t xml:space="preserve">With the sequential prioritization of high-level objectives, the general trend in the distribution of score between technologies remains. It can be noted that the allocation of a high-level objective "MA transmutation" leads to the convergence of the total scores of the options under consideration. Which means the equivalence of the choice between the technologies already mastered, but less effective in terms of MA transmutation, and promising technologies that allow MA transmutation at a high rate, but which are at the initial stage of development. </w:t>
      </w:r>
      <w:r w:rsidR="0088483D" w:rsidRPr="000F68C7">
        <w:rPr>
          <w:rFonts w:ascii="Times New Roman" w:hAnsi="Times New Roman" w:cs="Times New Roman"/>
          <w:sz w:val="20"/>
          <w:szCs w:val="24"/>
          <w:lang w:val="en-US"/>
        </w:rPr>
        <w:t xml:space="preserve"> </w:t>
      </w:r>
    </w:p>
    <w:p w:rsidR="0088483D" w:rsidRPr="000F68C7" w:rsidRDefault="000F68C7" w:rsidP="000F68C7">
      <w:pPr>
        <w:spacing w:after="0" w:line="260" w:lineRule="atLeast"/>
        <w:ind w:firstLine="708"/>
        <w:jc w:val="both"/>
        <w:rPr>
          <w:rFonts w:ascii="Times New Roman" w:hAnsi="Times New Roman" w:cs="Times New Roman"/>
          <w:sz w:val="20"/>
          <w:szCs w:val="24"/>
          <w:lang w:val="en-US"/>
        </w:rPr>
      </w:pPr>
      <w:r w:rsidRPr="000F68C7">
        <w:rPr>
          <w:rFonts w:ascii="Times New Roman" w:hAnsi="Times New Roman" w:cs="Times New Roman"/>
          <w:sz w:val="20"/>
          <w:szCs w:val="24"/>
          <w:lang w:val="en-US"/>
        </w:rPr>
        <w:lastRenderedPageBreak/>
        <w:t>The same effect with the estimates convergence is obtained when highlighting the high-level objective "Economics". However, for this option, the estimate of the FFHR drops significantly, having high R&amp;D costs and potential high capital cost.</w:t>
      </w:r>
    </w:p>
    <w:p w:rsidR="0088483D" w:rsidRPr="000F68C7" w:rsidRDefault="000F68C7" w:rsidP="000F68C7">
      <w:pPr>
        <w:spacing w:after="0" w:line="260" w:lineRule="atLeast"/>
        <w:ind w:firstLine="708"/>
        <w:jc w:val="both"/>
        <w:rPr>
          <w:rFonts w:ascii="Times New Roman" w:hAnsi="Times New Roman" w:cs="Times New Roman"/>
          <w:sz w:val="20"/>
          <w:szCs w:val="24"/>
          <w:lang w:val="en-US"/>
        </w:rPr>
      </w:pPr>
      <w:r w:rsidRPr="000F68C7">
        <w:rPr>
          <w:rFonts w:ascii="Times New Roman" w:hAnsi="Times New Roman" w:cs="Times New Roman"/>
          <w:sz w:val="20"/>
          <w:szCs w:val="24"/>
          <w:lang w:val="en-US"/>
        </w:rPr>
        <w:t>Increasing the weight for the high-level objective “Environment” brings the estimates of the FR with lead or sodium coolant; for the other variants, the distribution remains similar to the distribution in the variant of equal weights.</w:t>
      </w:r>
    </w:p>
    <w:p w:rsidR="0088483D" w:rsidRPr="000F68C7" w:rsidRDefault="0088483D" w:rsidP="000F68C7">
      <w:pPr>
        <w:spacing w:after="0" w:line="260" w:lineRule="atLeast"/>
        <w:jc w:val="both"/>
        <w:rPr>
          <w:rFonts w:ascii="Times New Roman" w:hAnsi="Times New Roman" w:cs="Times New Roman"/>
          <w:sz w:val="20"/>
          <w:szCs w:val="24"/>
          <w:lang w:val="en-US"/>
        </w:rPr>
      </w:pPr>
      <w:r w:rsidRPr="000F68C7">
        <w:rPr>
          <w:rFonts w:ascii="Times New Roman" w:hAnsi="Times New Roman" w:cs="Times New Roman"/>
          <w:sz w:val="20"/>
          <w:szCs w:val="24"/>
          <w:lang w:val="en-US"/>
        </w:rPr>
        <w:tab/>
      </w:r>
      <w:r w:rsidR="000F68C7" w:rsidRPr="000F68C7">
        <w:rPr>
          <w:rFonts w:ascii="Times New Roman" w:hAnsi="Times New Roman" w:cs="Times New Roman"/>
          <w:sz w:val="20"/>
          <w:szCs w:val="24"/>
          <w:lang w:val="en-US"/>
        </w:rPr>
        <w:t xml:space="preserve">On the contrary, </w:t>
      </w:r>
      <w:r w:rsidR="005F70FA">
        <w:rPr>
          <w:rFonts w:ascii="Times New Roman" w:hAnsi="Times New Roman" w:cs="Times New Roman"/>
          <w:sz w:val="20"/>
          <w:szCs w:val="24"/>
          <w:lang w:val="en-US"/>
        </w:rPr>
        <w:t>p</w:t>
      </w:r>
      <w:r w:rsidR="005F70FA" w:rsidRPr="005F70FA">
        <w:rPr>
          <w:rFonts w:ascii="Times New Roman" w:hAnsi="Times New Roman" w:cs="Times New Roman"/>
          <w:sz w:val="20"/>
          <w:szCs w:val="24"/>
          <w:lang w:val="en-US"/>
        </w:rPr>
        <w:t xml:space="preserve">rioritizing the high-level objective "Technology Readiness" </w:t>
      </w:r>
      <w:r w:rsidR="000F68C7" w:rsidRPr="000F68C7">
        <w:rPr>
          <w:rFonts w:ascii="Times New Roman" w:hAnsi="Times New Roman" w:cs="Times New Roman"/>
          <w:sz w:val="20"/>
          <w:szCs w:val="24"/>
          <w:lang w:val="en-US"/>
        </w:rPr>
        <w:t>increases the difference in the overall score of the compared options. The difference between fast reactors with sodium or lead coolant, which have similar scores for equal weights of high-level objectives, becomes especially significant.</w:t>
      </w:r>
    </w:p>
    <w:p w:rsidR="0088483D" w:rsidRPr="0088483D" w:rsidRDefault="002E1B39" w:rsidP="002E1B39">
      <w:pPr>
        <w:pStyle w:val="3"/>
        <w:numPr>
          <w:ilvl w:val="1"/>
          <w:numId w:val="10"/>
        </w:numPr>
      </w:pPr>
      <w:r w:rsidRPr="002E1B39">
        <w:t>Sensitivity and Uncertainty Analysis</w:t>
      </w:r>
    </w:p>
    <w:p w:rsidR="0088483D" w:rsidRPr="002E1B39" w:rsidRDefault="002E1B39" w:rsidP="002E1B39">
      <w:pPr>
        <w:spacing w:after="0" w:line="260" w:lineRule="atLeast"/>
        <w:ind w:firstLine="708"/>
        <w:jc w:val="both"/>
        <w:rPr>
          <w:rFonts w:ascii="Times New Roman" w:hAnsi="Times New Roman" w:cs="Times New Roman"/>
          <w:sz w:val="20"/>
          <w:szCs w:val="24"/>
          <w:lang w:val="en-US"/>
        </w:rPr>
      </w:pPr>
      <w:r w:rsidRPr="002E1B39">
        <w:rPr>
          <w:rFonts w:ascii="Times New Roman" w:hAnsi="Times New Roman" w:cs="Times New Roman"/>
          <w:sz w:val="20"/>
          <w:szCs w:val="24"/>
          <w:lang w:val="en-US"/>
        </w:rPr>
        <w:t>The above integral estimates were obtained for five variants of weights, determined in advance. At the same time, it is advisable to analyze the selected technologies for the case of significant uncertainty in the weights. That is, how the absence of any information on priorities will affect the final scores and ranks of the options under consideration.</w:t>
      </w:r>
    </w:p>
    <w:p w:rsidR="0088483D" w:rsidRPr="002E1B39" w:rsidRDefault="002E1B39" w:rsidP="0088483D">
      <w:pPr>
        <w:spacing w:after="0" w:line="260" w:lineRule="atLeast"/>
        <w:ind w:firstLine="708"/>
        <w:jc w:val="both"/>
        <w:rPr>
          <w:rFonts w:ascii="Times New Roman" w:hAnsi="Times New Roman" w:cs="Times New Roman"/>
          <w:sz w:val="20"/>
          <w:szCs w:val="24"/>
          <w:lang w:val="en-US"/>
        </w:rPr>
      </w:pPr>
      <w:r w:rsidRPr="002E1B39">
        <w:rPr>
          <w:rFonts w:ascii="Times New Roman" w:hAnsi="Times New Roman" w:cs="Times New Roman"/>
          <w:sz w:val="20"/>
          <w:szCs w:val="24"/>
          <w:lang w:val="en-US"/>
        </w:rPr>
        <w:t xml:space="preserve">Uncertainty analysis for weights was carried out for two options: in Option I, all weights are undefined, in Option II, only weights of high-level objectives were indeterminate. The number of combinations of weights used was 10,000, provided that the weights are evenly distributed within [0,1] and their sum for each combination is equal to </w:t>
      </w:r>
      <w:r w:rsidR="00E84A3C" w:rsidRPr="00E84A3C">
        <w:rPr>
          <w:rFonts w:ascii="Times New Roman" w:hAnsi="Times New Roman" w:cs="Times New Roman"/>
          <w:sz w:val="20"/>
          <w:szCs w:val="24"/>
          <w:lang w:val="en-US"/>
        </w:rPr>
        <w:t>1</w:t>
      </w:r>
      <w:r w:rsidRPr="002E1B39">
        <w:rPr>
          <w:rFonts w:ascii="Times New Roman" w:hAnsi="Times New Roman" w:cs="Times New Roman"/>
          <w:sz w:val="20"/>
          <w:szCs w:val="24"/>
          <w:lang w:val="en-US"/>
        </w:rPr>
        <w:t xml:space="preserve">. We considered both the probability of getting a certain integral assessment of each of the options, and taking the corresponding rank in comparison with other options. The first rank corresponds to the highest total score for the considered alternative, and the </w:t>
      </w:r>
      <w:r w:rsidR="00E84A3C" w:rsidRPr="00E84A3C">
        <w:rPr>
          <w:rFonts w:ascii="Times New Roman" w:hAnsi="Times New Roman" w:cs="Times New Roman"/>
          <w:sz w:val="20"/>
          <w:szCs w:val="24"/>
          <w:lang w:val="en-US"/>
        </w:rPr>
        <w:t xml:space="preserve">fourth </w:t>
      </w:r>
      <w:r w:rsidRPr="002E1B39">
        <w:rPr>
          <w:rFonts w:ascii="Times New Roman" w:hAnsi="Times New Roman" w:cs="Times New Roman"/>
          <w:sz w:val="20"/>
          <w:szCs w:val="24"/>
          <w:lang w:val="en-US"/>
        </w:rPr>
        <w:t>- to the lowest</w:t>
      </w:r>
      <w:r w:rsidR="0088483D" w:rsidRPr="002E1B39">
        <w:rPr>
          <w:rFonts w:ascii="Times New Roman" w:hAnsi="Times New Roman" w:cs="Times New Roman"/>
          <w:sz w:val="20"/>
          <w:szCs w:val="24"/>
          <w:lang w:val="en-US"/>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692"/>
      </w:tblGrid>
      <w:tr w:rsidR="0088483D" w:rsidRPr="0088483D" w:rsidTr="00F50D3D">
        <w:tc>
          <w:tcPr>
            <w:tcW w:w="9355" w:type="dxa"/>
            <w:gridSpan w:val="2"/>
            <w:vAlign w:val="center"/>
          </w:tcPr>
          <w:p w:rsidR="0088483D" w:rsidRPr="00E84A3C" w:rsidRDefault="0088483D" w:rsidP="00E84A3C">
            <w:pPr>
              <w:spacing w:after="120" w:line="260" w:lineRule="atLeast"/>
              <w:jc w:val="both"/>
              <w:rPr>
                <w:rFonts w:ascii="Times New Roman" w:hAnsi="Times New Roman" w:cs="Times New Roman"/>
                <w:sz w:val="20"/>
                <w:szCs w:val="24"/>
                <w:lang w:val="en-US"/>
              </w:rPr>
            </w:pPr>
            <w:r w:rsidRPr="002E1B39">
              <w:rPr>
                <w:rFonts w:ascii="Times New Roman" w:hAnsi="Times New Roman" w:cs="Times New Roman"/>
                <w:sz w:val="20"/>
                <w:szCs w:val="24"/>
                <w:lang w:val="en-US"/>
              </w:rPr>
              <w:tab/>
            </w:r>
            <w:r w:rsidR="002E1B39" w:rsidRPr="002E1B39">
              <w:rPr>
                <w:rFonts w:ascii="Times New Roman" w:hAnsi="Times New Roman" w:cs="Times New Roman"/>
                <w:sz w:val="20"/>
                <w:szCs w:val="24"/>
                <w:lang w:val="en-US"/>
              </w:rPr>
              <w:t xml:space="preserve">The spread in the final scores and ranks of technologies for the case with the uncertainty of all weights is shown in Figure 5, and for the case with the uncertainty of the weights of high-level </w:t>
            </w:r>
            <w:r w:rsidR="00E84A3C" w:rsidRPr="002E1B39">
              <w:rPr>
                <w:rFonts w:ascii="Times New Roman" w:hAnsi="Times New Roman" w:cs="Times New Roman"/>
                <w:sz w:val="20"/>
                <w:szCs w:val="24"/>
                <w:lang w:val="en-US"/>
              </w:rPr>
              <w:t>objectives</w:t>
            </w:r>
            <w:r w:rsidR="002E1B39" w:rsidRPr="002E1B39">
              <w:rPr>
                <w:rFonts w:ascii="Times New Roman" w:hAnsi="Times New Roman" w:cs="Times New Roman"/>
                <w:sz w:val="20"/>
                <w:szCs w:val="24"/>
                <w:lang w:val="en-US"/>
              </w:rPr>
              <w:t xml:space="preserve"> in Figure 6. The probabilities for options to take a certain place in the rating are presented in Table 2.</w:t>
            </w:r>
            <w:r w:rsid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The colors of cells in Table 2 indicate the magnitude of probability to take first place in the ranking, and the numbers indicate quantity value of the probability.</w:t>
            </w:r>
            <w:r w:rsidR="00E84A3C">
              <w:rPr>
                <w:rFonts w:ascii="Times New Roman" w:hAnsi="Times New Roman" w:cs="Times New Roman"/>
                <w:sz w:val="20"/>
                <w:szCs w:val="24"/>
                <w:lang w:val="en-US"/>
              </w:rPr>
              <w:t xml:space="preserve"> </w:t>
            </w:r>
          </w:p>
          <w:p w:rsidR="0088483D" w:rsidRPr="0088483D" w:rsidRDefault="002E1B39" w:rsidP="0088483D">
            <w:pPr>
              <w:spacing w:line="260" w:lineRule="atLeast"/>
              <w:ind w:firstLine="708"/>
              <w:jc w:val="center"/>
              <w:rPr>
                <w:rFonts w:ascii="Times New Roman" w:hAnsi="Times New Roman" w:cs="Times New Roman"/>
                <w:i/>
                <w:sz w:val="20"/>
                <w:szCs w:val="24"/>
              </w:rPr>
            </w:pPr>
            <w:r>
              <w:rPr>
                <w:rFonts w:ascii="Times New Roman" w:hAnsi="Times New Roman" w:cs="Times New Roman"/>
                <w:i/>
                <w:sz w:val="20"/>
                <w:szCs w:val="24"/>
                <w:lang w:val="en-US"/>
              </w:rPr>
              <w:t>Option</w:t>
            </w:r>
            <w:r w:rsidR="0088483D" w:rsidRPr="0088483D">
              <w:rPr>
                <w:rFonts w:ascii="Times New Roman" w:hAnsi="Times New Roman" w:cs="Times New Roman"/>
                <w:i/>
                <w:sz w:val="20"/>
                <w:szCs w:val="24"/>
              </w:rPr>
              <w:t xml:space="preserve"> I</w:t>
            </w:r>
          </w:p>
        </w:tc>
      </w:tr>
      <w:tr w:rsidR="00E84A3C" w:rsidRPr="0088483D" w:rsidTr="00A474B8">
        <w:tblPrEx>
          <w:tblCellMar>
            <w:left w:w="108" w:type="dxa"/>
            <w:right w:w="108" w:type="dxa"/>
          </w:tblCellMar>
        </w:tblPrEx>
        <w:tc>
          <w:tcPr>
            <w:tcW w:w="4692" w:type="dxa"/>
            <w:vAlign w:val="center"/>
          </w:tcPr>
          <w:p w:rsidR="0088483D" w:rsidRPr="0088483D" w:rsidRDefault="00E84A3C" w:rsidP="00F50D3D">
            <w:pPr>
              <w:spacing w:line="260" w:lineRule="atLeast"/>
              <w:jc w:val="center"/>
              <w:rPr>
                <w:rFonts w:ascii="Times New Roman" w:hAnsi="Times New Roman" w:cs="Times New Roman"/>
                <w:sz w:val="20"/>
                <w:szCs w:val="24"/>
              </w:rPr>
            </w:pPr>
            <w:r w:rsidRPr="00E84A3C">
              <w:rPr>
                <w:rFonts w:ascii="Times New Roman" w:hAnsi="Times New Roman" w:cs="Times New Roman"/>
                <w:noProof/>
                <w:sz w:val="20"/>
                <w:szCs w:val="24"/>
                <w:lang w:eastAsia="ru-RU"/>
              </w:rPr>
              <w:drawing>
                <wp:inline distT="0" distB="0" distL="0" distR="0" wp14:anchorId="75B50599" wp14:editId="3CA4B3C5">
                  <wp:extent cx="2823242" cy="2849245"/>
                  <wp:effectExtent l="19050" t="19050" r="15240" b="273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5011" cy="2861123"/>
                          </a:xfrm>
                          <a:prstGeom prst="rect">
                            <a:avLst/>
                          </a:prstGeom>
                          <a:noFill/>
                          <a:ln>
                            <a:solidFill>
                              <a:schemeClr val="bg1">
                                <a:lumMod val="65000"/>
                              </a:schemeClr>
                            </a:solidFill>
                          </a:ln>
                        </pic:spPr>
                      </pic:pic>
                    </a:graphicData>
                  </a:graphic>
                </wp:inline>
              </w:drawing>
            </w:r>
          </w:p>
        </w:tc>
        <w:tc>
          <w:tcPr>
            <w:tcW w:w="4663" w:type="dxa"/>
            <w:vAlign w:val="center"/>
          </w:tcPr>
          <w:p w:rsidR="0088483D" w:rsidRPr="0088483D" w:rsidRDefault="00E84A3C" w:rsidP="00F50D3D">
            <w:pPr>
              <w:spacing w:line="260" w:lineRule="atLeast"/>
              <w:jc w:val="center"/>
              <w:rPr>
                <w:rFonts w:ascii="Times New Roman" w:hAnsi="Times New Roman" w:cs="Times New Roman"/>
                <w:sz w:val="20"/>
                <w:szCs w:val="24"/>
              </w:rPr>
            </w:pPr>
            <w:r w:rsidRPr="00E84A3C">
              <w:rPr>
                <w:rFonts w:ascii="Times New Roman" w:hAnsi="Times New Roman" w:cs="Times New Roman"/>
                <w:noProof/>
                <w:sz w:val="20"/>
                <w:szCs w:val="24"/>
                <w:lang w:eastAsia="ru-RU"/>
              </w:rPr>
              <w:drawing>
                <wp:inline distT="0" distB="0" distL="0" distR="0">
                  <wp:extent cx="2842098" cy="2868275"/>
                  <wp:effectExtent l="19050" t="19050" r="15875" b="279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642" cy="2883962"/>
                          </a:xfrm>
                          <a:prstGeom prst="rect">
                            <a:avLst/>
                          </a:prstGeom>
                          <a:noFill/>
                          <a:ln>
                            <a:solidFill>
                              <a:schemeClr val="bg1">
                                <a:lumMod val="65000"/>
                              </a:schemeClr>
                            </a:solidFill>
                          </a:ln>
                        </pic:spPr>
                      </pic:pic>
                    </a:graphicData>
                  </a:graphic>
                </wp:inline>
              </w:drawing>
            </w:r>
          </w:p>
        </w:tc>
      </w:tr>
      <w:tr w:rsidR="00E84A3C" w:rsidRPr="0088483D" w:rsidTr="00276C5D">
        <w:tc>
          <w:tcPr>
            <w:tcW w:w="4692" w:type="dxa"/>
            <w:vAlign w:val="center"/>
          </w:tcPr>
          <w:p w:rsidR="0088483D" w:rsidRPr="0088483D" w:rsidRDefault="0088483D" w:rsidP="00276C5D">
            <w:pPr>
              <w:spacing w:line="260" w:lineRule="atLeast"/>
              <w:jc w:val="center"/>
              <w:rPr>
                <w:rFonts w:ascii="Times New Roman" w:hAnsi="Times New Roman" w:cs="Times New Roman"/>
                <w:sz w:val="20"/>
                <w:szCs w:val="24"/>
              </w:rPr>
            </w:pPr>
            <w:r w:rsidRPr="0088483D">
              <w:rPr>
                <w:rFonts w:ascii="Times New Roman" w:hAnsi="Times New Roman" w:cs="Times New Roman"/>
                <w:sz w:val="20"/>
                <w:szCs w:val="24"/>
              </w:rPr>
              <w:t>(а)</w:t>
            </w:r>
          </w:p>
        </w:tc>
        <w:tc>
          <w:tcPr>
            <w:tcW w:w="4663" w:type="dxa"/>
            <w:vAlign w:val="center"/>
          </w:tcPr>
          <w:p w:rsidR="0088483D" w:rsidRPr="0088483D" w:rsidRDefault="0088483D" w:rsidP="00276C5D">
            <w:pPr>
              <w:spacing w:line="260" w:lineRule="atLeast"/>
              <w:jc w:val="center"/>
              <w:rPr>
                <w:rFonts w:ascii="Times New Roman" w:hAnsi="Times New Roman" w:cs="Times New Roman"/>
                <w:sz w:val="20"/>
                <w:szCs w:val="24"/>
              </w:rPr>
            </w:pPr>
            <w:r>
              <w:rPr>
                <w:rFonts w:ascii="Times New Roman" w:hAnsi="Times New Roman" w:cs="Times New Roman"/>
                <w:sz w:val="20"/>
                <w:szCs w:val="24"/>
              </w:rPr>
              <w:t>(</w:t>
            </w:r>
            <w:r>
              <w:rPr>
                <w:rFonts w:ascii="Times New Roman" w:hAnsi="Times New Roman" w:cs="Times New Roman"/>
                <w:sz w:val="20"/>
                <w:szCs w:val="24"/>
                <w:lang w:val="en-US"/>
              </w:rPr>
              <w:t>b</w:t>
            </w:r>
            <w:r w:rsidRPr="0088483D">
              <w:rPr>
                <w:rFonts w:ascii="Times New Roman" w:hAnsi="Times New Roman" w:cs="Times New Roman"/>
                <w:sz w:val="20"/>
                <w:szCs w:val="24"/>
              </w:rPr>
              <w:t>)</w:t>
            </w:r>
          </w:p>
        </w:tc>
      </w:tr>
      <w:tr w:rsidR="0088483D" w:rsidRPr="00395AEA" w:rsidTr="00F50D3D">
        <w:tc>
          <w:tcPr>
            <w:tcW w:w="9355" w:type="dxa"/>
            <w:gridSpan w:val="2"/>
            <w:vAlign w:val="center"/>
          </w:tcPr>
          <w:p w:rsidR="0088483D" w:rsidRPr="002E1B39" w:rsidRDefault="002E1B39" w:rsidP="0088483D">
            <w:pPr>
              <w:spacing w:line="260" w:lineRule="atLeast"/>
              <w:jc w:val="center"/>
              <w:rPr>
                <w:rFonts w:ascii="Times New Roman" w:hAnsi="Times New Roman" w:cs="Times New Roman"/>
                <w:sz w:val="20"/>
                <w:szCs w:val="24"/>
                <w:lang w:val="en-US"/>
              </w:rPr>
            </w:pPr>
            <w:r>
              <w:rPr>
                <w:rFonts w:ascii="Times New Roman" w:hAnsi="Times New Roman" w:cs="Times New Roman"/>
                <w:sz w:val="20"/>
                <w:szCs w:val="24"/>
                <w:lang w:val="en-US"/>
              </w:rPr>
              <w:t>FIG</w:t>
            </w:r>
            <w:r w:rsidR="00A474B8" w:rsidRPr="002E1B39">
              <w:rPr>
                <w:rFonts w:ascii="Times New Roman" w:hAnsi="Times New Roman" w:cs="Times New Roman"/>
                <w:sz w:val="20"/>
                <w:szCs w:val="24"/>
                <w:lang w:val="en-US"/>
              </w:rPr>
              <w:t xml:space="preserve"> 5.</w:t>
            </w:r>
            <w:r w:rsidR="0088483D" w:rsidRPr="002E1B39">
              <w:rPr>
                <w:rFonts w:ascii="Times New Roman" w:hAnsi="Times New Roman" w:cs="Times New Roman"/>
                <w:sz w:val="20"/>
                <w:szCs w:val="24"/>
                <w:lang w:val="en-US"/>
              </w:rPr>
              <w:t xml:space="preserve"> </w:t>
            </w:r>
            <w:r w:rsidRPr="002E1B39">
              <w:rPr>
                <w:rFonts w:ascii="Times New Roman" w:hAnsi="Times New Roman" w:cs="Times New Roman"/>
                <w:sz w:val="20"/>
                <w:szCs w:val="24"/>
                <w:lang w:val="en-US"/>
              </w:rPr>
              <w:t>The spread of the overall score</w:t>
            </w:r>
            <w:r>
              <w:rPr>
                <w:rFonts w:ascii="Times New Roman" w:hAnsi="Times New Roman" w:cs="Times New Roman"/>
                <w:sz w:val="20"/>
                <w:szCs w:val="24"/>
                <w:lang w:val="en-US"/>
              </w:rPr>
              <w:t>s</w:t>
            </w:r>
            <w:r w:rsidRPr="002E1B39">
              <w:rPr>
                <w:rFonts w:ascii="Times New Roman" w:hAnsi="Times New Roman" w:cs="Times New Roman"/>
                <w:sz w:val="20"/>
                <w:szCs w:val="24"/>
                <w:lang w:val="en-US"/>
              </w:rPr>
              <w:t xml:space="preserve"> (a) and the probability of taking a certain place in the rating (b) with the uncertainty of all weight coefficients</w:t>
            </w:r>
          </w:p>
          <w:p w:rsidR="0088483D" w:rsidRPr="002E1B39" w:rsidRDefault="0088483D" w:rsidP="0088483D">
            <w:pPr>
              <w:spacing w:line="260" w:lineRule="atLeast"/>
              <w:jc w:val="center"/>
              <w:rPr>
                <w:rFonts w:ascii="Times New Roman" w:hAnsi="Times New Roman" w:cs="Times New Roman"/>
                <w:sz w:val="20"/>
                <w:szCs w:val="24"/>
                <w:lang w:val="en-US"/>
              </w:rPr>
            </w:pPr>
          </w:p>
          <w:p w:rsidR="0088483D" w:rsidRDefault="0088483D"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Default="002E1B39" w:rsidP="0088483D">
            <w:pPr>
              <w:spacing w:line="260" w:lineRule="atLeast"/>
              <w:jc w:val="center"/>
              <w:rPr>
                <w:rFonts w:ascii="Times New Roman" w:hAnsi="Times New Roman" w:cs="Times New Roman"/>
                <w:sz w:val="20"/>
                <w:szCs w:val="24"/>
                <w:lang w:val="en-US"/>
              </w:rPr>
            </w:pPr>
          </w:p>
          <w:p w:rsidR="002E1B39" w:rsidRPr="002E1B39" w:rsidRDefault="002E1B39" w:rsidP="0088483D">
            <w:pPr>
              <w:spacing w:line="260" w:lineRule="atLeast"/>
              <w:jc w:val="center"/>
              <w:rPr>
                <w:rFonts w:ascii="Times New Roman" w:hAnsi="Times New Roman" w:cs="Times New Roman"/>
                <w:sz w:val="20"/>
                <w:szCs w:val="24"/>
                <w:lang w:val="en-US"/>
              </w:rPr>
            </w:pPr>
          </w:p>
        </w:tc>
      </w:tr>
      <w:tr w:rsidR="0088483D" w:rsidRPr="0088483D" w:rsidTr="00F50D3D">
        <w:tc>
          <w:tcPr>
            <w:tcW w:w="9355" w:type="dxa"/>
            <w:gridSpan w:val="2"/>
            <w:vAlign w:val="center"/>
          </w:tcPr>
          <w:p w:rsidR="0088483D" w:rsidRPr="0088483D" w:rsidRDefault="002E1B39" w:rsidP="0088483D">
            <w:pPr>
              <w:spacing w:line="260" w:lineRule="atLeast"/>
              <w:ind w:firstLine="708"/>
              <w:jc w:val="center"/>
              <w:rPr>
                <w:rFonts w:ascii="Times New Roman" w:hAnsi="Times New Roman" w:cs="Times New Roman"/>
                <w:i/>
                <w:sz w:val="20"/>
                <w:szCs w:val="24"/>
              </w:rPr>
            </w:pPr>
            <w:r>
              <w:rPr>
                <w:rFonts w:ascii="Times New Roman" w:hAnsi="Times New Roman" w:cs="Times New Roman"/>
                <w:i/>
                <w:sz w:val="20"/>
                <w:szCs w:val="24"/>
                <w:lang w:val="en-US"/>
              </w:rPr>
              <w:lastRenderedPageBreak/>
              <w:t>Option</w:t>
            </w:r>
            <w:r w:rsidR="0088483D" w:rsidRPr="0088483D">
              <w:rPr>
                <w:rFonts w:ascii="Times New Roman" w:hAnsi="Times New Roman" w:cs="Times New Roman"/>
                <w:i/>
                <w:sz w:val="20"/>
                <w:szCs w:val="24"/>
              </w:rPr>
              <w:t xml:space="preserve"> II</w:t>
            </w:r>
          </w:p>
        </w:tc>
      </w:tr>
      <w:tr w:rsidR="00E84A3C" w:rsidRPr="0088483D" w:rsidTr="00A474B8">
        <w:tblPrEx>
          <w:tblCellMar>
            <w:left w:w="108" w:type="dxa"/>
            <w:right w:w="108" w:type="dxa"/>
          </w:tblCellMar>
        </w:tblPrEx>
        <w:trPr>
          <w:trHeight w:val="4670"/>
        </w:trPr>
        <w:tc>
          <w:tcPr>
            <w:tcW w:w="4692" w:type="dxa"/>
            <w:vAlign w:val="center"/>
          </w:tcPr>
          <w:p w:rsidR="0088483D" w:rsidRPr="0088483D" w:rsidRDefault="00E84A3C" w:rsidP="00F50D3D">
            <w:pPr>
              <w:spacing w:line="260" w:lineRule="atLeast"/>
              <w:jc w:val="center"/>
              <w:rPr>
                <w:rFonts w:ascii="Times New Roman" w:hAnsi="Times New Roman" w:cs="Times New Roman"/>
                <w:sz w:val="20"/>
                <w:szCs w:val="24"/>
              </w:rPr>
            </w:pPr>
            <w:r w:rsidRPr="00E84A3C">
              <w:rPr>
                <w:rFonts w:ascii="Times New Roman" w:hAnsi="Times New Roman" w:cs="Times New Roman"/>
                <w:noProof/>
                <w:sz w:val="20"/>
                <w:szCs w:val="24"/>
                <w:lang w:eastAsia="ru-RU"/>
              </w:rPr>
              <w:drawing>
                <wp:inline distT="0" distB="0" distL="0" distR="0">
                  <wp:extent cx="2801219" cy="2827020"/>
                  <wp:effectExtent l="19050" t="19050" r="18415" b="1143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8" cy="2845376"/>
                          </a:xfrm>
                          <a:prstGeom prst="rect">
                            <a:avLst/>
                          </a:prstGeom>
                          <a:noFill/>
                          <a:ln>
                            <a:solidFill>
                              <a:schemeClr val="bg1">
                                <a:lumMod val="65000"/>
                              </a:schemeClr>
                            </a:solidFill>
                          </a:ln>
                        </pic:spPr>
                      </pic:pic>
                    </a:graphicData>
                  </a:graphic>
                </wp:inline>
              </w:drawing>
            </w:r>
          </w:p>
        </w:tc>
        <w:tc>
          <w:tcPr>
            <w:tcW w:w="4663" w:type="dxa"/>
            <w:vAlign w:val="center"/>
          </w:tcPr>
          <w:p w:rsidR="0088483D" w:rsidRPr="0088483D" w:rsidRDefault="00E84A3C" w:rsidP="00F50D3D">
            <w:pPr>
              <w:spacing w:line="260" w:lineRule="atLeast"/>
              <w:jc w:val="center"/>
              <w:rPr>
                <w:rFonts w:ascii="Times New Roman" w:hAnsi="Times New Roman" w:cs="Times New Roman"/>
                <w:sz w:val="20"/>
                <w:szCs w:val="24"/>
              </w:rPr>
            </w:pPr>
            <w:r w:rsidRPr="00E84A3C">
              <w:rPr>
                <w:rFonts w:ascii="Times New Roman" w:hAnsi="Times New Roman" w:cs="Times New Roman"/>
                <w:noProof/>
                <w:sz w:val="20"/>
                <w:szCs w:val="24"/>
                <w:lang w:eastAsia="ru-RU"/>
              </w:rPr>
              <w:drawing>
                <wp:inline distT="0" distB="0" distL="0" distR="0">
                  <wp:extent cx="2816320" cy="2842260"/>
                  <wp:effectExtent l="19050" t="19050" r="22225" b="152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9502" cy="2855564"/>
                          </a:xfrm>
                          <a:prstGeom prst="rect">
                            <a:avLst/>
                          </a:prstGeom>
                          <a:noFill/>
                          <a:ln>
                            <a:solidFill>
                              <a:schemeClr val="bg1">
                                <a:lumMod val="65000"/>
                              </a:schemeClr>
                            </a:solidFill>
                          </a:ln>
                        </pic:spPr>
                      </pic:pic>
                    </a:graphicData>
                  </a:graphic>
                </wp:inline>
              </w:drawing>
            </w:r>
          </w:p>
        </w:tc>
      </w:tr>
      <w:tr w:rsidR="00E84A3C" w:rsidRPr="0088483D" w:rsidTr="00276C5D">
        <w:tc>
          <w:tcPr>
            <w:tcW w:w="4692" w:type="dxa"/>
            <w:vAlign w:val="center"/>
          </w:tcPr>
          <w:p w:rsidR="0088483D" w:rsidRPr="0088483D" w:rsidRDefault="0088483D" w:rsidP="00276C5D">
            <w:pPr>
              <w:spacing w:line="260" w:lineRule="atLeast"/>
              <w:jc w:val="center"/>
              <w:rPr>
                <w:rFonts w:ascii="Times New Roman" w:hAnsi="Times New Roman" w:cs="Times New Roman"/>
                <w:sz w:val="20"/>
                <w:szCs w:val="24"/>
              </w:rPr>
            </w:pPr>
            <w:r w:rsidRPr="0088483D">
              <w:rPr>
                <w:rFonts w:ascii="Times New Roman" w:hAnsi="Times New Roman" w:cs="Times New Roman"/>
                <w:sz w:val="20"/>
                <w:szCs w:val="24"/>
              </w:rPr>
              <w:t>(а)</w:t>
            </w:r>
          </w:p>
        </w:tc>
        <w:tc>
          <w:tcPr>
            <w:tcW w:w="4663" w:type="dxa"/>
            <w:vAlign w:val="center"/>
          </w:tcPr>
          <w:p w:rsidR="0088483D" w:rsidRPr="0088483D" w:rsidRDefault="0088483D" w:rsidP="00276C5D">
            <w:pPr>
              <w:spacing w:line="260" w:lineRule="atLeast"/>
              <w:jc w:val="center"/>
              <w:rPr>
                <w:rFonts w:ascii="Times New Roman" w:hAnsi="Times New Roman" w:cs="Times New Roman"/>
                <w:sz w:val="20"/>
                <w:szCs w:val="24"/>
              </w:rPr>
            </w:pPr>
            <w:r w:rsidRPr="0088483D">
              <w:rPr>
                <w:rFonts w:ascii="Times New Roman" w:hAnsi="Times New Roman" w:cs="Times New Roman"/>
                <w:sz w:val="20"/>
                <w:szCs w:val="24"/>
              </w:rPr>
              <w:t>(</w:t>
            </w:r>
            <w:r>
              <w:rPr>
                <w:rFonts w:ascii="Times New Roman" w:hAnsi="Times New Roman" w:cs="Times New Roman"/>
                <w:sz w:val="20"/>
                <w:szCs w:val="24"/>
                <w:lang w:val="en-US"/>
              </w:rPr>
              <w:t>b</w:t>
            </w:r>
            <w:r w:rsidRPr="0088483D">
              <w:rPr>
                <w:rFonts w:ascii="Times New Roman" w:hAnsi="Times New Roman" w:cs="Times New Roman"/>
                <w:sz w:val="20"/>
                <w:szCs w:val="24"/>
              </w:rPr>
              <w:t>)</w:t>
            </w:r>
          </w:p>
        </w:tc>
      </w:tr>
      <w:tr w:rsidR="0088483D" w:rsidRPr="00395AEA" w:rsidTr="00F50D3D">
        <w:tc>
          <w:tcPr>
            <w:tcW w:w="9355" w:type="dxa"/>
            <w:gridSpan w:val="2"/>
            <w:vAlign w:val="center"/>
          </w:tcPr>
          <w:p w:rsidR="0088483D" w:rsidRPr="002E1B39" w:rsidRDefault="002E1B39" w:rsidP="00A474B8">
            <w:pPr>
              <w:spacing w:after="120" w:line="260" w:lineRule="atLeast"/>
              <w:jc w:val="center"/>
              <w:rPr>
                <w:rFonts w:ascii="Times New Roman" w:hAnsi="Times New Roman" w:cs="Times New Roman"/>
                <w:sz w:val="20"/>
                <w:szCs w:val="24"/>
                <w:lang w:val="en-US"/>
              </w:rPr>
            </w:pPr>
            <w:r>
              <w:rPr>
                <w:rFonts w:ascii="Times New Roman" w:hAnsi="Times New Roman" w:cs="Times New Roman"/>
                <w:sz w:val="20"/>
                <w:szCs w:val="24"/>
                <w:lang w:val="en-US"/>
              </w:rPr>
              <w:t>FIG</w:t>
            </w:r>
            <w:r w:rsidR="0088483D" w:rsidRPr="002E1B39">
              <w:rPr>
                <w:rFonts w:ascii="Times New Roman" w:hAnsi="Times New Roman" w:cs="Times New Roman"/>
                <w:sz w:val="20"/>
                <w:szCs w:val="24"/>
                <w:lang w:val="en-US"/>
              </w:rPr>
              <w:t xml:space="preserve"> </w:t>
            </w:r>
            <w:r w:rsidR="00A474B8" w:rsidRPr="002E1B39">
              <w:rPr>
                <w:rFonts w:ascii="Times New Roman" w:hAnsi="Times New Roman" w:cs="Times New Roman"/>
                <w:sz w:val="20"/>
                <w:szCs w:val="24"/>
                <w:lang w:val="en-US"/>
              </w:rPr>
              <w:t>6.</w:t>
            </w:r>
            <w:r w:rsidR="0088483D" w:rsidRPr="002E1B39">
              <w:rPr>
                <w:rFonts w:ascii="Times New Roman" w:hAnsi="Times New Roman" w:cs="Times New Roman"/>
                <w:sz w:val="20"/>
                <w:szCs w:val="24"/>
                <w:lang w:val="en-US"/>
              </w:rPr>
              <w:t xml:space="preserve"> </w:t>
            </w:r>
            <w:r w:rsidRPr="002E1B39">
              <w:rPr>
                <w:rFonts w:ascii="Times New Roman" w:hAnsi="Times New Roman" w:cs="Times New Roman"/>
                <w:sz w:val="20"/>
                <w:szCs w:val="24"/>
                <w:lang w:val="en-US"/>
              </w:rPr>
              <w:t>The spread of the overall scores (a) and the probability of taking a certain place in the rating (b) with the uncertainty of all high-level goals</w:t>
            </w:r>
          </w:p>
        </w:tc>
      </w:tr>
    </w:tbl>
    <w:p w:rsidR="0088483D" w:rsidRPr="002E1B39" w:rsidRDefault="002E1B39" w:rsidP="0088483D">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TABLE</w:t>
      </w:r>
      <w:r w:rsidR="00A474B8" w:rsidRPr="00395AEA">
        <w:rPr>
          <w:rFonts w:ascii="Times New Roman" w:hAnsi="Times New Roman" w:cs="Times New Roman"/>
          <w:sz w:val="20"/>
          <w:szCs w:val="24"/>
          <w:lang w:val="en-US"/>
        </w:rPr>
        <w:t xml:space="preserve"> </w:t>
      </w:r>
      <w:r w:rsidRPr="00395AEA">
        <w:rPr>
          <w:rFonts w:ascii="Times New Roman" w:hAnsi="Times New Roman" w:cs="Times New Roman"/>
          <w:sz w:val="20"/>
          <w:szCs w:val="24"/>
          <w:lang w:val="en-US"/>
        </w:rPr>
        <w:t xml:space="preserve">2. </w:t>
      </w:r>
      <w:r w:rsidRPr="002E1B39">
        <w:rPr>
          <w:rFonts w:ascii="Times New Roman" w:hAnsi="Times New Roman" w:cs="Times New Roman"/>
          <w:sz w:val="20"/>
          <w:szCs w:val="24"/>
          <w:lang w:val="en-US"/>
        </w:rPr>
        <w:t>The probabilities for the technologies under consideration will tak</w:t>
      </w:r>
      <w:r>
        <w:rPr>
          <w:rFonts w:ascii="Times New Roman" w:hAnsi="Times New Roman" w:cs="Times New Roman"/>
          <w:sz w:val="20"/>
          <w:szCs w:val="24"/>
          <w:lang w:val="en-US"/>
        </w:rPr>
        <w:t>e a certain place in the rating</w:t>
      </w:r>
    </w:p>
    <w:tbl>
      <w:tblPr>
        <w:tblStyle w:val="a9"/>
        <w:tblW w:w="0" w:type="auto"/>
        <w:jc w:val="center"/>
        <w:tblCellMar>
          <w:left w:w="0" w:type="dxa"/>
          <w:right w:w="0" w:type="dxa"/>
        </w:tblCellMar>
        <w:tblLook w:val="04A0" w:firstRow="1" w:lastRow="0" w:firstColumn="1" w:lastColumn="0" w:noHBand="0" w:noVBand="1"/>
      </w:tblPr>
      <w:tblGrid>
        <w:gridCol w:w="6658"/>
      </w:tblGrid>
      <w:tr w:rsidR="00A474B8" w:rsidTr="00EB32CC">
        <w:trPr>
          <w:jc w:val="center"/>
        </w:trPr>
        <w:tc>
          <w:tcPr>
            <w:tcW w:w="6658" w:type="dxa"/>
            <w:vAlign w:val="center"/>
          </w:tcPr>
          <w:p w:rsidR="00A474B8" w:rsidRPr="002E1B39" w:rsidRDefault="002E1B39" w:rsidP="0021238D">
            <w:pPr>
              <w:jc w:val="center"/>
              <w:rPr>
                <w:rFonts w:ascii="Times New Roman" w:hAnsi="Times New Roman" w:cs="Times New Roman"/>
                <w:i/>
                <w:sz w:val="20"/>
                <w:szCs w:val="20"/>
              </w:rPr>
            </w:pPr>
            <w:r>
              <w:rPr>
                <w:rFonts w:ascii="Times New Roman" w:hAnsi="Times New Roman" w:cs="Times New Roman"/>
                <w:i/>
                <w:sz w:val="20"/>
                <w:szCs w:val="20"/>
                <w:lang w:val="en-US"/>
              </w:rPr>
              <w:t>Option</w:t>
            </w:r>
            <w:r w:rsidR="00A474B8" w:rsidRPr="00A474B8">
              <w:rPr>
                <w:rFonts w:ascii="Times New Roman" w:hAnsi="Times New Roman" w:cs="Times New Roman"/>
                <w:i/>
                <w:sz w:val="20"/>
                <w:szCs w:val="20"/>
              </w:rPr>
              <w:t xml:space="preserve"> </w:t>
            </w:r>
            <w:r w:rsidR="00A474B8" w:rsidRPr="00A474B8">
              <w:rPr>
                <w:rFonts w:ascii="Times New Roman" w:hAnsi="Times New Roman" w:cs="Times New Roman"/>
                <w:i/>
                <w:sz w:val="20"/>
                <w:szCs w:val="20"/>
                <w:lang w:val="en-US"/>
              </w:rPr>
              <w:t>I</w:t>
            </w:r>
          </w:p>
        </w:tc>
      </w:tr>
      <w:tr w:rsidR="00A474B8" w:rsidTr="00EB32CC">
        <w:trPr>
          <w:jc w:val="center"/>
        </w:trPr>
        <w:tc>
          <w:tcPr>
            <w:tcW w:w="6658" w:type="dxa"/>
            <w:vAlign w:val="center"/>
          </w:tcPr>
          <w:tbl>
            <w:tblPr>
              <w:tblW w:w="6500" w:type="dxa"/>
              <w:tblLook w:val="04A0" w:firstRow="1" w:lastRow="0" w:firstColumn="1" w:lastColumn="0" w:noHBand="0" w:noVBand="1"/>
            </w:tblPr>
            <w:tblGrid>
              <w:gridCol w:w="1060"/>
              <w:gridCol w:w="1360"/>
              <w:gridCol w:w="1360"/>
              <w:gridCol w:w="1360"/>
              <w:gridCol w:w="1360"/>
            </w:tblGrid>
            <w:tr w:rsidR="00E84A3C" w:rsidRPr="00E84A3C" w:rsidTr="00E84A3C">
              <w:trPr>
                <w:trHeight w:val="276"/>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Rank</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FR</w:t>
                  </w:r>
                  <w:r>
                    <w:rPr>
                      <w:rFonts w:ascii="Times New Roman" w:eastAsia="Times New Roman" w:hAnsi="Times New Roman" w:cs="Times New Roman"/>
                      <w:bCs/>
                      <w:color w:val="000000"/>
                      <w:sz w:val="20"/>
                      <w:szCs w:val="20"/>
                      <w:lang w:val="en-US" w:eastAsia="ru-RU"/>
                    </w:rPr>
                    <w:t xml:space="preserve"> </w:t>
                  </w:r>
                  <w:r w:rsidRPr="00E84A3C">
                    <w:rPr>
                      <w:rFonts w:ascii="Times New Roman" w:eastAsia="Times New Roman" w:hAnsi="Times New Roman" w:cs="Times New Roman"/>
                      <w:bCs/>
                      <w:color w:val="000000"/>
                      <w:sz w:val="20"/>
                      <w:szCs w:val="20"/>
                      <w:lang w:eastAsia="ru-RU"/>
                    </w:rPr>
                    <w:t>(</w:t>
                  </w:r>
                  <w:proofErr w:type="spellStart"/>
                  <w:r w:rsidRPr="00E84A3C">
                    <w:rPr>
                      <w:rFonts w:ascii="Times New Roman" w:eastAsia="Times New Roman" w:hAnsi="Times New Roman" w:cs="Times New Roman"/>
                      <w:bCs/>
                      <w:color w:val="000000"/>
                      <w:sz w:val="20"/>
                      <w:szCs w:val="20"/>
                      <w:lang w:eastAsia="ru-RU"/>
                    </w:rPr>
                    <w:t>sodium</w:t>
                  </w:r>
                  <w:proofErr w:type="spellEnd"/>
                  <w:r w:rsidRPr="00E84A3C">
                    <w:rPr>
                      <w:rFonts w:ascii="Times New Roman" w:eastAsia="Times New Roman" w:hAnsi="Times New Roman" w:cs="Times New Roman"/>
                      <w:bCs/>
                      <w:color w:val="000000"/>
                      <w:sz w:val="20"/>
                      <w:szCs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FR</w:t>
                  </w:r>
                  <w:r>
                    <w:rPr>
                      <w:rFonts w:ascii="Times New Roman" w:eastAsia="Times New Roman" w:hAnsi="Times New Roman" w:cs="Times New Roman"/>
                      <w:bCs/>
                      <w:color w:val="000000"/>
                      <w:sz w:val="20"/>
                      <w:szCs w:val="20"/>
                      <w:lang w:val="en-US" w:eastAsia="ru-RU"/>
                    </w:rPr>
                    <w:t xml:space="preserve"> </w:t>
                  </w:r>
                  <w:r w:rsidRPr="00E84A3C">
                    <w:rPr>
                      <w:rFonts w:ascii="Times New Roman" w:eastAsia="Times New Roman" w:hAnsi="Times New Roman" w:cs="Times New Roman"/>
                      <w:bCs/>
                      <w:color w:val="000000"/>
                      <w:sz w:val="20"/>
                      <w:szCs w:val="20"/>
                      <w:lang w:eastAsia="ru-RU"/>
                    </w:rPr>
                    <w:t>(</w:t>
                  </w:r>
                  <w:proofErr w:type="spellStart"/>
                  <w:r w:rsidRPr="00E84A3C">
                    <w:rPr>
                      <w:rFonts w:ascii="Times New Roman" w:eastAsia="Times New Roman" w:hAnsi="Times New Roman" w:cs="Times New Roman"/>
                      <w:bCs/>
                      <w:color w:val="000000"/>
                      <w:sz w:val="20"/>
                      <w:szCs w:val="20"/>
                      <w:lang w:eastAsia="ru-RU"/>
                    </w:rPr>
                    <w:t>lead</w:t>
                  </w:r>
                  <w:proofErr w:type="spellEnd"/>
                  <w:r w:rsidRPr="00E84A3C">
                    <w:rPr>
                      <w:rFonts w:ascii="Times New Roman" w:eastAsia="Times New Roman" w:hAnsi="Times New Roman" w:cs="Times New Roman"/>
                      <w:bCs/>
                      <w:color w:val="000000"/>
                      <w:sz w:val="20"/>
                      <w:szCs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MSR</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FFHR</w:t>
                  </w:r>
                </w:p>
              </w:tc>
            </w:tr>
            <w:tr w:rsidR="00E84A3C" w:rsidRPr="00E84A3C" w:rsidTr="00E84A3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lang w:eastAsia="ru-RU"/>
                    </w:rPr>
                  </w:pPr>
                  <w:r w:rsidRPr="00E84A3C">
                    <w:rPr>
                      <w:rFonts w:ascii="Times New Roman" w:eastAsia="Times New Roman" w:hAnsi="Times New Roman" w:cs="Times New Roman"/>
                      <w:bCs/>
                      <w:color w:val="000000"/>
                      <w:sz w:val="20"/>
                      <w:lang w:eastAsia="ru-RU"/>
                    </w:rPr>
                    <w:t>1</w:t>
                  </w:r>
                </w:p>
              </w:tc>
              <w:tc>
                <w:tcPr>
                  <w:tcW w:w="136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47</w:t>
                  </w:r>
                </w:p>
              </w:tc>
              <w:tc>
                <w:tcPr>
                  <w:tcW w:w="1360" w:type="dxa"/>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20</w:t>
                  </w:r>
                </w:p>
              </w:tc>
              <w:tc>
                <w:tcPr>
                  <w:tcW w:w="136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9</w:t>
                  </w:r>
                </w:p>
              </w:tc>
              <w:tc>
                <w:tcPr>
                  <w:tcW w:w="1360" w:type="dxa"/>
                  <w:tcBorders>
                    <w:top w:val="single" w:sz="4" w:space="0" w:color="auto"/>
                    <w:left w:val="single" w:sz="4" w:space="0" w:color="auto"/>
                    <w:bottom w:val="single" w:sz="4" w:space="0" w:color="auto"/>
                    <w:right w:val="single" w:sz="4" w:space="0" w:color="auto"/>
                  </w:tcBorders>
                  <w:shd w:val="clear" w:color="000000" w:fill="F4E884"/>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24</w:t>
                  </w:r>
                </w:p>
              </w:tc>
            </w:tr>
            <w:tr w:rsidR="00E84A3C" w:rsidRPr="00E84A3C" w:rsidTr="00E84A3C">
              <w:trPr>
                <w:trHeight w:val="16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lang w:eastAsia="ru-RU"/>
                    </w:rPr>
                  </w:pPr>
                  <w:r w:rsidRPr="00E84A3C">
                    <w:rPr>
                      <w:rFonts w:ascii="Times New Roman" w:eastAsia="Times New Roman" w:hAnsi="Times New Roman" w:cs="Times New Roman"/>
                      <w:bCs/>
                      <w:color w:val="000000"/>
                      <w:sz w:val="20"/>
                      <w:lang w:eastAsia="ru-RU"/>
                    </w:rPr>
                    <w:t>2</w:t>
                  </w:r>
                </w:p>
              </w:tc>
              <w:tc>
                <w:tcPr>
                  <w:tcW w:w="1360" w:type="dxa"/>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20</w:t>
                  </w:r>
                </w:p>
              </w:tc>
              <w:tc>
                <w:tcPr>
                  <w:tcW w:w="1360" w:type="dxa"/>
                  <w:tcBorders>
                    <w:top w:val="single" w:sz="4" w:space="0" w:color="auto"/>
                    <w:left w:val="single" w:sz="4" w:space="0" w:color="auto"/>
                    <w:bottom w:val="single" w:sz="4" w:space="0" w:color="auto"/>
                    <w:right w:val="single" w:sz="4" w:space="0" w:color="auto"/>
                  </w:tcBorders>
                  <w:shd w:val="clear" w:color="000000" w:fill="6FC27C"/>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45</w:t>
                  </w:r>
                </w:p>
              </w:tc>
              <w:tc>
                <w:tcPr>
                  <w:tcW w:w="1360" w:type="dxa"/>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22</w:t>
                  </w:r>
                </w:p>
              </w:tc>
              <w:tc>
                <w:tcPr>
                  <w:tcW w:w="1360" w:type="dxa"/>
                  <w:tcBorders>
                    <w:top w:val="single" w:sz="4" w:space="0" w:color="auto"/>
                    <w:left w:val="single" w:sz="4" w:space="0" w:color="auto"/>
                    <w:bottom w:val="single" w:sz="4" w:space="0" w:color="auto"/>
                    <w:right w:val="single" w:sz="4" w:space="0" w:color="auto"/>
                  </w:tcBorders>
                  <w:shd w:val="clear" w:color="000000" w:fill="FA8F72"/>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13</w:t>
                  </w:r>
                </w:p>
              </w:tc>
            </w:tr>
            <w:tr w:rsidR="00E84A3C" w:rsidRPr="00E84A3C" w:rsidTr="00E84A3C">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lang w:eastAsia="ru-RU"/>
                    </w:rPr>
                  </w:pPr>
                  <w:r w:rsidRPr="00E84A3C">
                    <w:rPr>
                      <w:rFonts w:ascii="Times New Roman" w:eastAsia="Times New Roman" w:hAnsi="Times New Roman" w:cs="Times New Roman"/>
                      <w:bCs/>
                      <w:color w:val="000000"/>
                      <w:sz w:val="20"/>
                      <w:lang w:eastAsia="ru-RU"/>
                    </w:rPr>
                    <w:t>3</w:t>
                  </w:r>
                </w:p>
              </w:tc>
              <w:tc>
                <w:tcPr>
                  <w:tcW w:w="136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22</w:t>
                  </w:r>
                </w:p>
              </w:tc>
              <w:tc>
                <w:tcPr>
                  <w:tcW w:w="1360" w:type="dxa"/>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17</w:t>
                  </w:r>
                </w:p>
              </w:tc>
              <w:tc>
                <w:tcPr>
                  <w:tcW w:w="1360" w:type="dxa"/>
                  <w:tcBorders>
                    <w:top w:val="single" w:sz="4" w:space="0" w:color="auto"/>
                    <w:left w:val="single" w:sz="4" w:space="0" w:color="auto"/>
                    <w:bottom w:val="single" w:sz="4" w:space="0" w:color="auto"/>
                    <w:right w:val="single" w:sz="4" w:space="0" w:color="auto"/>
                  </w:tcBorders>
                  <w:shd w:val="clear" w:color="000000" w:fill="9ECF7F"/>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37</w:t>
                  </w:r>
                </w:p>
              </w:tc>
              <w:tc>
                <w:tcPr>
                  <w:tcW w:w="1360" w:type="dxa"/>
                  <w:tcBorders>
                    <w:top w:val="single" w:sz="4" w:space="0" w:color="auto"/>
                    <w:left w:val="single" w:sz="4" w:space="0" w:color="auto"/>
                    <w:bottom w:val="single" w:sz="4" w:space="0" w:color="auto"/>
                    <w:right w:val="single" w:sz="4" w:space="0" w:color="auto"/>
                  </w:tcBorders>
                  <w:shd w:val="clear" w:color="000000" w:fill="F5E984"/>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24</w:t>
                  </w:r>
                </w:p>
              </w:tc>
            </w:tr>
            <w:tr w:rsidR="00E84A3C" w:rsidRPr="00E84A3C" w:rsidTr="00E84A3C">
              <w:trPr>
                <w:trHeight w:val="21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lang w:eastAsia="ru-RU"/>
                    </w:rPr>
                  </w:pPr>
                  <w:r w:rsidRPr="00E84A3C">
                    <w:rPr>
                      <w:rFonts w:ascii="Times New Roman" w:eastAsia="Times New Roman" w:hAnsi="Times New Roman" w:cs="Times New Roman"/>
                      <w:bCs/>
                      <w:color w:val="000000"/>
                      <w:sz w:val="20"/>
                      <w:lang w:eastAsia="ru-RU"/>
                    </w:rPr>
                    <w:t>4</w:t>
                  </w:r>
                </w:p>
              </w:tc>
              <w:tc>
                <w:tcPr>
                  <w:tcW w:w="1360" w:type="dxa"/>
                  <w:tcBorders>
                    <w:top w:val="single" w:sz="4" w:space="0" w:color="auto"/>
                    <w:left w:val="single" w:sz="4" w:space="0" w:color="auto"/>
                    <w:bottom w:val="single" w:sz="4" w:space="0" w:color="auto"/>
                    <w:right w:val="single" w:sz="4" w:space="0" w:color="auto"/>
                  </w:tcBorders>
                  <w:shd w:val="clear" w:color="000000" w:fill="F87A6E"/>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11</w:t>
                  </w:r>
                </w:p>
              </w:tc>
              <w:tc>
                <w:tcPr>
                  <w:tcW w:w="1360" w:type="dxa"/>
                  <w:tcBorders>
                    <w:top w:val="single" w:sz="4" w:space="0" w:color="auto"/>
                    <w:left w:val="single" w:sz="4" w:space="0" w:color="auto"/>
                    <w:bottom w:val="single" w:sz="4" w:space="0" w:color="auto"/>
                    <w:right w:val="single" w:sz="4" w:space="0" w:color="auto"/>
                  </w:tcBorders>
                  <w:shd w:val="clear" w:color="000000" w:fill="FCC17B"/>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18</w:t>
                  </w:r>
                </w:p>
              </w:tc>
              <w:tc>
                <w:tcPr>
                  <w:tcW w:w="1360" w:type="dxa"/>
                  <w:tcBorders>
                    <w:top w:val="single" w:sz="4" w:space="0" w:color="auto"/>
                    <w:left w:val="single" w:sz="4" w:space="0" w:color="auto"/>
                    <w:bottom w:val="single" w:sz="4" w:space="0" w:color="auto"/>
                    <w:right w:val="single" w:sz="4" w:space="0" w:color="auto"/>
                  </w:tcBorders>
                  <w:shd w:val="clear" w:color="000000" w:fill="C4DA81"/>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31</w:t>
                  </w:r>
                </w:p>
              </w:tc>
              <w:tc>
                <w:tcPr>
                  <w:tcW w:w="1360" w:type="dxa"/>
                  <w:tcBorders>
                    <w:top w:val="single" w:sz="4" w:space="0" w:color="auto"/>
                    <w:left w:val="single" w:sz="4" w:space="0" w:color="auto"/>
                    <w:bottom w:val="single" w:sz="4" w:space="0" w:color="auto"/>
                    <w:right w:val="single" w:sz="4" w:space="0" w:color="auto"/>
                  </w:tcBorders>
                  <w:shd w:val="clear" w:color="000000" w:fill="90CB7E"/>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lang w:eastAsia="ru-RU"/>
                    </w:rPr>
                  </w:pPr>
                  <w:r w:rsidRPr="00E84A3C">
                    <w:rPr>
                      <w:rFonts w:ascii="Times New Roman" w:eastAsia="Times New Roman" w:hAnsi="Times New Roman" w:cs="Times New Roman"/>
                      <w:color w:val="000000"/>
                      <w:sz w:val="20"/>
                      <w:lang w:eastAsia="ru-RU"/>
                    </w:rPr>
                    <w:t>40</w:t>
                  </w:r>
                </w:p>
              </w:tc>
            </w:tr>
          </w:tbl>
          <w:p w:rsidR="00A474B8" w:rsidRPr="00A474B8" w:rsidRDefault="00A474B8" w:rsidP="0021238D">
            <w:pPr>
              <w:jc w:val="center"/>
              <w:rPr>
                <w:rFonts w:ascii="Times New Roman" w:hAnsi="Times New Roman" w:cs="Times New Roman"/>
                <w:sz w:val="20"/>
                <w:szCs w:val="20"/>
              </w:rPr>
            </w:pPr>
          </w:p>
        </w:tc>
      </w:tr>
      <w:tr w:rsidR="00A474B8" w:rsidTr="00EB32CC">
        <w:trPr>
          <w:jc w:val="center"/>
        </w:trPr>
        <w:tc>
          <w:tcPr>
            <w:tcW w:w="6658" w:type="dxa"/>
            <w:vAlign w:val="center"/>
          </w:tcPr>
          <w:p w:rsidR="00A474B8" w:rsidRPr="00A474B8" w:rsidRDefault="002E1B39" w:rsidP="0021238D">
            <w:pPr>
              <w:jc w:val="center"/>
              <w:rPr>
                <w:rFonts w:ascii="Times New Roman" w:hAnsi="Times New Roman" w:cs="Times New Roman"/>
                <w:i/>
                <w:sz w:val="20"/>
                <w:szCs w:val="20"/>
                <w:lang w:val="en-US"/>
              </w:rPr>
            </w:pPr>
            <w:r>
              <w:rPr>
                <w:rFonts w:ascii="Times New Roman" w:hAnsi="Times New Roman" w:cs="Times New Roman"/>
                <w:i/>
                <w:sz w:val="20"/>
                <w:szCs w:val="20"/>
                <w:lang w:val="en-US"/>
              </w:rPr>
              <w:t>Option</w:t>
            </w:r>
            <w:r w:rsidR="00A474B8" w:rsidRPr="00A474B8">
              <w:rPr>
                <w:rFonts w:ascii="Times New Roman" w:hAnsi="Times New Roman" w:cs="Times New Roman"/>
                <w:i/>
                <w:sz w:val="20"/>
                <w:szCs w:val="20"/>
              </w:rPr>
              <w:t xml:space="preserve"> </w:t>
            </w:r>
            <w:r w:rsidR="00A474B8" w:rsidRPr="00A474B8">
              <w:rPr>
                <w:rFonts w:ascii="Times New Roman" w:hAnsi="Times New Roman" w:cs="Times New Roman"/>
                <w:i/>
                <w:sz w:val="20"/>
                <w:szCs w:val="20"/>
                <w:lang w:val="en-US"/>
              </w:rPr>
              <w:t>II</w:t>
            </w:r>
          </w:p>
        </w:tc>
      </w:tr>
      <w:tr w:rsidR="00A474B8" w:rsidTr="00EB32CC">
        <w:trPr>
          <w:jc w:val="center"/>
        </w:trPr>
        <w:tc>
          <w:tcPr>
            <w:tcW w:w="6658" w:type="dxa"/>
            <w:vAlign w:val="center"/>
          </w:tcPr>
          <w:tbl>
            <w:tblPr>
              <w:tblW w:w="6500" w:type="dxa"/>
              <w:tblLook w:val="04A0" w:firstRow="1" w:lastRow="0" w:firstColumn="1" w:lastColumn="0" w:noHBand="0" w:noVBand="1"/>
            </w:tblPr>
            <w:tblGrid>
              <w:gridCol w:w="1060"/>
              <w:gridCol w:w="1360"/>
              <w:gridCol w:w="1360"/>
              <w:gridCol w:w="1360"/>
              <w:gridCol w:w="1360"/>
            </w:tblGrid>
            <w:tr w:rsidR="00E84A3C" w:rsidRPr="00E84A3C" w:rsidTr="00E84A3C">
              <w:trPr>
                <w:trHeight w:val="276"/>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Rank</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FR</w:t>
                  </w:r>
                  <w:r>
                    <w:rPr>
                      <w:rFonts w:ascii="Times New Roman" w:eastAsia="Times New Roman" w:hAnsi="Times New Roman" w:cs="Times New Roman"/>
                      <w:bCs/>
                      <w:color w:val="000000"/>
                      <w:sz w:val="20"/>
                      <w:szCs w:val="20"/>
                      <w:lang w:val="en-US" w:eastAsia="ru-RU"/>
                    </w:rPr>
                    <w:t xml:space="preserve"> </w:t>
                  </w:r>
                  <w:r w:rsidRPr="00E84A3C">
                    <w:rPr>
                      <w:rFonts w:ascii="Times New Roman" w:eastAsia="Times New Roman" w:hAnsi="Times New Roman" w:cs="Times New Roman"/>
                      <w:bCs/>
                      <w:color w:val="000000"/>
                      <w:sz w:val="20"/>
                      <w:szCs w:val="20"/>
                      <w:lang w:eastAsia="ru-RU"/>
                    </w:rPr>
                    <w:t>(</w:t>
                  </w:r>
                  <w:proofErr w:type="spellStart"/>
                  <w:r w:rsidRPr="00E84A3C">
                    <w:rPr>
                      <w:rFonts w:ascii="Times New Roman" w:eastAsia="Times New Roman" w:hAnsi="Times New Roman" w:cs="Times New Roman"/>
                      <w:bCs/>
                      <w:color w:val="000000"/>
                      <w:sz w:val="20"/>
                      <w:szCs w:val="20"/>
                      <w:lang w:eastAsia="ru-RU"/>
                    </w:rPr>
                    <w:t>sodium</w:t>
                  </w:r>
                  <w:proofErr w:type="spellEnd"/>
                  <w:r w:rsidRPr="00E84A3C">
                    <w:rPr>
                      <w:rFonts w:ascii="Times New Roman" w:eastAsia="Times New Roman" w:hAnsi="Times New Roman" w:cs="Times New Roman"/>
                      <w:bCs/>
                      <w:color w:val="000000"/>
                      <w:sz w:val="20"/>
                      <w:szCs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FR</w:t>
                  </w:r>
                  <w:r>
                    <w:rPr>
                      <w:rFonts w:ascii="Times New Roman" w:eastAsia="Times New Roman" w:hAnsi="Times New Roman" w:cs="Times New Roman"/>
                      <w:bCs/>
                      <w:color w:val="000000"/>
                      <w:sz w:val="20"/>
                      <w:szCs w:val="20"/>
                      <w:lang w:val="en-US" w:eastAsia="ru-RU"/>
                    </w:rPr>
                    <w:t xml:space="preserve"> </w:t>
                  </w:r>
                  <w:r w:rsidRPr="00E84A3C">
                    <w:rPr>
                      <w:rFonts w:ascii="Times New Roman" w:eastAsia="Times New Roman" w:hAnsi="Times New Roman" w:cs="Times New Roman"/>
                      <w:bCs/>
                      <w:color w:val="000000"/>
                      <w:sz w:val="20"/>
                      <w:szCs w:val="20"/>
                      <w:lang w:eastAsia="ru-RU"/>
                    </w:rPr>
                    <w:t>(</w:t>
                  </w:r>
                  <w:proofErr w:type="spellStart"/>
                  <w:r w:rsidRPr="00E84A3C">
                    <w:rPr>
                      <w:rFonts w:ascii="Times New Roman" w:eastAsia="Times New Roman" w:hAnsi="Times New Roman" w:cs="Times New Roman"/>
                      <w:bCs/>
                      <w:color w:val="000000"/>
                      <w:sz w:val="20"/>
                      <w:szCs w:val="20"/>
                      <w:lang w:eastAsia="ru-RU"/>
                    </w:rPr>
                    <w:t>lead</w:t>
                  </w:r>
                  <w:proofErr w:type="spellEnd"/>
                  <w:r w:rsidRPr="00E84A3C">
                    <w:rPr>
                      <w:rFonts w:ascii="Times New Roman" w:eastAsia="Times New Roman" w:hAnsi="Times New Roman" w:cs="Times New Roman"/>
                      <w:bCs/>
                      <w:color w:val="000000"/>
                      <w:sz w:val="20"/>
                      <w:szCs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MSR</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FFHR</w:t>
                  </w:r>
                </w:p>
              </w:tc>
            </w:tr>
            <w:tr w:rsidR="00E84A3C" w:rsidRPr="00E84A3C" w:rsidTr="00E84A3C">
              <w:trPr>
                <w:trHeight w:val="12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1</w:t>
                  </w:r>
                </w:p>
              </w:tc>
              <w:tc>
                <w:tcPr>
                  <w:tcW w:w="136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63</w:t>
                  </w:r>
                </w:p>
              </w:tc>
              <w:tc>
                <w:tcPr>
                  <w:tcW w:w="1360" w:type="dxa"/>
                  <w:tcBorders>
                    <w:top w:val="single" w:sz="4" w:space="0" w:color="auto"/>
                    <w:left w:val="single" w:sz="4" w:space="0" w:color="auto"/>
                    <w:bottom w:val="single" w:sz="4" w:space="0" w:color="auto"/>
                    <w:right w:val="single" w:sz="4" w:space="0" w:color="auto"/>
                  </w:tcBorders>
                  <w:shd w:val="clear" w:color="000000" w:fill="FDD780"/>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18</w:t>
                  </w:r>
                </w:p>
              </w:tc>
              <w:tc>
                <w:tcPr>
                  <w:tcW w:w="1360" w:type="dxa"/>
                  <w:tcBorders>
                    <w:top w:val="single" w:sz="4" w:space="0" w:color="auto"/>
                    <w:left w:val="single" w:sz="4" w:space="0" w:color="auto"/>
                    <w:bottom w:val="single" w:sz="4" w:space="0" w:color="auto"/>
                    <w:right w:val="single" w:sz="4" w:space="0" w:color="auto"/>
                  </w:tcBorders>
                  <w:shd w:val="clear" w:color="000000" w:fill="FAA075"/>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9</w:t>
                  </w:r>
                </w:p>
              </w:tc>
              <w:tc>
                <w:tcPr>
                  <w:tcW w:w="1360" w:type="dxa"/>
                  <w:tcBorders>
                    <w:top w:val="single" w:sz="4" w:space="0" w:color="auto"/>
                    <w:left w:val="single" w:sz="4" w:space="0" w:color="auto"/>
                    <w:bottom w:val="single" w:sz="4" w:space="0" w:color="auto"/>
                    <w:right w:val="single" w:sz="4" w:space="0" w:color="auto"/>
                  </w:tcBorders>
                  <w:shd w:val="clear" w:color="000000" w:fill="FBA777"/>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10</w:t>
                  </w:r>
                </w:p>
              </w:tc>
            </w:tr>
            <w:tr w:rsidR="00E84A3C" w:rsidRPr="00E84A3C" w:rsidTr="00E84A3C">
              <w:trPr>
                <w:trHeight w:val="24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2</w:t>
                  </w:r>
                </w:p>
              </w:tc>
              <w:tc>
                <w:tcPr>
                  <w:tcW w:w="1360"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21</w:t>
                  </w:r>
                </w:p>
              </w:tc>
              <w:tc>
                <w:tcPr>
                  <w:tcW w:w="1360" w:type="dxa"/>
                  <w:tcBorders>
                    <w:top w:val="single" w:sz="4" w:space="0" w:color="auto"/>
                    <w:left w:val="single" w:sz="4" w:space="0" w:color="auto"/>
                    <w:bottom w:val="single" w:sz="4" w:space="0" w:color="auto"/>
                    <w:right w:val="single" w:sz="4" w:space="0" w:color="auto"/>
                  </w:tcBorders>
                  <w:shd w:val="clear" w:color="000000" w:fill="82C77D"/>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55</w:t>
                  </w:r>
                </w:p>
              </w:tc>
              <w:tc>
                <w:tcPr>
                  <w:tcW w:w="1360" w:type="dxa"/>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21</w:t>
                  </w:r>
                </w:p>
              </w:tc>
              <w:tc>
                <w:tcPr>
                  <w:tcW w:w="1360" w:type="dxa"/>
                  <w:tcBorders>
                    <w:top w:val="single" w:sz="4" w:space="0" w:color="auto"/>
                    <w:left w:val="single" w:sz="4" w:space="0" w:color="auto"/>
                    <w:bottom w:val="single" w:sz="4" w:space="0" w:color="auto"/>
                    <w:right w:val="single" w:sz="4" w:space="0" w:color="auto"/>
                  </w:tcBorders>
                  <w:shd w:val="clear" w:color="000000" w:fill="F97D6F"/>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3</w:t>
                  </w:r>
                </w:p>
              </w:tc>
            </w:tr>
            <w:tr w:rsidR="00E84A3C" w:rsidRPr="00E84A3C" w:rsidTr="00E84A3C">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3</w:t>
                  </w:r>
                </w:p>
              </w:tc>
              <w:tc>
                <w:tcPr>
                  <w:tcW w:w="1360" w:type="dxa"/>
                  <w:tcBorders>
                    <w:top w:val="single" w:sz="4" w:space="0" w:color="auto"/>
                    <w:left w:val="single" w:sz="4" w:space="0" w:color="auto"/>
                    <w:bottom w:val="single" w:sz="4" w:space="0" w:color="auto"/>
                    <w:right w:val="single" w:sz="4" w:space="0" w:color="auto"/>
                  </w:tcBorders>
                  <w:shd w:val="clear" w:color="000000" w:fill="F98370"/>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shd w:val="clear" w:color="000000" w:fill="E8E583"/>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27</w:t>
                  </w:r>
                </w:p>
              </w:tc>
              <w:tc>
                <w:tcPr>
                  <w:tcW w:w="1360" w:type="dxa"/>
                  <w:tcBorders>
                    <w:top w:val="single" w:sz="4" w:space="0" w:color="auto"/>
                    <w:left w:val="single" w:sz="4" w:space="0" w:color="auto"/>
                    <w:bottom w:val="single" w:sz="4" w:space="0" w:color="auto"/>
                    <w:right w:val="single" w:sz="4" w:space="0" w:color="auto"/>
                  </w:tcBorders>
                  <w:shd w:val="clear" w:color="000000" w:fill="ACD380"/>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44</w:t>
                  </w:r>
                </w:p>
              </w:tc>
              <w:tc>
                <w:tcPr>
                  <w:tcW w:w="1360" w:type="dxa"/>
                  <w:tcBorders>
                    <w:top w:val="single" w:sz="4" w:space="0" w:color="auto"/>
                    <w:left w:val="single" w:sz="4" w:space="0" w:color="auto"/>
                    <w:bottom w:val="single" w:sz="4" w:space="0" w:color="auto"/>
                    <w:right w:val="single" w:sz="4" w:space="0" w:color="auto"/>
                  </w:tcBorders>
                  <w:shd w:val="clear" w:color="000000" w:fill="F1E784"/>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25</w:t>
                  </w:r>
                </w:p>
              </w:tc>
            </w:tr>
            <w:tr w:rsidR="00E84A3C" w:rsidRPr="00E84A3C" w:rsidTr="00E84A3C">
              <w:trPr>
                <w:trHeight w:val="263"/>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84A3C" w:rsidRPr="00E84A3C" w:rsidRDefault="00E84A3C" w:rsidP="00E84A3C">
                  <w:pPr>
                    <w:spacing w:after="0" w:line="240" w:lineRule="auto"/>
                    <w:jc w:val="center"/>
                    <w:rPr>
                      <w:rFonts w:ascii="Times New Roman" w:eastAsia="Times New Roman" w:hAnsi="Times New Roman" w:cs="Times New Roman"/>
                      <w:bCs/>
                      <w:color w:val="000000"/>
                      <w:sz w:val="20"/>
                      <w:szCs w:val="20"/>
                      <w:lang w:eastAsia="ru-RU"/>
                    </w:rPr>
                  </w:pPr>
                  <w:r w:rsidRPr="00E84A3C">
                    <w:rPr>
                      <w:rFonts w:ascii="Times New Roman" w:eastAsia="Times New Roman" w:hAnsi="Times New Roman" w:cs="Times New Roman"/>
                      <w:bCs/>
                      <w:color w:val="000000"/>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shd w:val="clear" w:color="000000" w:fill="FBAF78"/>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11</w:t>
                  </w:r>
                </w:p>
              </w:tc>
              <w:tc>
                <w:tcPr>
                  <w:tcW w:w="136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0</w:t>
                  </w:r>
                </w:p>
              </w:tc>
              <w:tc>
                <w:tcPr>
                  <w:tcW w:w="1360" w:type="dxa"/>
                  <w:tcBorders>
                    <w:top w:val="single" w:sz="4" w:space="0" w:color="auto"/>
                    <w:left w:val="single" w:sz="4" w:space="0" w:color="auto"/>
                    <w:bottom w:val="single" w:sz="4" w:space="0" w:color="auto"/>
                    <w:right w:val="single" w:sz="4" w:space="0" w:color="auto"/>
                  </w:tcBorders>
                  <w:shd w:val="clear" w:color="000000" w:fill="EAE583"/>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27</w:t>
                  </w:r>
                </w:p>
              </w:tc>
              <w:tc>
                <w:tcPr>
                  <w:tcW w:w="1360" w:type="dxa"/>
                  <w:tcBorders>
                    <w:top w:val="single" w:sz="4" w:space="0" w:color="auto"/>
                    <w:left w:val="single" w:sz="4" w:space="0" w:color="auto"/>
                    <w:bottom w:val="single" w:sz="4" w:space="0" w:color="auto"/>
                    <w:right w:val="single" w:sz="4" w:space="0" w:color="auto"/>
                  </w:tcBorders>
                  <w:shd w:val="clear" w:color="000000" w:fill="69C07C"/>
                  <w:noWrap/>
                  <w:vAlign w:val="center"/>
                  <w:hideMark/>
                </w:tcPr>
                <w:p w:rsidR="00E84A3C" w:rsidRPr="00E84A3C" w:rsidRDefault="00E84A3C" w:rsidP="00E84A3C">
                  <w:pPr>
                    <w:spacing w:after="0" w:line="240" w:lineRule="auto"/>
                    <w:jc w:val="center"/>
                    <w:rPr>
                      <w:rFonts w:ascii="Times New Roman" w:eastAsia="Times New Roman" w:hAnsi="Times New Roman" w:cs="Times New Roman"/>
                      <w:color w:val="000000"/>
                      <w:sz w:val="20"/>
                      <w:szCs w:val="20"/>
                      <w:lang w:eastAsia="ru-RU"/>
                    </w:rPr>
                  </w:pPr>
                  <w:r w:rsidRPr="00E84A3C">
                    <w:rPr>
                      <w:rFonts w:ascii="Times New Roman" w:eastAsia="Times New Roman" w:hAnsi="Times New Roman" w:cs="Times New Roman"/>
                      <w:color w:val="000000"/>
                      <w:sz w:val="20"/>
                      <w:szCs w:val="20"/>
                      <w:lang w:eastAsia="ru-RU"/>
                    </w:rPr>
                    <w:t>62</w:t>
                  </w:r>
                </w:p>
              </w:tc>
            </w:tr>
          </w:tbl>
          <w:p w:rsidR="00A474B8" w:rsidRPr="00A474B8" w:rsidRDefault="00A474B8" w:rsidP="0021238D">
            <w:pPr>
              <w:jc w:val="center"/>
              <w:rPr>
                <w:rFonts w:ascii="Times New Roman" w:hAnsi="Times New Roman" w:cs="Times New Roman"/>
                <w:sz w:val="20"/>
                <w:szCs w:val="20"/>
              </w:rPr>
            </w:pPr>
          </w:p>
        </w:tc>
      </w:tr>
    </w:tbl>
    <w:p w:rsidR="00EB32CC" w:rsidRPr="000B48B8" w:rsidRDefault="000B48B8" w:rsidP="00EB32CC">
      <w:pPr>
        <w:spacing w:before="120" w:after="0" w:line="260" w:lineRule="atLeast"/>
        <w:ind w:firstLine="709"/>
        <w:jc w:val="both"/>
        <w:rPr>
          <w:rFonts w:ascii="Times New Roman" w:hAnsi="Times New Roman" w:cs="Times New Roman"/>
          <w:sz w:val="20"/>
          <w:szCs w:val="24"/>
          <w:lang w:val="en-US"/>
        </w:rPr>
      </w:pPr>
      <w:r w:rsidRPr="000B48B8">
        <w:rPr>
          <w:rFonts w:ascii="Times New Roman" w:hAnsi="Times New Roman" w:cs="Times New Roman"/>
          <w:sz w:val="20"/>
          <w:szCs w:val="24"/>
          <w:lang w:val="en-US"/>
        </w:rPr>
        <w:t xml:space="preserve">Option I shows that, with a certain probability, all the options under consideration can get the highest score and take first place in the rating. However, the sodium-cooled FR has the greatest potential to obtain the highest score, and the lead-cooled FR is next in the ranking. The opposite situation is observed for MSR, for which the probability of taking a leading position is small. The FFHR technology has the greatest scatter of scores and in case of uncertainty of all weight coefficients it has a significant probability of taking the first place, but also the probability of taking the last place for installing the FFHR is the highest among the options under consideration. </w:t>
      </w:r>
      <w:r w:rsidR="00EB32CC" w:rsidRPr="000B48B8">
        <w:rPr>
          <w:rFonts w:ascii="Times New Roman" w:hAnsi="Times New Roman" w:cs="Times New Roman"/>
          <w:sz w:val="20"/>
          <w:szCs w:val="24"/>
          <w:lang w:val="en-US"/>
        </w:rPr>
        <w:t xml:space="preserve"> </w:t>
      </w:r>
    </w:p>
    <w:p w:rsidR="00A474B8" w:rsidRPr="000B48B8" w:rsidRDefault="000B48B8" w:rsidP="000B48B8">
      <w:pPr>
        <w:spacing w:after="0" w:line="260" w:lineRule="atLeast"/>
        <w:ind w:firstLine="708"/>
        <w:jc w:val="both"/>
        <w:rPr>
          <w:rFonts w:ascii="Times New Roman" w:hAnsi="Times New Roman" w:cs="Times New Roman"/>
          <w:sz w:val="20"/>
          <w:szCs w:val="24"/>
          <w:lang w:val="en-US"/>
        </w:rPr>
      </w:pPr>
      <w:r w:rsidRPr="000B48B8">
        <w:rPr>
          <w:rFonts w:ascii="Times New Roman" w:hAnsi="Times New Roman" w:cs="Times New Roman"/>
          <w:sz w:val="20"/>
          <w:szCs w:val="24"/>
          <w:lang w:val="en-US"/>
        </w:rPr>
        <w:t xml:space="preserve">Option II demonstrates that the sodium fast reactor is the most attractive technology for MA utilization, while for a lead cooled fast reactor it is most likely to take a place in the middle of the rating, but with a relatively high probability it can also receive the highest score. Moreover, the probability of taking the last place is close to zero. In case of uncertainty of priorities for high-level objectives, the probability of the options with the MSR and FFHR to take first place is extremely small. It should be noted that in the variant of changing the weights only for high-level objectives, all </w:t>
      </w:r>
      <w:r w:rsidR="00824586">
        <w:rPr>
          <w:rFonts w:ascii="Times New Roman" w:hAnsi="Times New Roman" w:cs="Times New Roman"/>
          <w:sz w:val="20"/>
          <w:szCs w:val="24"/>
          <w:lang w:val="en-US"/>
        </w:rPr>
        <w:t>four</w:t>
      </w:r>
      <w:r w:rsidRPr="000B48B8">
        <w:rPr>
          <w:rFonts w:ascii="Times New Roman" w:hAnsi="Times New Roman" w:cs="Times New Roman"/>
          <w:sz w:val="20"/>
          <w:szCs w:val="24"/>
          <w:lang w:val="en-US"/>
        </w:rPr>
        <w:t xml:space="preserve"> technologies under consideration have an insignificant scatter of points.</w:t>
      </w:r>
    </w:p>
    <w:p w:rsidR="00E10FB7" w:rsidRPr="00C3067F" w:rsidRDefault="00166873" w:rsidP="00166873">
      <w:pPr>
        <w:pStyle w:val="2"/>
        <w:numPr>
          <w:ilvl w:val="0"/>
          <w:numId w:val="10"/>
        </w:numPr>
        <w:spacing w:before="100" w:beforeAutospacing="1" w:after="100" w:afterAutospacing="1" w:line="280" w:lineRule="atLeast"/>
        <w:ind w:left="714" w:hanging="357"/>
        <w:rPr>
          <w:rFonts w:ascii="Times New Roman" w:hAnsi="Times New Roman" w:cs="Times New Roman"/>
          <w:sz w:val="24"/>
          <w:szCs w:val="24"/>
        </w:rPr>
      </w:pPr>
      <w:r w:rsidRPr="00166873">
        <w:rPr>
          <w:rFonts w:ascii="Times New Roman" w:hAnsi="Times New Roman" w:cs="Times New Roman"/>
          <w:color w:val="000000" w:themeColor="text1"/>
          <w:sz w:val="24"/>
          <w:szCs w:val="24"/>
          <w:lang w:val="en-US"/>
        </w:rPr>
        <w:lastRenderedPageBreak/>
        <w:t>CONCLUSION</w:t>
      </w:r>
    </w:p>
    <w:p w:rsidR="00276C5D" w:rsidRPr="000B48B8" w:rsidRDefault="00276C5D" w:rsidP="000B48B8">
      <w:pPr>
        <w:spacing w:after="0" w:line="260" w:lineRule="atLeast"/>
        <w:jc w:val="both"/>
        <w:rPr>
          <w:rFonts w:ascii="Times New Roman" w:hAnsi="Times New Roman" w:cs="Times New Roman"/>
          <w:sz w:val="20"/>
          <w:szCs w:val="24"/>
          <w:lang w:val="en-US"/>
        </w:rPr>
      </w:pPr>
      <w:r w:rsidRPr="00395AEA">
        <w:rPr>
          <w:rFonts w:ascii="Times New Roman" w:hAnsi="Times New Roman" w:cs="Times New Roman"/>
          <w:sz w:val="20"/>
          <w:szCs w:val="24"/>
          <w:lang w:val="en-US"/>
        </w:rPr>
        <w:tab/>
      </w:r>
      <w:r w:rsidR="000B48B8" w:rsidRPr="000B48B8">
        <w:rPr>
          <w:rFonts w:ascii="Times New Roman" w:hAnsi="Times New Roman" w:cs="Times New Roman"/>
          <w:sz w:val="20"/>
          <w:szCs w:val="24"/>
          <w:lang w:val="en-US"/>
        </w:rPr>
        <w:t xml:space="preserve">The presented attempt to analyze various technologies for MA transmutation showed that the comparison of MA transmutation technologies only on the basis of a single indicator - average rate of MA transmutation, without taking into account factors related to economic, technological aspects, availability and safety of the technology, gives a one-sided picture. The use of a </w:t>
      </w:r>
      <w:proofErr w:type="spellStart"/>
      <w:r w:rsidR="000B48B8" w:rsidRPr="000B48B8">
        <w:rPr>
          <w:rFonts w:ascii="Times New Roman" w:hAnsi="Times New Roman" w:cs="Times New Roman"/>
          <w:sz w:val="20"/>
          <w:szCs w:val="24"/>
          <w:lang w:val="en-US"/>
        </w:rPr>
        <w:t>multicriteria</w:t>
      </w:r>
      <w:proofErr w:type="spellEnd"/>
      <w:r w:rsidR="000B48B8" w:rsidRPr="000B48B8">
        <w:rPr>
          <w:rFonts w:ascii="Times New Roman" w:hAnsi="Times New Roman" w:cs="Times New Roman"/>
          <w:sz w:val="20"/>
          <w:szCs w:val="24"/>
          <w:lang w:val="en-US"/>
        </w:rPr>
        <w:t xml:space="preserve"> approach made it possible to present a comprehensive assessment for each of the options and to compare them.</w:t>
      </w:r>
    </w:p>
    <w:p w:rsidR="00276C5D" w:rsidRPr="00A42778" w:rsidRDefault="00276C5D" w:rsidP="00A42778">
      <w:pPr>
        <w:spacing w:after="0" w:line="260" w:lineRule="atLeast"/>
        <w:jc w:val="both"/>
        <w:rPr>
          <w:rFonts w:ascii="Times New Roman" w:hAnsi="Times New Roman" w:cs="Times New Roman"/>
          <w:sz w:val="20"/>
          <w:szCs w:val="24"/>
          <w:lang w:val="en-US"/>
        </w:rPr>
      </w:pPr>
      <w:r w:rsidRPr="000B48B8">
        <w:rPr>
          <w:rFonts w:ascii="Times New Roman" w:hAnsi="Times New Roman" w:cs="Times New Roman"/>
          <w:sz w:val="20"/>
          <w:szCs w:val="24"/>
          <w:lang w:val="en-US"/>
        </w:rPr>
        <w:tab/>
      </w:r>
      <w:r w:rsidR="000B48B8" w:rsidRPr="000B48B8">
        <w:rPr>
          <w:rFonts w:ascii="Times New Roman" w:hAnsi="Times New Roman" w:cs="Times New Roman"/>
          <w:sz w:val="20"/>
          <w:szCs w:val="24"/>
          <w:lang w:val="en-US"/>
        </w:rPr>
        <w:t xml:space="preserve">If it is necessary to implement MA transmutation as soon as possible, taking into account the current development of reactor technologies, the most attractive option is to </w:t>
      </w:r>
      <w:proofErr w:type="spellStart"/>
      <w:r w:rsidR="000B48B8" w:rsidRPr="000B48B8">
        <w:rPr>
          <w:rFonts w:ascii="Times New Roman" w:hAnsi="Times New Roman" w:cs="Times New Roman"/>
          <w:sz w:val="20"/>
          <w:szCs w:val="24"/>
          <w:lang w:val="en-US"/>
        </w:rPr>
        <w:t>transmutate</w:t>
      </w:r>
      <w:proofErr w:type="spellEnd"/>
      <w:r w:rsidR="000B48B8" w:rsidRPr="000B48B8">
        <w:rPr>
          <w:rFonts w:ascii="Times New Roman" w:hAnsi="Times New Roman" w:cs="Times New Roman"/>
          <w:sz w:val="20"/>
          <w:szCs w:val="24"/>
          <w:lang w:val="en-US"/>
        </w:rPr>
        <w:t xml:space="preserve"> MA in fast sodium reactors, especially if the solution of this problem requires minimizing the resources and time spent. The variant of a fast reactor with a lead coolant is also close in the estimation. However, the lack of the technology of fast reactors with sodium or lead coolant is a small load of external MA and a low rate of their utilization.</w:t>
      </w:r>
      <w:r w:rsidRPr="000B48B8">
        <w:rPr>
          <w:rFonts w:ascii="Times New Roman" w:hAnsi="Times New Roman" w:cs="Times New Roman"/>
          <w:sz w:val="20"/>
          <w:szCs w:val="24"/>
          <w:lang w:val="en-US"/>
        </w:rPr>
        <w:t xml:space="preserve"> </w:t>
      </w:r>
      <w:r w:rsidR="00A42778" w:rsidRPr="00A42778">
        <w:rPr>
          <w:rFonts w:ascii="Times New Roman" w:hAnsi="Times New Roman" w:cs="Times New Roman"/>
          <w:sz w:val="20"/>
          <w:szCs w:val="24"/>
          <w:lang w:val="en-US"/>
        </w:rPr>
        <w:t>This explains the main advantage of the innovation reactor technologies MSR and FFHR - specialization in reducing the MA volumes accumulated in SNF of other reactors, and the high rate of their annual afterburning. But with a multi-criteria assessment, these options received the least overall scores, since their implementation will require significant resources and time to develop the necessary technologies and find suitable structural materials.</w:t>
      </w:r>
    </w:p>
    <w:p w:rsidR="00784298" w:rsidRPr="00A42778" w:rsidRDefault="00A42778" w:rsidP="00A42778">
      <w:pPr>
        <w:spacing w:after="0" w:line="260" w:lineRule="atLeast"/>
        <w:ind w:firstLine="708"/>
        <w:jc w:val="both"/>
        <w:rPr>
          <w:rFonts w:ascii="Times New Roman" w:hAnsi="Times New Roman" w:cs="Times New Roman"/>
          <w:sz w:val="20"/>
          <w:szCs w:val="24"/>
          <w:lang w:val="en-US"/>
        </w:rPr>
      </w:pPr>
      <w:r w:rsidRPr="00A42778">
        <w:rPr>
          <w:rFonts w:ascii="Times New Roman" w:hAnsi="Times New Roman" w:cs="Times New Roman"/>
          <w:sz w:val="20"/>
          <w:szCs w:val="24"/>
          <w:lang w:val="en-US"/>
        </w:rPr>
        <w:t>The analysis of the sensitivity of technology assessments, depending on the prioritization of various areas of assessment, showed that the technologies of fast reactors with sodium or lead coolant have the smallest scatter of points and the most likely to receive a high rating. The MSR and FFHR reactors are much less likely to be the leaders, which is due to the less elaboration of these projects at the present time. However, as they are developed and if indicators related to the rate and volumes of MA transmutation are selected as a priority, these technologies will come out on top.</w:t>
      </w:r>
      <w:r>
        <w:rPr>
          <w:rFonts w:ascii="Times New Roman" w:hAnsi="Times New Roman" w:cs="Times New Roman"/>
          <w:sz w:val="20"/>
          <w:szCs w:val="24"/>
          <w:lang w:val="en-US"/>
        </w:rPr>
        <w:tab/>
      </w:r>
    </w:p>
    <w:p w:rsidR="00166873" w:rsidRPr="00395AEA" w:rsidRDefault="00166873" w:rsidP="00166873">
      <w:pPr>
        <w:pStyle w:val="Otherunnumberedheadings"/>
        <w:rPr>
          <w:lang w:val="en-US"/>
        </w:rPr>
      </w:pPr>
      <w:r>
        <w:t>References</w:t>
      </w:r>
    </w:p>
    <w:p w:rsidR="00784298" w:rsidRPr="00004C23" w:rsidRDefault="00784298" w:rsidP="00E10FB7">
      <w:pPr>
        <w:spacing w:after="0" w:line="260" w:lineRule="atLeast"/>
        <w:jc w:val="both"/>
        <w:rPr>
          <w:rFonts w:ascii="Times New Roman" w:hAnsi="Times New Roman" w:cs="Times New Roman"/>
          <w:sz w:val="20"/>
          <w:szCs w:val="24"/>
          <w:lang w:val="en-US"/>
        </w:rPr>
      </w:pPr>
      <w:r w:rsidRPr="00326CA8">
        <w:rPr>
          <w:rFonts w:ascii="Times New Roman" w:hAnsi="Times New Roman" w:cs="Times New Roman"/>
          <w:sz w:val="20"/>
          <w:szCs w:val="24"/>
          <w:lang w:val="en-US"/>
        </w:rPr>
        <w:t xml:space="preserve">[1] </w:t>
      </w:r>
      <w:r w:rsidR="00326CA8" w:rsidRPr="00326CA8">
        <w:rPr>
          <w:rFonts w:ascii="Times New Roman" w:hAnsi="Times New Roman" w:cs="Times New Roman"/>
          <w:sz w:val="20"/>
          <w:szCs w:val="24"/>
          <w:lang w:val="en-US"/>
        </w:rPr>
        <w:t xml:space="preserve">M. </w:t>
      </w:r>
      <w:proofErr w:type="spellStart"/>
      <w:r w:rsidR="00326CA8" w:rsidRPr="00326CA8">
        <w:rPr>
          <w:rFonts w:ascii="Times New Roman" w:hAnsi="Times New Roman" w:cs="Times New Roman"/>
          <w:sz w:val="20"/>
          <w:szCs w:val="24"/>
          <w:lang w:val="en-US"/>
        </w:rPr>
        <w:t>Salvatores</w:t>
      </w:r>
      <w:proofErr w:type="spellEnd"/>
      <w:r w:rsidR="00326CA8" w:rsidRPr="00326CA8">
        <w:rPr>
          <w:rFonts w:ascii="Times New Roman" w:hAnsi="Times New Roman" w:cs="Times New Roman"/>
          <w:sz w:val="20"/>
          <w:szCs w:val="24"/>
          <w:lang w:val="en-US"/>
        </w:rPr>
        <w:t xml:space="preserve">, I. </w:t>
      </w:r>
      <w:proofErr w:type="spellStart"/>
      <w:r w:rsidR="00326CA8" w:rsidRPr="00326CA8">
        <w:rPr>
          <w:rFonts w:ascii="Times New Roman" w:hAnsi="Times New Roman" w:cs="Times New Roman"/>
          <w:sz w:val="20"/>
          <w:szCs w:val="24"/>
          <w:lang w:val="en-US"/>
        </w:rPr>
        <w:t>Slessarev</w:t>
      </w:r>
      <w:proofErr w:type="spellEnd"/>
      <w:r w:rsidR="00326CA8" w:rsidRPr="00326CA8">
        <w:rPr>
          <w:rFonts w:ascii="Times New Roman" w:hAnsi="Times New Roman" w:cs="Times New Roman"/>
          <w:sz w:val="20"/>
          <w:szCs w:val="24"/>
          <w:lang w:val="en-US"/>
        </w:rPr>
        <w:t xml:space="preserve">, and M. </w:t>
      </w:r>
      <w:proofErr w:type="spellStart"/>
      <w:r w:rsidR="00326CA8" w:rsidRPr="00326CA8">
        <w:rPr>
          <w:rFonts w:ascii="Times New Roman" w:hAnsi="Times New Roman" w:cs="Times New Roman"/>
          <w:sz w:val="20"/>
          <w:szCs w:val="24"/>
          <w:lang w:val="en-US"/>
        </w:rPr>
        <w:t>Uematsu</w:t>
      </w:r>
      <w:proofErr w:type="spellEnd"/>
      <w:r w:rsidR="00326CA8" w:rsidRPr="00326CA8">
        <w:rPr>
          <w:rFonts w:ascii="Times New Roman" w:hAnsi="Times New Roman" w:cs="Times New Roman"/>
          <w:sz w:val="20"/>
          <w:szCs w:val="24"/>
          <w:lang w:val="en-US"/>
        </w:rPr>
        <w:t xml:space="preserve">. A Global Physics Approach to Transmutation of Radioactive Nuclei. </w:t>
      </w:r>
      <w:r w:rsidR="00326CA8" w:rsidRPr="00004C23">
        <w:rPr>
          <w:rFonts w:ascii="Times New Roman" w:hAnsi="Times New Roman" w:cs="Times New Roman"/>
          <w:sz w:val="20"/>
          <w:szCs w:val="24"/>
          <w:lang w:val="en-US"/>
        </w:rPr>
        <w:t>NUCLEA</w:t>
      </w:r>
      <w:r w:rsidR="00004C23">
        <w:rPr>
          <w:rFonts w:ascii="Times New Roman" w:hAnsi="Times New Roman" w:cs="Times New Roman"/>
          <w:sz w:val="20"/>
          <w:szCs w:val="24"/>
          <w:lang w:val="en-US"/>
        </w:rPr>
        <w:t>R SCIENCE AND ENGINEERING. 1994</w:t>
      </w:r>
      <w:r w:rsidR="00326CA8" w:rsidRPr="00004C23">
        <w:rPr>
          <w:rFonts w:ascii="Times New Roman" w:hAnsi="Times New Roman" w:cs="Times New Roman"/>
          <w:sz w:val="20"/>
          <w:szCs w:val="24"/>
          <w:lang w:val="en-US"/>
        </w:rPr>
        <w:t>, 116.</w:t>
      </w:r>
    </w:p>
    <w:p w:rsidR="00004C23" w:rsidRPr="00004C23" w:rsidRDefault="00784298" w:rsidP="00004C23">
      <w:pPr>
        <w:spacing w:after="0" w:line="260" w:lineRule="atLeast"/>
        <w:jc w:val="both"/>
        <w:rPr>
          <w:rFonts w:ascii="Times New Roman" w:hAnsi="Times New Roman" w:cs="Times New Roman"/>
          <w:sz w:val="20"/>
          <w:szCs w:val="24"/>
          <w:lang w:val="en-US"/>
        </w:rPr>
      </w:pPr>
      <w:r w:rsidRPr="00004C23">
        <w:rPr>
          <w:rFonts w:ascii="Times New Roman" w:hAnsi="Times New Roman" w:cs="Times New Roman"/>
          <w:sz w:val="20"/>
          <w:szCs w:val="24"/>
          <w:lang w:val="en-US"/>
        </w:rPr>
        <w:t xml:space="preserve">[2] </w:t>
      </w:r>
      <w:r w:rsidR="00004C23" w:rsidRPr="00004C23">
        <w:rPr>
          <w:rFonts w:ascii="Times New Roman" w:hAnsi="Times New Roman" w:cs="Times New Roman"/>
          <w:sz w:val="20"/>
          <w:szCs w:val="24"/>
          <w:lang w:val="en-US"/>
        </w:rPr>
        <w:t>C. PRUNIER. F. BOUSSARD, L. KOCH, M. COQUERELLE. SOME SPECIFIC ASPECTS OF HOMOGENEOUS Am AND Np BASED FUELS TRANSMUTATION THROUGH THE OUTCOMES OF THE SUPERFACT EXP</w:t>
      </w:r>
      <w:r w:rsidR="00E84A3C">
        <w:rPr>
          <w:rFonts w:ascii="Times New Roman" w:hAnsi="Times New Roman" w:cs="Times New Roman"/>
          <w:sz w:val="20"/>
          <w:szCs w:val="24"/>
          <w:lang w:val="en-US"/>
        </w:rPr>
        <w:t>ERIMENT IN PHENIX FAST REACTOR.</w:t>
      </w:r>
      <w:r w:rsidR="00004C23" w:rsidRPr="00004C23">
        <w:rPr>
          <w:rFonts w:ascii="Times New Roman" w:hAnsi="Times New Roman" w:cs="Times New Roman"/>
          <w:sz w:val="20"/>
          <w:szCs w:val="24"/>
          <w:lang w:val="en-US"/>
        </w:rPr>
        <w:t>: Atomic Energy Commission and European Institute f</w:t>
      </w:r>
      <w:r w:rsidR="00004C23">
        <w:rPr>
          <w:rFonts w:ascii="Times New Roman" w:hAnsi="Times New Roman" w:cs="Times New Roman"/>
          <w:sz w:val="20"/>
          <w:szCs w:val="24"/>
          <w:lang w:val="en-US"/>
        </w:rPr>
        <w:t xml:space="preserve">or </w:t>
      </w:r>
      <w:proofErr w:type="spellStart"/>
      <w:r w:rsidR="00004C23">
        <w:rPr>
          <w:rFonts w:ascii="Times New Roman" w:hAnsi="Times New Roman" w:cs="Times New Roman"/>
          <w:sz w:val="20"/>
          <w:szCs w:val="24"/>
          <w:lang w:val="en-US"/>
        </w:rPr>
        <w:t>Transuraniurn</w:t>
      </w:r>
      <w:proofErr w:type="spellEnd"/>
      <w:r w:rsidR="00004C23">
        <w:rPr>
          <w:rFonts w:ascii="Times New Roman" w:hAnsi="Times New Roman" w:cs="Times New Roman"/>
          <w:sz w:val="20"/>
          <w:szCs w:val="24"/>
          <w:lang w:val="en-US"/>
        </w:rPr>
        <w:t xml:space="preserve"> Elements, 1993</w:t>
      </w:r>
    </w:p>
    <w:p w:rsidR="00004C23" w:rsidRPr="00004C23" w:rsidRDefault="00004C23" w:rsidP="00004C23">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[3]</w:t>
      </w:r>
      <w:r w:rsidRPr="00004C23">
        <w:rPr>
          <w:rFonts w:ascii="Times New Roman" w:hAnsi="Times New Roman" w:cs="Times New Roman"/>
          <w:sz w:val="20"/>
          <w:szCs w:val="24"/>
          <w:lang w:val="en-US"/>
        </w:rPr>
        <w:t xml:space="preserve">. </w:t>
      </w:r>
      <w:proofErr w:type="spellStart"/>
      <w:r w:rsidRPr="00004C23">
        <w:rPr>
          <w:rFonts w:ascii="Times New Roman" w:hAnsi="Times New Roman" w:cs="Times New Roman"/>
          <w:sz w:val="20"/>
          <w:szCs w:val="24"/>
          <w:lang w:val="en-US"/>
        </w:rPr>
        <w:t>Guillaumont</w:t>
      </w:r>
      <w:proofErr w:type="spellEnd"/>
      <w:r w:rsidRPr="00004C23">
        <w:rPr>
          <w:rFonts w:ascii="Times New Roman" w:hAnsi="Times New Roman" w:cs="Times New Roman"/>
          <w:sz w:val="20"/>
          <w:szCs w:val="24"/>
          <w:lang w:val="en-US"/>
        </w:rPr>
        <w:t xml:space="preserve">, R. The </w:t>
      </w:r>
      <w:proofErr w:type="spellStart"/>
      <w:r w:rsidRPr="00004C23">
        <w:rPr>
          <w:rFonts w:ascii="Times New Roman" w:hAnsi="Times New Roman" w:cs="Times New Roman"/>
          <w:sz w:val="20"/>
          <w:szCs w:val="24"/>
          <w:lang w:val="en-US"/>
        </w:rPr>
        <w:t>Bataille's</w:t>
      </w:r>
      <w:proofErr w:type="spellEnd"/>
      <w:r w:rsidRPr="00004C23">
        <w:rPr>
          <w:rFonts w:ascii="Times New Roman" w:hAnsi="Times New Roman" w:cs="Times New Roman"/>
          <w:sz w:val="20"/>
          <w:szCs w:val="24"/>
          <w:lang w:val="en-US"/>
        </w:rPr>
        <w:t xml:space="preserve"> law: scientific research for nuclear wastes in Fra</w:t>
      </w:r>
      <w:r>
        <w:rPr>
          <w:rFonts w:ascii="Times New Roman" w:hAnsi="Times New Roman" w:cs="Times New Roman"/>
          <w:sz w:val="20"/>
          <w:szCs w:val="24"/>
          <w:lang w:val="en-US"/>
        </w:rPr>
        <w:t xml:space="preserve">nce. </w:t>
      </w:r>
      <w:proofErr w:type="spellStart"/>
      <w:r>
        <w:rPr>
          <w:rFonts w:ascii="Times New Roman" w:hAnsi="Times New Roman" w:cs="Times New Roman"/>
          <w:sz w:val="20"/>
          <w:szCs w:val="24"/>
          <w:lang w:val="en-US"/>
        </w:rPr>
        <w:t>L'Actualité</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chimique</w:t>
      </w:r>
      <w:proofErr w:type="spellEnd"/>
      <w:r>
        <w:rPr>
          <w:rFonts w:ascii="Times New Roman" w:hAnsi="Times New Roman" w:cs="Times New Roman"/>
          <w:sz w:val="20"/>
          <w:szCs w:val="24"/>
          <w:lang w:val="en-US"/>
        </w:rPr>
        <w:t>. 2005</w:t>
      </w:r>
    </w:p>
    <w:p w:rsidR="00004C23" w:rsidRPr="00004C23" w:rsidRDefault="00004C23" w:rsidP="00004C23">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[4]</w:t>
      </w:r>
      <w:r w:rsidRPr="00004C23">
        <w:rPr>
          <w:rFonts w:ascii="Times New Roman" w:hAnsi="Times New Roman" w:cs="Times New Roman"/>
          <w:sz w:val="20"/>
          <w:szCs w:val="24"/>
          <w:lang w:val="en-US"/>
        </w:rPr>
        <w:t xml:space="preserve"> Jean-Marc </w:t>
      </w:r>
      <w:proofErr w:type="spellStart"/>
      <w:r w:rsidRPr="00004C23">
        <w:rPr>
          <w:rFonts w:ascii="Times New Roman" w:hAnsi="Times New Roman" w:cs="Times New Roman"/>
          <w:sz w:val="20"/>
          <w:szCs w:val="24"/>
          <w:lang w:val="en-US"/>
        </w:rPr>
        <w:t>Bonnerot</w:t>
      </w:r>
      <w:proofErr w:type="spellEnd"/>
      <w:r w:rsidRPr="00004C23">
        <w:rPr>
          <w:rFonts w:ascii="Times New Roman" w:hAnsi="Times New Roman" w:cs="Times New Roman"/>
          <w:sz w:val="20"/>
          <w:szCs w:val="24"/>
          <w:lang w:val="en-US"/>
        </w:rPr>
        <w:t>, [et al.]. First results of the irradiation program of inert matrices, targets and fuels for minor actinides</w:t>
      </w:r>
      <w:r w:rsidR="00E84A3C">
        <w:rPr>
          <w:rFonts w:ascii="Times New Roman" w:hAnsi="Times New Roman" w:cs="Times New Roman"/>
          <w:sz w:val="20"/>
          <w:szCs w:val="24"/>
          <w:lang w:val="en-US"/>
        </w:rPr>
        <w:t xml:space="preserve"> transmutation in fast reactor.</w:t>
      </w:r>
      <w:r w:rsidRPr="00004C23">
        <w:rPr>
          <w:rFonts w:ascii="Times New Roman" w:hAnsi="Times New Roman" w:cs="Times New Roman"/>
          <w:sz w:val="20"/>
          <w:szCs w:val="24"/>
          <w:lang w:val="en-US"/>
        </w:rPr>
        <w:t xml:space="preserve"> </w:t>
      </w:r>
      <w:r>
        <w:rPr>
          <w:rFonts w:ascii="Times New Roman" w:hAnsi="Times New Roman" w:cs="Times New Roman"/>
          <w:sz w:val="20"/>
          <w:szCs w:val="24"/>
          <w:lang w:val="en-US"/>
        </w:rPr>
        <w:t>Montpellier</w:t>
      </w:r>
      <w:r w:rsidRPr="00004C23">
        <w:rPr>
          <w:rFonts w:ascii="Times New Roman" w:hAnsi="Times New Roman" w:cs="Times New Roman"/>
          <w:sz w:val="20"/>
          <w:szCs w:val="24"/>
          <w:lang w:val="en-US"/>
        </w:rPr>
        <w:t>, 2008</w:t>
      </w:r>
    </w:p>
    <w:p w:rsidR="00784298" w:rsidRPr="00004C23" w:rsidRDefault="00004C23" w:rsidP="00004C23">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[5]</w:t>
      </w:r>
      <w:r w:rsidRPr="00004C23">
        <w:rPr>
          <w:rFonts w:ascii="Times New Roman" w:hAnsi="Times New Roman" w:cs="Times New Roman"/>
          <w:sz w:val="20"/>
          <w:szCs w:val="24"/>
          <w:lang w:val="en-US"/>
        </w:rPr>
        <w:t xml:space="preserve"> E. </w:t>
      </w:r>
      <w:proofErr w:type="spellStart"/>
      <w:r w:rsidRPr="00004C23">
        <w:rPr>
          <w:rFonts w:ascii="Times New Roman" w:hAnsi="Times New Roman" w:cs="Times New Roman"/>
          <w:sz w:val="20"/>
          <w:szCs w:val="24"/>
          <w:lang w:val="en-US"/>
        </w:rPr>
        <w:t>Brunon</w:t>
      </w:r>
      <w:proofErr w:type="spellEnd"/>
      <w:r w:rsidRPr="00004C23">
        <w:rPr>
          <w:rFonts w:ascii="Times New Roman" w:hAnsi="Times New Roman" w:cs="Times New Roman"/>
          <w:sz w:val="20"/>
          <w:szCs w:val="24"/>
          <w:lang w:val="en-US"/>
        </w:rPr>
        <w:t>, [et al.]. THE FUTURIX-FTA EXPERIMENT IN PHÉNIX.</w:t>
      </w:r>
    </w:p>
    <w:p w:rsidR="001438BE" w:rsidRPr="00004C23" w:rsidRDefault="001438BE" w:rsidP="00E10FB7">
      <w:pPr>
        <w:spacing w:after="0" w:line="260" w:lineRule="atLeast"/>
        <w:jc w:val="both"/>
        <w:rPr>
          <w:rFonts w:ascii="Times New Roman" w:hAnsi="Times New Roman" w:cs="Times New Roman"/>
          <w:sz w:val="20"/>
          <w:szCs w:val="24"/>
          <w:lang w:val="en-US"/>
        </w:rPr>
      </w:pPr>
      <w:r w:rsidRPr="00004C23">
        <w:rPr>
          <w:rFonts w:ascii="Times New Roman" w:hAnsi="Times New Roman" w:cs="Times New Roman"/>
          <w:sz w:val="20"/>
          <w:szCs w:val="24"/>
          <w:lang w:val="en-US"/>
        </w:rPr>
        <w:t>[</w:t>
      </w:r>
      <w:r w:rsidR="00004C23">
        <w:rPr>
          <w:rFonts w:ascii="Times New Roman" w:hAnsi="Times New Roman" w:cs="Times New Roman"/>
          <w:sz w:val="20"/>
          <w:szCs w:val="24"/>
          <w:lang w:val="en-US"/>
        </w:rPr>
        <w:t>6</w:t>
      </w:r>
      <w:r w:rsidRPr="00004C23">
        <w:rPr>
          <w:rFonts w:ascii="Times New Roman" w:hAnsi="Times New Roman" w:cs="Times New Roman"/>
          <w:sz w:val="20"/>
          <w:szCs w:val="24"/>
          <w:lang w:val="en-US"/>
        </w:rPr>
        <w:t>]</w:t>
      </w:r>
      <w:r w:rsidR="00004C23" w:rsidRPr="00004C23">
        <w:rPr>
          <w:lang w:val="en-US"/>
        </w:rPr>
        <w:t xml:space="preserve"> </w:t>
      </w:r>
      <w:r w:rsidR="00004C23" w:rsidRPr="00004C23">
        <w:rPr>
          <w:rFonts w:ascii="Times New Roman" w:hAnsi="Times New Roman" w:cs="Times New Roman"/>
          <w:sz w:val="20"/>
          <w:szCs w:val="24"/>
          <w:lang w:val="en-US"/>
        </w:rPr>
        <w:t xml:space="preserve">Overview of the FUTURIX-FTA Irradiation Experiment in the </w:t>
      </w:r>
      <w:proofErr w:type="spellStart"/>
      <w:r w:rsidR="00004C23" w:rsidRPr="00004C23">
        <w:rPr>
          <w:rFonts w:ascii="Times New Roman" w:hAnsi="Times New Roman" w:cs="Times New Roman"/>
          <w:sz w:val="20"/>
          <w:szCs w:val="24"/>
          <w:lang w:val="en-US"/>
        </w:rPr>
        <w:t>Phénix</w:t>
      </w:r>
      <w:proofErr w:type="spellEnd"/>
      <w:r w:rsidR="00004C23" w:rsidRPr="00004C23">
        <w:rPr>
          <w:rFonts w:ascii="Times New Roman" w:hAnsi="Times New Roman" w:cs="Times New Roman"/>
          <w:sz w:val="20"/>
          <w:szCs w:val="24"/>
          <w:lang w:val="en-US"/>
        </w:rPr>
        <w:t xml:space="preserve"> Reactor. Heather J.</w:t>
      </w:r>
      <w:r w:rsidR="00E84A3C">
        <w:rPr>
          <w:rFonts w:ascii="Times New Roman" w:hAnsi="Times New Roman" w:cs="Times New Roman"/>
          <w:sz w:val="20"/>
          <w:szCs w:val="24"/>
          <w:lang w:val="en-US"/>
        </w:rPr>
        <w:t xml:space="preserve"> M. </w:t>
      </w:r>
      <w:proofErr w:type="spellStart"/>
      <w:r w:rsidR="00E84A3C">
        <w:rPr>
          <w:rFonts w:ascii="Times New Roman" w:hAnsi="Times New Roman" w:cs="Times New Roman"/>
          <w:sz w:val="20"/>
          <w:szCs w:val="24"/>
          <w:lang w:val="en-US"/>
        </w:rPr>
        <w:t>Chichester</w:t>
      </w:r>
      <w:proofErr w:type="spellEnd"/>
      <w:r w:rsidR="00E84A3C">
        <w:rPr>
          <w:rFonts w:ascii="Times New Roman" w:hAnsi="Times New Roman" w:cs="Times New Roman"/>
          <w:sz w:val="20"/>
          <w:szCs w:val="24"/>
          <w:lang w:val="en-US"/>
        </w:rPr>
        <w:t>, [et al.]. Paris</w:t>
      </w:r>
      <w:r w:rsidR="00004C23" w:rsidRPr="00004C23">
        <w:rPr>
          <w:rFonts w:ascii="Times New Roman" w:hAnsi="Times New Roman" w:cs="Times New Roman"/>
          <w:sz w:val="20"/>
          <w:szCs w:val="24"/>
          <w:lang w:val="en-US"/>
        </w:rPr>
        <w:t>: Global 2015, 2015. Paper 5268.</w:t>
      </w:r>
    </w:p>
    <w:p w:rsidR="00FF1ECE" w:rsidRDefault="00FF1ECE" w:rsidP="00E10FB7">
      <w:pPr>
        <w:spacing w:after="0" w:line="260" w:lineRule="atLeast"/>
        <w:jc w:val="both"/>
        <w:rPr>
          <w:rFonts w:ascii="Times New Roman" w:hAnsi="Times New Roman" w:cs="Times New Roman"/>
          <w:sz w:val="20"/>
          <w:szCs w:val="24"/>
          <w:lang w:val="en-US"/>
        </w:rPr>
      </w:pPr>
      <w:r w:rsidRPr="00004C23">
        <w:rPr>
          <w:rFonts w:ascii="Times New Roman" w:hAnsi="Times New Roman" w:cs="Times New Roman"/>
          <w:sz w:val="20"/>
          <w:szCs w:val="24"/>
          <w:lang w:val="en-US"/>
        </w:rPr>
        <w:t>[</w:t>
      </w:r>
      <w:r w:rsidR="00004C23">
        <w:rPr>
          <w:rFonts w:ascii="Times New Roman" w:hAnsi="Times New Roman" w:cs="Times New Roman"/>
          <w:sz w:val="20"/>
          <w:szCs w:val="24"/>
          <w:lang w:val="en-US"/>
        </w:rPr>
        <w:t>7</w:t>
      </w:r>
      <w:r w:rsidRPr="00004C23">
        <w:rPr>
          <w:rFonts w:ascii="Times New Roman" w:hAnsi="Times New Roman" w:cs="Times New Roman"/>
          <w:sz w:val="20"/>
          <w:szCs w:val="24"/>
          <w:lang w:val="en-US"/>
        </w:rPr>
        <w:t xml:space="preserve">] </w:t>
      </w:r>
      <w:r w:rsidR="00004C23" w:rsidRPr="00004C23">
        <w:rPr>
          <w:rFonts w:ascii="Times New Roman" w:hAnsi="Times New Roman" w:cs="Times New Roman"/>
          <w:sz w:val="20"/>
          <w:szCs w:val="24"/>
          <w:lang w:val="en-US"/>
        </w:rPr>
        <w:t xml:space="preserve">Tomonori SOGA, Takashi SEKINE, </w:t>
      </w:r>
      <w:proofErr w:type="spellStart"/>
      <w:r w:rsidR="00004C23" w:rsidRPr="00004C23">
        <w:rPr>
          <w:rFonts w:ascii="Times New Roman" w:hAnsi="Times New Roman" w:cs="Times New Roman"/>
          <w:sz w:val="20"/>
          <w:szCs w:val="24"/>
          <w:lang w:val="en-US"/>
        </w:rPr>
        <w:t>Kosuke</w:t>
      </w:r>
      <w:proofErr w:type="spellEnd"/>
      <w:r w:rsidR="00004C23" w:rsidRPr="00004C23">
        <w:rPr>
          <w:rFonts w:ascii="Times New Roman" w:hAnsi="Times New Roman" w:cs="Times New Roman"/>
          <w:sz w:val="20"/>
          <w:szCs w:val="24"/>
          <w:lang w:val="en-US"/>
        </w:rPr>
        <w:t xml:space="preserve"> TANAKA, Ryoichi KITAMURA, </w:t>
      </w:r>
      <w:proofErr w:type="spellStart"/>
      <w:r w:rsidR="00004C23" w:rsidRPr="00004C23">
        <w:rPr>
          <w:rFonts w:ascii="Times New Roman" w:hAnsi="Times New Roman" w:cs="Times New Roman"/>
          <w:sz w:val="20"/>
          <w:szCs w:val="24"/>
          <w:lang w:val="en-US"/>
        </w:rPr>
        <w:t>Takafumi</w:t>
      </w:r>
      <w:proofErr w:type="spellEnd"/>
      <w:r w:rsidR="00004C23" w:rsidRPr="00004C23">
        <w:rPr>
          <w:rFonts w:ascii="Times New Roman" w:hAnsi="Times New Roman" w:cs="Times New Roman"/>
          <w:sz w:val="20"/>
          <w:szCs w:val="24"/>
          <w:lang w:val="en-US"/>
        </w:rPr>
        <w:t xml:space="preserve"> AOYAMA. Irradiation Test of Fuel Containing Minor Actinides in the Experimental Fast Reactor Joyo. </w:t>
      </w:r>
      <w:proofErr w:type="spellStart"/>
      <w:proofErr w:type="gramStart"/>
      <w:r w:rsidR="00004C23" w:rsidRPr="00004C23">
        <w:rPr>
          <w:rFonts w:ascii="Times New Roman" w:hAnsi="Times New Roman" w:cs="Times New Roman"/>
          <w:sz w:val="20"/>
          <w:szCs w:val="24"/>
          <w:lang w:val="en-US"/>
        </w:rPr>
        <w:t>б.м</w:t>
      </w:r>
      <w:proofErr w:type="spellEnd"/>
      <w:r w:rsidR="00004C23" w:rsidRPr="00004C23">
        <w:rPr>
          <w:rFonts w:ascii="Times New Roman" w:hAnsi="Times New Roman" w:cs="Times New Roman"/>
          <w:sz w:val="20"/>
          <w:szCs w:val="24"/>
          <w:lang w:val="en-US"/>
        </w:rPr>
        <w:t>. :</w:t>
      </w:r>
      <w:proofErr w:type="gramEnd"/>
      <w:r w:rsidR="00004C23" w:rsidRPr="00004C23">
        <w:rPr>
          <w:rFonts w:ascii="Times New Roman" w:hAnsi="Times New Roman" w:cs="Times New Roman"/>
          <w:sz w:val="20"/>
          <w:szCs w:val="24"/>
          <w:lang w:val="en-US"/>
        </w:rPr>
        <w:t xml:space="preserve"> Journal of Power</w:t>
      </w:r>
      <w:r w:rsidR="00E84A3C">
        <w:rPr>
          <w:rFonts w:ascii="Times New Roman" w:hAnsi="Times New Roman" w:cs="Times New Roman"/>
          <w:sz w:val="20"/>
          <w:szCs w:val="24"/>
          <w:lang w:val="en-US"/>
        </w:rPr>
        <w:t xml:space="preserve"> and Energy Systems, 2008. ISSN</w:t>
      </w:r>
      <w:r w:rsidR="00004C23" w:rsidRPr="00004C23">
        <w:rPr>
          <w:rFonts w:ascii="Times New Roman" w:hAnsi="Times New Roman" w:cs="Times New Roman"/>
          <w:sz w:val="20"/>
          <w:szCs w:val="24"/>
          <w:lang w:val="en-US"/>
        </w:rPr>
        <w:t>: 1881-3062</w:t>
      </w:r>
    </w:p>
    <w:p w:rsidR="00E54074" w:rsidRDefault="00E54074" w:rsidP="00E10FB7">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[8]</w:t>
      </w:r>
      <w:r w:rsidRPr="00E54074">
        <w:rPr>
          <w:lang w:val="en-US"/>
        </w:rPr>
        <w:t xml:space="preserve"> </w:t>
      </w:r>
      <w:r w:rsidRPr="00E54074">
        <w:rPr>
          <w:rFonts w:ascii="Times New Roman" w:hAnsi="Times New Roman" w:cs="Times New Roman"/>
          <w:sz w:val="20"/>
          <w:szCs w:val="24"/>
          <w:lang w:val="en-US"/>
        </w:rPr>
        <w:t xml:space="preserve">INTERNATIONAL ATOMIC ENERGY AGENCY (IAEA). Status of Minor Actinide Fuel Development. </w:t>
      </w:r>
      <w:proofErr w:type="gramStart"/>
      <w:r w:rsidRPr="00E54074">
        <w:rPr>
          <w:rFonts w:ascii="Times New Roman" w:hAnsi="Times New Roman" w:cs="Times New Roman"/>
          <w:sz w:val="20"/>
          <w:szCs w:val="24"/>
          <w:lang w:val="en-US"/>
        </w:rPr>
        <w:t>VIENNA :</w:t>
      </w:r>
      <w:proofErr w:type="gramEnd"/>
      <w:r w:rsidRPr="00E54074">
        <w:rPr>
          <w:rFonts w:ascii="Times New Roman" w:hAnsi="Times New Roman" w:cs="Times New Roman"/>
          <w:sz w:val="20"/>
          <w:szCs w:val="24"/>
          <w:lang w:val="en-US"/>
        </w:rPr>
        <w:t xml:space="preserve"> IAEA, 2009. No. NF-T-4.6</w:t>
      </w:r>
    </w:p>
    <w:p w:rsidR="00E54074" w:rsidRDefault="00E54074" w:rsidP="00E10FB7">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 xml:space="preserve">[9] </w:t>
      </w:r>
      <w:proofErr w:type="spellStart"/>
      <w:r w:rsidR="00E84A3C" w:rsidRPr="00E84A3C">
        <w:rPr>
          <w:rFonts w:ascii="Times New Roman" w:hAnsi="Times New Roman" w:cs="Times New Roman"/>
          <w:sz w:val="20"/>
          <w:szCs w:val="24"/>
          <w:lang w:val="en-US"/>
        </w:rPr>
        <w:t>Realizaciya</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proekta</w:t>
      </w:r>
      <w:proofErr w:type="spellEnd"/>
      <w:r w:rsidR="00E84A3C" w:rsidRPr="00E84A3C">
        <w:rPr>
          <w:rFonts w:ascii="Times New Roman" w:hAnsi="Times New Roman" w:cs="Times New Roman"/>
          <w:sz w:val="20"/>
          <w:szCs w:val="24"/>
          <w:lang w:val="en-US"/>
        </w:rPr>
        <w:t xml:space="preserve"> EOTP </w:t>
      </w:r>
      <w:proofErr w:type="spellStart"/>
      <w:r w:rsidR="00E84A3C" w:rsidRPr="00E84A3C">
        <w:rPr>
          <w:rFonts w:ascii="Times New Roman" w:hAnsi="Times New Roman" w:cs="Times New Roman"/>
          <w:sz w:val="20"/>
          <w:szCs w:val="24"/>
          <w:lang w:val="en-US"/>
        </w:rPr>
        <w:t>i</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opyt</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fabrikacii</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topliva</w:t>
      </w:r>
      <w:proofErr w:type="spellEnd"/>
      <w:r w:rsidR="00E84A3C" w:rsidRPr="00E84A3C">
        <w:rPr>
          <w:rFonts w:ascii="Times New Roman" w:hAnsi="Times New Roman" w:cs="Times New Roman"/>
          <w:sz w:val="20"/>
          <w:szCs w:val="24"/>
          <w:lang w:val="en-US"/>
        </w:rPr>
        <w:t xml:space="preserve"> s </w:t>
      </w:r>
      <w:proofErr w:type="spellStart"/>
      <w:r w:rsidR="00E84A3C" w:rsidRPr="00E84A3C">
        <w:rPr>
          <w:rFonts w:ascii="Times New Roman" w:hAnsi="Times New Roman" w:cs="Times New Roman"/>
          <w:sz w:val="20"/>
          <w:szCs w:val="24"/>
          <w:lang w:val="en-US"/>
        </w:rPr>
        <w:t>minornymi</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aktinidami</w:t>
      </w:r>
      <w:proofErr w:type="spellEnd"/>
      <w:r w:rsidRPr="00E84A3C">
        <w:rPr>
          <w:rFonts w:ascii="Times New Roman" w:hAnsi="Times New Roman" w:cs="Times New Roman"/>
          <w:sz w:val="20"/>
          <w:szCs w:val="24"/>
          <w:lang w:val="en-US"/>
        </w:rPr>
        <w:t xml:space="preserve">. </w:t>
      </w:r>
      <w:r w:rsidR="00E84A3C">
        <w:rPr>
          <w:rFonts w:ascii="Times New Roman" w:hAnsi="Times New Roman" w:cs="Times New Roman"/>
          <w:sz w:val="20"/>
          <w:szCs w:val="24"/>
        </w:rPr>
        <w:t>S.S.</w:t>
      </w:r>
      <w:r w:rsidR="00E84A3C" w:rsidRPr="00E84A3C">
        <w:rPr>
          <w:rFonts w:ascii="Times New Roman" w:hAnsi="Times New Roman" w:cs="Times New Roman"/>
          <w:sz w:val="20"/>
          <w:szCs w:val="24"/>
        </w:rPr>
        <w:t xml:space="preserve"> </w:t>
      </w:r>
      <w:proofErr w:type="spellStart"/>
      <w:r w:rsidR="00E84A3C" w:rsidRPr="00E84A3C">
        <w:rPr>
          <w:rFonts w:ascii="Times New Roman" w:hAnsi="Times New Roman" w:cs="Times New Roman"/>
          <w:sz w:val="20"/>
          <w:szCs w:val="24"/>
        </w:rPr>
        <w:t>Poglyad</w:t>
      </w:r>
      <w:proofErr w:type="spellEnd"/>
      <w:r w:rsidRPr="00E54074">
        <w:rPr>
          <w:rFonts w:ascii="Times New Roman" w:hAnsi="Times New Roman" w:cs="Times New Roman"/>
          <w:sz w:val="20"/>
          <w:szCs w:val="24"/>
        </w:rPr>
        <w:t>.</w:t>
      </w:r>
      <w:r w:rsidRPr="00E54074">
        <w:rPr>
          <w:rFonts w:ascii="Times New Roman" w:hAnsi="Times New Roman" w:cs="Times New Roman"/>
          <w:sz w:val="20"/>
          <w:szCs w:val="24"/>
          <w:lang w:val="en-US"/>
        </w:rPr>
        <w:t>, 2019.</w:t>
      </w:r>
      <w:r w:rsid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 xml:space="preserve">(in </w:t>
      </w:r>
      <w:r w:rsidR="00E84A3C">
        <w:rPr>
          <w:rFonts w:ascii="Times New Roman" w:hAnsi="Times New Roman" w:cs="Times New Roman"/>
          <w:sz w:val="20"/>
          <w:szCs w:val="24"/>
          <w:lang w:val="en-US"/>
        </w:rPr>
        <w:t>R</w:t>
      </w:r>
      <w:r w:rsidR="00E84A3C" w:rsidRPr="00E84A3C">
        <w:rPr>
          <w:rFonts w:ascii="Times New Roman" w:hAnsi="Times New Roman" w:cs="Times New Roman"/>
          <w:sz w:val="20"/>
          <w:szCs w:val="24"/>
          <w:lang w:val="en-US"/>
        </w:rPr>
        <w:t>ussian)</w:t>
      </w:r>
    </w:p>
    <w:p w:rsidR="00E54074" w:rsidRPr="00395AEA" w:rsidRDefault="00E54074" w:rsidP="00E54074">
      <w:pPr>
        <w:spacing w:after="0" w:line="260" w:lineRule="atLeast"/>
        <w:jc w:val="both"/>
        <w:rPr>
          <w:rFonts w:ascii="Times New Roman" w:hAnsi="Times New Roman" w:cs="Times New Roman"/>
          <w:sz w:val="20"/>
          <w:szCs w:val="24"/>
        </w:rPr>
      </w:pPr>
      <w:r>
        <w:rPr>
          <w:rFonts w:ascii="Times New Roman" w:hAnsi="Times New Roman" w:cs="Times New Roman"/>
          <w:sz w:val="20"/>
          <w:szCs w:val="24"/>
          <w:lang w:val="en-US"/>
        </w:rPr>
        <w:t>[10] Idaho National Laboratory</w:t>
      </w:r>
      <w:r w:rsidRPr="00E54074">
        <w:rPr>
          <w:rFonts w:ascii="Times New Roman" w:hAnsi="Times New Roman" w:cs="Times New Roman"/>
          <w:sz w:val="20"/>
          <w:szCs w:val="24"/>
          <w:lang w:val="en-US"/>
        </w:rPr>
        <w:t>.</w:t>
      </w:r>
      <w:r>
        <w:rPr>
          <w:rFonts w:ascii="Times New Roman" w:hAnsi="Times New Roman" w:cs="Times New Roman"/>
          <w:sz w:val="20"/>
          <w:szCs w:val="24"/>
          <w:lang w:val="en-US"/>
        </w:rPr>
        <w:t xml:space="preserve"> </w:t>
      </w:r>
      <w:r w:rsidRPr="00E54074">
        <w:rPr>
          <w:rFonts w:ascii="Times New Roman" w:hAnsi="Times New Roman" w:cs="Times New Roman"/>
          <w:sz w:val="20"/>
          <w:szCs w:val="24"/>
          <w:lang w:val="en-US"/>
        </w:rPr>
        <w:t>The EBR-II X501 Mi</w:t>
      </w:r>
      <w:r w:rsidR="00E84A3C">
        <w:rPr>
          <w:rFonts w:ascii="Times New Roman" w:hAnsi="Times New Roman" w:cs="Times New Roman"/>
          <w:sz w:val="20"/>
          <w:szCs w:val="24"/>
          <w:lang w:val="en-US"/>
        </w:rPr>
        <w:t>nor Actinide Burning Experiment</w:t>
      </w:r>
      <w:r w:rsidRPr="00E54074">
        <w:rPr>
          <w:rFonts w:ascii="Times New Roman" w:hAnsi="Times New Roman" w:cs="Times New Roman"/>
          <w:sz w:val="20"/>
          <w:szCs w:val="24"/>
          <w:lang w:val="en-US"/>
        </w:rPr>
        <w:t>. Idaho</w:t>
      </w:r>
      <w:r w:rsidRPr="00E84A3C">
        <w:rPr>
          <w:rFonts w:ascii="Times New Roman" w:hAnsi="Times New Roman" w:cs="Times New Roman"/>
          <w:sz w:val="20"/>
          <w:szCs w:val="24"/>
          <w:lang w:val="en-US"/>
        </w:rPr>
        <w:t xml:space="preserve">: </w:t>
      </w:r>
      <w:r w:rsidRPr="00E54074">
        <w:rPr>
          <w:rFonts w:ascii="Times New Roman" w:hAnsi="Times New Roman" w:cs="Times New Roman"/>
          <w:sz w:val="20"/>
          <w:szCs w:val="24"/>
          <w:lang w:val="en-US"/>
        </w:rPr>
        <w:t>INL</w:t>
      </w:r>
      <w:r w:rsidRPr="00E84A3C">
        <w:rPr>
          <w:rFonts w:ascii="Times New Roman" w:hAnsi="Times New Roman" w:cs="Times New Roman"/>
          <w:sz w:val="20"/>
          <w:szCs w:val="24"/>
          <w:lang w:val="en-US"/>
        </w:rPr>
        <w:t xml:space="preserve">, 2008. </w:t>
      </w:r>
      <w:r w:rsidRPr="00E54074">
        <w:rPr>
          <w:rFonts w:ascii="Times New Roman" w:hAnsi="Times New Roman" w:cs="Times New Roman"/>
          <w:sz w:val="20"/>
          <w:szCs w:val="24"/>
          <w:lang w:val="en-US"/>
        </w:rPr>
        <w:t>INL</w:t>
      </w:r>
      <w:r w:rsidRPr="00395AEA">
        <w:rPr>
          <w:rFonts w:ascii="Times New Roman" w:hAnsi="Times New Roman" w:cs="Times New Roman"/>
          <w:sz w:val="20"/>
          <w:szCs w:val="24"/>
        </w:rPr>
        <w:t>/</w:t>
      </w:r>
      <w:r w:rsidRPr="00E54074">
        <w:rPr>
          <w:rFonts w:ascii="Times New Roman" w:hAnsi="Times New Roman" w:cs="Times New Roman"/>
          <w:sz w:val="20"/>
          <w:szCs w:val="24"/>
          <w:lang w:val="en-US"/>
        </w:rPr>
        <w:t>CON</w:t>
      </w:r>
      <w:r w:rsidRPr="00395AEA">
        <w:rPr>
          <w:rFonts w:ascii="Times New Roman" w:hAnsi="Times New Roman" w:cs="Times New Roman"/>
          <w:sz w:val="20"/>
          <w:szCs w:val="24"/>
        </w:rPr>
        <w:t xml:space="preserve">-08-13828 </w:t>
      </w:r>
      <w:r w:rsidRPr="00E54074">
        <w:rPr>
          <w:rFonts w:ascii="Times New Roman" w:hAnsi="Times New Roman" w:cs="Times New Roman"/>
          <w:sz w:val="20"/>
          <w:szCs w:val="24"/>
          <w:lang w:val="en-US"/>
        </w:rPr>
        <w:t>PREPRINT</w:t>
      </w:r>
      <w:r w:rsidRPr="00395AEA">
        <w:rPr>
          <w:rFonts w:ascii="Times New Roman" w:hAnsi="Times New Roman" w:cs="Times New Roman"/>
          <w:sz w:val="20"/>
          <w:szCs w:val="24"/>
        </w:rPr>
        <w:t>.</w:t>
      </w:r>
    </w:p>
    <w:p w:rsidR="003265F5" w:rsidRPr="00E84A3C" w:rsidRDefault="003265F5" w:rsidP="00E84A3C">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 xml:space="preserve">[11] </w:t>
      </w:r>
      <w:proofErr w:type="spellStart"/>
      <w:r w:rsidR="00E84A3C" w:rsidRPr="00E84A3C">
        <w:rPr>
          <w:rFonts w:ascii="Times New Roman" w:hAnsi="Times New Roman" w:cs="Times New Roman"/>
          <w:sz w:val="20"/>
          <w:szCs w:val="24"/>
          <w:lang w:val="en-US"/>
        </w:rPr>
        <w:t>Korobeinikov</w:t>
      </w:r>
      <w:proofErr w:type="spellEnd"/>
      <w:r w:rsidR="00E84A3C" w:rsidRPr="00E84A3C">
        <w:rPr>
          <w:rFonts w:ascii="Times New Roman" w:hAnsi="Times New Roman" w:cs="Times New Roman"/>
          <w:sz w:val="20"/>
          <w:szCs w:val="24"/>
          <w:lang w:val="en-US"/>
        </w:rPr>
        <w:t xml:space="preserve"> V.V., </w:t>
      </w:r>
      <w:proofErr w:type="spellStart"/>
      <w:r w:rsidR="00E84A3C" w:rsidRPr="00E84A3C">
        <w:rPr>
          <w:rFonts w:ascii="Times New Roman" w:hAnsi="Times New Roman" w:cs="Times New Roman"/>
          <w:sz w:val="20"/>
          <w:szCs w:val="24"/>
          <w:lang w:val="en-US"/>
        </w:rPr>
        <w:t>Karazhelevskaya</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Yu.E</w:t>
      </w:r>
      <w:proofErr w:type="spellEnd"/>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Kolesov</w:t>
      </w:r>
      <w:proofErr w:type="spellEnd"/>
      <w:r w:rsidR="00E84A3C" w:rsidRPr="00E84A3C">
        <w:rPr>
          <w:rFonts w:ascii="Times New Roman" w:hAnsi="Times New Roman" w:cs="Times New Roman"/>
          <w:sz w:val="20"/>
          <w:szCs w:val="24"/>
          <w:lang w:val="en-US"/>
        </w:rPr>
        <w:t xml:space="preserve"> V.V., </w:t>
      </w:r>
      <w:proofErr w:type="spellStart"/>
      <w:r w:rsidR="00E84A3C" w:rsidRPr="00E84A3C">
        <w:rPr>
          <w:rFonts w:ascii="Times New Roman" w:hAnsi="Times New Roman" w:cs="Times New Roman"/>
          <w:sz w:val="20"/>
          <w:szCs w:val="24"/>
          <w:lang w:val="en-US"/>
        </w:rPr>
        <w:t>Terekhova</w:t>
      </w:r>
      <w:proofErr w:type="spellEnd"/>
      <w:r w:rsidR="00E84A3C" w:rsidRPr="00E84A3C">
        <w:rPr>
          <w:rFonts w:ascii="Times New Roman" w:hAnsi="Times New Roman" w:cs="Times New Roman"/>
          <w:sz w:val="20"/>
          <w:szCs w:val="24"/>
          <w:lang w:val="en-US"/>
        </w:rPr>
        <w:t xml:space="preserve"> A.M.</w:t>
      </w:r>
      <w:r w:rsidRPr="00E84A3C">
        <w:rPr>
          <w:rFonts w:ascii="Times New Roman" w:hAnsi="Times New Roman" w:cs="Times New Roman"/>
          <w:sz w:val="20"/>
          <w:szCs w:val="24"/>
          <w:lang w:val="en-US"/>
        </w:rPr>
        <w:t xml:space="preserve"> </w:t>
      </w:r>
      <w:r w:rsidR="00E84A3C">
        <w:rPr>
          <w:rFonts w:ascii="Times New Roman" w:hAnsi="Times New Roman" w:cs="Times New Roman"/>
          <w:sz w:val="20"/>
          <w:szCs w:val="24"/>
          <w:lang w:val="en-US"/>
        </w:rPr>
        <w:t>I</w:t>
      </w:r>
      <w:r w:rsidR="00E84A3C" w:rsidRPr="00E84A3C">
        <w:rPr>
          <w:rFonts w:ascii="Times New Roman" w:hAnsi="Times New Roman" w:cs="Times New Roman"/>
          <w:sz w:val="20"/>
          <w:szCs w:val="24"/>
          <w:lang w:val="en-US"/>
        </w:rPr>
        <w:t>nvesti</w:t>
      </w:r>
      <w:r w:rsidR="00E84A3C">
        <w:rPr>
          <w:rFonts w:ascii="Times New Roman" w:hAnsi="Times New Roman" w:cs="Times New Roman"/>
          <w:sz w:val="20"/>
          <w:szCs w:val="24"/>
          <w:lang w:val="en-US"/>
        </w:rPr>
        <w:t>gation of the possibility of Am-</w:t>
      </w:r>
      <w:r w:rsidR="00E84A3C" w:rsidRPr="00E84A3C">
        <w:rPr>
          <w:rFonts w:ascii="Times New Roman" w:hAnsi="Times New Roman" w:cs="Times New Roman"/>
          <w:sz w:val="20"/>
          <w:szCs w:val="24"/>
          <w:lang w:val="en-US"/>
        </w:rPr>
        <w:t xml:space="preserve">241 </w:t>
      </w:r>
      <w:r w:rsidR="00E84A3C" w:rsidRPr="00E84A3C">
        <w:rPr>
          <w:rFonts w:ascii="Times New Roman" w:hAnsi="Times New Roman" w:cs="Times New Roman"/>
          <w:sz w:val="20"/>
          <w:szCs w:val="24"/>
          <w:lang w:val="en-US"/>
        </w:rPr>
        <w:t>incineration</w:t>
      </w:r>
      <w:r w:rsidR="00E84A3C">
        <w:rPr>
          <w:rFonts w:ascii="Times New Roman" w:hAnsi="Times New Roman" w:cs="Times New Roman"/>
          <w:sz w:val="20"/>
          <w:szCs w:val="24"/>
          <w:lang w:val="en-US"/>
        </w:rPr>
        <w:t xml:space="preserve"> and transmutation in </w:t>
      </w:r>
      <w:proofErr w:type="spellStart"/>
      <w:r w:rsidR="00E84A3C">
        <w:rPr>
          <w:rFonts w:ascii="Times New Roman" w:hAnsi="Times New Roman" w:cs="Times New Roman"/>
          <w:sz w:val="20"/>
          <w:szCs w:val="24"/>
          <w:lang w:val="en-US"/>
        </w:rPr>
        <w:t>ameritium</w:t>
      </w:r>
      <w:proofErr w:type="spellEnd"/>
      <w:r w:rsidR="00E84A3C">
        <w:rPr>
          <w:rFonts w:ascii="Times New Roman" w:hAnsi="Times New Roman" w:cs="Times New Roman"/>
          <w:sz w:val="20"/>
          <w:szCs w:val="24"/>
          <w:lang w:val="en-US"/>
        </w:rPr>
        <w:t>-</w:t>
      </w:r>
      <w:r w:rsidR="00E84A3C" w:rsidRPr="00E84A3C">
        <w:rPr>
          <w:rFonts w:ascii="Times New Roman" w:hAnsi="Times New Roman" w:cs="Times New Roman"/>
          <w:sz w:val="20"/>
          <w:szCs w:val="24"/>
          <w:lang w:val="en-US"/>
        </w:rPr>
        <w:t>fueled reactor</w:t>
      </w:r>
      <w:r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rPr>
        <w:t>Nuclear</w:t>
      </w:r>
      <w:proofErr w:type="spellEnd"/>
      <w:r w:rsidR="00E84A3C" w:rsidRPr="00E84A3C">
        <w:rPr>
          <w:rFonts w:ascii="Times New Roman" w:hAnsi="Times New Roman" w:cs="Times New Roman"/>
          <w:sz w:val="20"/>
          <w:szCs w:val="24"/>
        </w:rPr>
        <w:t xml:space="preserve"> </w:t>
      </w:r>
      <w:proofErr w:type="spellStart"/>
      <w:r w:rsidR="00E84A3C" w:rsidRPr="00E84A3C">
        <w:rPr>
          <w:rFonts w:ascii="Times New Roman" w:hAnsi="Times New Roman" w:cs="Times New Roman"/>
          <w:sz w:val="20"/>
          <w:szCs w:val="24"/>
        </w:rPr>
        <w:t>Energy</w:t>
      </w:r>
      <w:proofErr w:type="spellEnd"/>
      <w:r w:rsidR="00E84A3C" w:rsidRPr="00E84A3C">
        <w:rPr>
          <w:rFonts w:ascii="Times New Roman" w:hAnsi="Times New Roman" w:cs="Times New Roman"/>
          <w:sz w:val="20"/>
          <w:szCs w:val="24"/>
        </w:rPr>
        <w:t xml:space="preserve"> </w:t>
      </w:r>
      <w:proofErr w:type="spellStart"/>
      <w:r w:rsidR="00E84A3C" w:rsidRPr="00E84A3C">
        <w:rPr>
          <w:rFonts w:ascii="Times New Roman" w:hAnsi="Times New Roman" w:cs="Times New Roman"/>
          <w:sz w:val="20"/>
          <w:szCs w:val="24"/>
        </w:rPr>
        <w:t>and</w:t>
      </w:r>
      <w:proofErr w:type="spellEnd"/>
      <w:r w:rsidR="00E84A3C" w:rsidRPr="00E84A3C">
        <w:rPr>
          <w:rFonts w:ascii="Times New Roman" w:hAnsi="Times New Roman" w:cs="Times New Roman"/>
          <w:sz w:val="20"/>
          <w:szCs w:val="24"/>
        </w:rPr>
        <w:t xml:space="preserve"> </w:t>
      </w:r>
      <w:proofErr w:type="spellStart"/>
      <w:r w:rsidR="00E84A3C" w:rsidRPr="00E84A3C">
        <w:rPr>
          <w:rFonts w:ascii="Times New Roman" w:hAnsi="Times New Roman" w:cs="Times New Roman"/>
          <w:sz w:val="20"/>
          <w:szCs w:val="24"/>
        </w:rPr>
        <w:t>Technology</w:t>
      </w:r>
      <w:proofErr w:type="spellEnd"/>
      <w:r w:rsidR="00E84A3C">
        <w:rPr>
          <w:rFonts w:ascii="Times New Roman" w:hAnsi="Times New Roman" w:cs="Times New Roman"/>
          <w:sz w:val="20"/>
          <w:szCs w:val="24"/>
          <w:lang w:val="en-US"/>
        </w:rPr>
        <w:t xml:space="preserve">. </w:t>
      </w:r>
      <w:r w:rsidRPr="00E84A3C">
        <w:rPr>
          <w:rFonts w:ascii="Times New Roman" w:hAnsi="Times New Roman" w:cs="Times New Roman"/>
          <w:sz w:val="20"/>
          <w:szCs w:val="24"/>
        </w:rPr>
        <w:t>2019, 2.</w:t>
      </w:r>
      <w:r w:rsid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 xml:space="preserve">(in </w:t>
      </w:r>
      <w:r w:rsidR="00E84A3C">
        <w:rPr>
          <w:rFonts w:ascii="Times New Roman" w:hAnsi="Times New Roman" w:cs="Times New Roman"/>
          <w:sz w:val="20"/>
          <w:szCs w:val="24"/>
          <w:lang w:val="en-US"/>
        </w:rPr>
        <w:t>R</w:t>
      </w:r>
      <w:r w:rsidR="00E84A3C" w:rsidRPr="00E84A3C">
        <w:rPr>
          <w:rFonts w:ascii="Times New Roman" w:hAnsi="Times New Roman" w:cs="Times New Roman"/>
          <w:sz w:val="20"/>
          <w:szCs w:val="24"/>
          <w:lang w:val="en-US"/>
        </w:rPr>
        <w:t>ussian)</w:t>
      </w:r>
    </w:p>
    <w:p w:rsidR="003265F5" w:rsidRPr="00E84A3C" w:rsidRDefault="003265F5" w:rsidP="00E54074">
      <w:pPr>
        <w:spacing w:after="0" w:line="260" w:lineRule="atLeast"/>
        <w:jc w:val="both"/>
        <w:rPr>
          <w:rFonts w:ascii="Times New Roman" w:hAnsi="Times New Roman" w:cs="Times New Roman"/>
          <w:sz w:val="20"/>
          <w:szCs w:val="24"/>
          <w:lang w:val="en-US"/>
        </w:rPr>
      </w:pPr>
      <w:r w:rsidRPr="003265F5">
        <w:rPr>
          <w:rFonts w:ascii="Times New Roman" w:hAnsi="Times New Roman" w:cs="Times New Roman"/>
          <w:sz w:val="20"/>
          <w:szCs w:val="24"/>
        </w:rPr>
        <w:t xml:space="preserve">[12] </w:t>
      </w:r>
      <w:r w:rsidR="00E84A3C" w:rsidRPr="00E84A3C">
        <w:rPr>
          <w:rFonts w:ascii="Times New Roman" w:hAnsi="Times New Roman" w:cs="Times New Roman"/>
          <w:sz w:val="20"/>
          <w:szCs w:val="24"/>
        </w:rPr>
        <w:t>PROEKT «PRORYV»: ZADACHI, SOSTOYANIE I PROGRAMMA RABOT V CHASTI TEKHNOLOGIJ TRANSMUTACII MINORNYH AKTINIDOV</w:t>
      </w:r>
      <w:r w:rsidRPr="003265F5">
        <w:rPr>
          <w:rFonts w:ascii="Times New Roman" w:hAnsi="Times New Roman" w:cs="Times New Roman"/>
          <w:sz w:val="20"/>
          <w:szCs w:val="24"/>
        </w:rPr>
        <w:t xml:space="preserve">. </w:t>
      </w:r>
      <w:r w:rsidR="00E84A3C">
        <w:rPr>
          <w:rFonts w:ascii="Times New Roman" w:hAnsi="Times New Roman" w:cs="Times New Roman"/>
          <w:sz w:val="20"/>
          <w:szCs w:val="24"/>
          <w:lang w:val="en-US"/>
        </w:rPr>
        <w:t>Y</w:t>
      </w:r>
      <w:r w:rsidR="00E84A3C" w:rsidRPr="00E84A3C">
        <w:rPr>
          <w:rFonts w:ascii="Times New Roman" w:hAnsi="Times New Roman" w:cs="Times New Roman"/>
          <w:sz w:val="20"/>
          <w:szCs w:val="24"/>
          <w:lang w:val="en-US"/>
        </w:rPr>
        <w:t xml:space="preserve">. </w:t>
      </w:r>
      <w:proofErr w:type="spellStart"/>
      <w:r w:rsidR="00E84A3C" w:rsidRPr="00E84A3C">
        <w:rPr>
          <w:rFonts w:ascii="Times New Roman" w:hAnsi="Times New Roman" w:cs="Times New Roman"/>
          <w:sz w:val="20"/>
          <w:szCs w:val="24"/>
          <w:lang w:val="en-US"/>
        </w:rPr>
        <w:t>Homyakov</w:t>
      </w:r>
      <w:proofErr w:type="spellEnd"/>
      <w:r w:rsidRPr="00E84A3C">
        <w:rPr>
          <w:rFonts w:ascii="Times New Roman" w:hAnsi="Times New Roman" w:cs="Times New Roman"/>
          <w:sz w:val="20"/>
          <w:szCs w:val="24"/>
          <w:lang w:val="en-US"/>
        </w:rPr>
        <w:t>, 2019</w:t>
      </w:r>
      <w:r w:rsid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 xml:space="preserve">(in </w:t>
      </w:r>
      <w:r w:rsidR="00E84A3C">
        <w:rPr>
          <w:rFonts w:ascii="Times New Roman" w:hAnsi="Times New Roman" w:cs="Times New Roman"/>
          <w:sz w:val="20"/>
          <w:szCs w:val="24"/>
          <w:lang w:val="en-US"/>
        </w:rPr>
        <w:t>R</w:t>
      </w:r>
      <w:r w:rsidR="00E84A3C" w:rsidRPr="00E84A3C">
        <w:rPr>
          <w:rFonts w:ascii="Times New Roman" w:hAnsi="Times New Roman" w:cs="Times New Roman"/>
          <w:sz w:val="20"/>
          <w:szCs w:val="24"/>
          <w:lang w:val="en-US"/>
        </w:rPr>
        <w:t>ussian</w:t>
      </w:r>
      <w:r w:rsidR="00E84A3C" w:rsidRPr="00E84A3C">
        <w:rPr>
          <w:rFonts w:ascii="Times New Roman" w:hAnsi="Times New Roman" w:cs="Times New Roman"/>
          <w:sz w:val="20"/>
          <w:szCs w:val="24"/>
          <w:lang w:val="en-US"/>
        </w:rPr>
        <w:t>)</w:t>
      </w:r>
    </w:p>
    <w:p w:rsidR="000A3E15" w:rsidRPr="00395AEA" w:rsidRDefault="000A3E15" w:rsidP="00E54074">
      <w:pPr>
        <w:spacing w:after="0" w:line="260" w:lineRule="atLeast"/>
        <w:jc w:val="both"/>
        <w:rPr>
          <w:rFonts w:ascii="Times New Roman" w:hAnsi="Times New Roman" w:cs="Times New Roman"/>
          <w:sz w:val="20"/>
          <w:szCs w:val="24"/>
        </w:rPr>
      </w:pPr>
      <w:r w:rsidRPr="00E84A3C">
        <w:rPr>
          <w:rFonts w:ascii="Times New Roman" w:hAnsi="Times New Roman" w:cs="Times New Roman"/>
          <w:sz w:val="20"/>
          <w:szCs w:val="24"/>
          <w:lang w:val="en-US"/>
        </w:rPr>
        <w:t xml:space="preserve">[13] </w:t>
      </w:r>
      <w:proofErr w:type="spellStart"/>
      <w:r w:rsidR="00E84A3C" w:rsidRPr="00E84A3C">
        <w:rPr>
          <w:rFonts w:ascii="Times New Roman" w:hAnsi="Times New Roman" w:cs="Times New Roman"/>
          <w:sz w:val="20"/>
          <w:szCs w:val="24"/>
          <w:lang w:val="en-US"/>
        </w:rPr>
        <w:t>Degtyarev</w:t>
      </w:r>
      <w:proofErr w:type="spellEnd"/>
      <w:r w:rsidR="00E84A3C" w:rsidRPr="00E84A3C">
        <w:rPr>
          <w:rFonts w:ascii="Times New Roman" w:hAnsi="Times New Roman" w:cs="Times New Roman"/>
          <w:sz w:val="20"/>
          <w:szCs w:val="24"/>
          <w:lang w:val="en-US"/>
        </w:rPr>
        <w:t xml:space="preserve">, A.M., </w:t>
      </w:r>
      <w:proofErr w:type="spellStart"/>
      <w:r w:rsidR="00E84A3C" w:rsidRPr="00E84A3C">
        <w:rPr>
          <w:rFonts w:ascii="Times New Roman" w:hAnsi="Times New Roman" w:cs="Times New Roman"/>
          <w:sz w:val="20"/>
          <w:szCs w:val="24"/>
          <w:lang w:val="en-US"/>
        </w:rPr>
        <w:t>Ponomarev</w:t>
      </w:r>
      <w:proofErr w:type="spellEnd"/>
      <w:r w:rsidR="00E84A3C" w:rsidRPr="00E84A3C">
        <w:rPr>
          <w:rFonts w:ascii="Times New Roman" w:hAnsi="Times New Roman" w:cs="Times New Roman"/>
          <w:sz w:val="20"/>
          <w:szCs w:val="24"/>
          <w:lang w:val="en-US"/>
        </w:rPr>
        <w:t xml:space="preserve">, L.I. </w:t>
      </w:r>
      <w:proofErr w:type="spellStart"/>
      <w:r w:rsidR="00E84A3C" w:rsidRPr="00E84A3C">
        <w:rPr>
          <w:rFonts w:ascii="Times New Roman" w:hAnsi="Times New Roman" w:cs="Times New Roman"/>
          <w:sz w:val="20"/>
          <w:szCs w:val="24"/>
          <w:lang w:val="en-US"/>
        </w:rPr>
        <w:t>LiF</w:t>
      </w:r>
      <w:proofErr w:type="spellEnd"/>
      <w:r w:rsidR="00E84A3C" w:rsidRPr="00E84A3C">
        <w:rPr>
          <w:rFonts w:ascii="Times New Roman" w:hAnsi="Times New Roman" w:cs="Times New Roman"/>
          <w:sz w:val="20"/>
          <w:szCs w:val="24"/>
          <w:lang w:val="en-US"/>
        </w:rPr>
        <w:t>–</w:t>
      </w:r>
      <w:proofErr w:type="spellStart"/>
      <w:r w:rsidR="00E84A3C" w:rsidRPr="00E84A3C">
        <w:rPr>
          <w:rFonts w:ascii="Times New Roman" w:hAnsi="Times New Roman" w:cs="Times New Roman"/>
          <w:sz w:val="20"/>
          <w:szCs w:val="24"/>
          <w:lang w:val="en-US"/>
        </w:rPr>
        <w:t>NaF</w:t>
      </w:r>
      <w:proofErr w:type="spellEnd"/>
      <w:r w:rsidR="00E84A3C" w:rsidRPr="00E84A3C">
        <w:rPr>
          <w:rFonts w:ascii="Times New Roman" w:hAnsi="Times New Roman" w:cs="Times New Roman"/>
          <w:sz w:val="20"/>
          <w:szCs w:val="24"/>
          <w:lang w:val="en-US"/>
        </w:rPr>
        <w:t>–KF Molten salt reactor with a fast neutron spectrum. At Energy 112, 451–453 (2012</w:t>
      </w:r>
      <w:r w:rsidR="00E84A3C" w:rsidRPr="00E84A3C">
        <w:rPr>
          <w:rFonts w:ascii="Times New Roman" w:hAnsi="Times New Roman" w:cs="Times New Roman"/>
          <w:sz w:val="20"/>
          <w:szCs w:val="24"/>
        </w:rPr>
        <w:t>)</w:t>
      </w:r>
    </w:p>
    <w:p w:rsidR="003265F5" w:rsidRPr="00E84A3C" w:rsidRDefault="000A3E15" w:rsidP="00E54074">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 xml:space="preserve">[14] </w:t>
      </w:r>
      <w:r w:rsidR="00E84A3C" w:rsidRPr="00E84A3C">
        <w:rPr>
          <w:rFonts w:ascii="Times New Roman" w:hAnsi="Times New Roman" w:cs="Times New Roman"/>
          <w:sz w:val="20"/>
          <w:szCs w:val="24"/>
          <w:lang w:val="en-US"/>
        </w:rPr>
        <w:t>B.V. KUTEEV, V.I. KHRIPUNOV</w:t>
      </w:r>
      <w:r w:rsidRP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CURRENT VIEW ON THE HYBRID FUSION REACTOR</w:t>
      </w:r>
      <w:r w:rsidRPr="00E84A3C">
        <w:rPr>
          <w:rFonts w:ascii="Times New Roman" w:hAnsi="Times New Roman" w:cs="Times New Roman"/>
          <w:sz w:val="20"/>
          <w:szCs w:val="24"/>
          <w:lang w:val="en-US"/>
        </w:rPr>
        <w:t xml:space="preserve">. </w:t>
      </w:r>
      <w:r w:rsidR="00E84A3C" w:rsidRPr="00E84A3C">
        <w:rPr>
          <w:rFonts w:ascii="Times New Roman" w:hAnsi="Times New Roman" w:cs="Times New Roman"/>
          <w:sz w:val="20"/>
          <w:szCs w:val="24"/>
          <w:lang w:val="en-US"/>
        </w:rPr>
        <w:t>VANT. Thermonuclear fusion. 2009</w:t>
      </w:r>
      <w:r w:rsidRPr="00E84A3C">
        <w:rPr>
          <w:rFonts w:ascii="Times New Roman" w:hAnsi="Times New Roman" w:cs="Times New Roman"/>
          <w:sz w:val="20"/>
          <w:szCs w:val="24"/>
          <w:lang w:val="en-US"/>
        </w:rPr>
        <w:t>, 1.</w:t>
      </w:r>
    </w:p>
    <w:p w:rsidR="00DF6E3D" w:rsidRDefault="00DF6E3D" w:rsidP="00E54074">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lastRenderedPageBreak/>
        <w:t xml:space="preserve">[15] </w:t>
      </w:r>
      <w:r w:rsidRPr="00DF6E3D">
        <w:rPr>
          <w:rFonts w:ascii="Times New Roman" w:hAnsi="Times New Roman" w:cs="Times New Roman"/>
          <w:sz w:val="20"/>
          <w:szCs w:val="24"/>
          <w:lang w:val="en-US"/>
        </w:rPr>
        <w:t>Mikhail</w:t>
      </w:r>
      <w:r w:rsidRPr="00E84A3C">
        <w:rPr>
          <w:rFonts w:ascii="Times New Roman" w:hAnsi="Times New Roman" w:cs="Times New Roman"/>
          <w:sz w:val="20"/>
          <w:szCs w:val="24"/>
          <w:lang w:val="en-US"/>
        </w:rPr>
        <w:t xml:space="preserve"> </w:t>
      </w:r>
      <w:proofErr w:type="spellStart"/>
      <w:r w:rsidRPr="00DF6E3D">
        <w:rPr>
          <w:rFonts w:ascii="Times New Roman" w:hAnsi="Times New Roman" w:cs="Times New Roman"/>
          <w:sz w:val="20"/>
          <w:szCs w:val="24"/>
          <w:lang w:val="en-US"/>
        </w:rPr>
        <w:t>Shlenskii</w:t>
      </w:r>
      <w:proofErr w:type="spellEnd"/>
      <w:r w:rsidRPr="00E84A3C">
        <w:rPr>
          <w:rFonts w:ascii="Times New Roman" w:hAnsi="Times New Roman" w:cs="Times New Roman"/>
          <w:sz w:val="20"/>
          <w:szCs w:val="24"/>
          <w:lang w:val="en-US"/>
        </w:rPr>
        <w:t xml:space="preserve">, </w:t>
      </w:r>
      <w:r w:rsidRPr="00DF6E3D">
        <w:rPr>
          <w:rFonts w:ascii="Times New Roman" w:hAnsi="Times New Roman" w:cs="Times New Roman"/>
          <w:sz w:val="20"/>
          <w:szCs w:val="24"/>
          <w:lang w:val="en-US"/>
        </w:rPr>
        <w:t>Boris</w:t>
      </w:r>
      <w:r w:rsidRPr="00E84A3C">
        <w:rPr>
          <w:rFonts w:ascii="Times New Roman" w:hAnsi="Times New Roman" w:cs="Times New Roman"/>
          <w:sz w:val="20"/>
          <w:szCs w:val="24"/>
          <w:lang w:val="en-US"/>
        </w:rPr>
        <w:t xml:space="preserve"> </w:t>
      </w:r>
      <w:proofErr w:type="spellStart"/>
      <w:r w:rsidRPr="00DF6E3D">
        <w:rPr>
          <w:rFonts w:ascii="Times New Roman" w:hAnsi="Times New Roman" w:cs="Times New Roman"/>
          <w:sz w:val="20"/>
          <w:szCs w:val="24"/>
          <w:lang w:val="en-US"/>
        </w:rPr>
        <w:t>Kuteev</w:t>
      </w:r>
      <w:proofErr w:type="spellEnd"/>
      <w:r w:rsidRPr="00E84A3C">
        <w:rPr>
          <w:rFonts w:ascii="Times New Roman" w:hAnsi="Times New Roman" w:cs="Times New Roman"/>
          <w:sz w:val="20"/>
          <w:szCs w:val="24"/>
          <w:lang w:val="en-US"/>
        </w:rPr>
        <w:t xml:space="preserve">. </w:t>
      </w:r>
      <w:r w:rsidRPr="00DF6E3D">
        <w:rPr>
          <w:rFonts w:ascii="Times New Roman" w:hAnsi="Times New Roman" w:cs="Times New Roman"/>
          <w:sz w:val="20"/>
          <w:szCs w:val="24"/>
          <w:lang w:val="en-US"/>
        </w:rPr>
        <w:t>System Studies on the Fusion-Fission Hybrid Systems and Its Fuel Cycle. Applied Sciences. 2020 г., 10.</w:t>
      </w:r>
    </w:p>
    <w:p w:rsidR="00E84A3C" w:rsidRDefault="00E84A3C" w:rsidP="00E54074">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[16]</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International Atomic Energy Agency (IAEA). Advanced Reactor Technology Options for Utilization and Transmutation of Actinides in Spent Nuclear Fuel. Vienna: IAEA, 2009. IAEA-TECDOC-1626.</w:t>
      </w:r>
    </w:p>
    <w:p w:rsidR="00E84A3C" w:rsidRDefault="00E84A3C" w:rsidP="00E54074">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[17] </w:t>
      </w:r>
      <w:proofErr w:type="spellStart"/>
      <w:r w:rsidRPr="00E84A3C">
        <w:rPr>
          <w:rFonts w:ascii="Times New Roman" w:hAnsi="Times New Roman" w:cs="Times New Roman"/>
          <w:sz w:val="20"/>
          <w:szCs w:val="24"/>
          <w:lang w:val="en-US"/>
        </w:rPr>
        <w:t>Gulevich</w:t>
      </w:r>
      <w:proofErr w:type="spellEnd"/>
      <w:r w:rsidRPr="00E84A3C">
        <w:rPr>
          <w:rFonts w:ascii="Times New Roman" w:hAnsi="Times New Roman" w:cs="Times New Roman"/>
          <w:sz w:val="20"/>
          <w:szCs w:val="24"/>
          <w:lang w:val="en-US"/>
        </w:rPr>
        <w:t xml:space="preserve">, A.V., </w:t>
      </w:r>
      <w:proofErr w:type="spellStart"/>
      <w:r w:rsidRPr="00E84A3C">
        <w:rPr>
          <w:rFonts w:ascii="Times New Roman" w:hAnsi="Times New Roman" w:cs="Times New Roman"/>
          <w:sz w:val="20"/>
          <w:szCs w:val="24"/>
          <w:lang w:val="en-US"/>
        </w:rPr>
        <w:t>Eliseev</w:t>
      </w:r>
      <w:proofErr w:type="spellEnd"/>
      <w:r w:rsidRPr="00E84A3C">
        <w:rPr>
          <w:rFonts w:ascii="Times New Roman" w:hAnsi="Times New Roman" w:cs="Times New Roman"/>
          <w:sz w:val="20"/>
          <w:szCs w:val="24"/>
          <w:lang w:val="en-US"/>
        </w:rPr>
        <w:t xml:space="preserve">, V.A., </w:t>
      </w:r>
      <w:proofErr w:type="spellStart"/>
      <w:r w:rsidRPr="00E84A3C">
        <w:rPr>
          <w:rFonts w:ascii="Times New Roman" w:hAnsi="Times New Roman" w:cs="Times New Roman"/>
          <w:sz w:val="20"/>
          <w:szCs w:val="24"/>
          <w:lang w:val="en-US"/>
        </w:rPr>
        <w:t>Klinov</w:t>
      </w:r>
      <w:proofErr w:type="spellEnd"/>
      <w:r w:rsidRPr="00E84A3C">
        <w:rPr>
          <w:rFonts w:ascii="Times New Roman" w:hAnsi="Times New Roman" w:cs="Times New Roman"/>
          <w:sz w:val="20"/>
          <w:szCs w:val="24"/>
          <w:lang w:val="en-US"/>
        </w:rPr>
        <w:t>, D.A. et al. Possibility of Burning Americium in Fast Reactors. At Energy 128, 88–94 (2020)</w:t>
      </w:r>
    </w:p>
    <w:p w:rsidR="00E84A3C" w:rsidRDefault="00E84A3C" w:rsidP="00E54074">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[18] </w:t>
      </w:r>
      <w:r w:rsidRPr="00E84A3C">
        <w:rPr>
          <w:rFonts w:ascii="Times New Roman" w:hAnsi="Times New Roman" w:cs="Times New Roman"/>
          <w:sz w:val="20"/>
          <w:szCs w:val="24"/>
          <w:lang w:val="en-US"/>
        </w:rPr>
        <w:t xml:space="preserve">V. </w:t>
      </w:r>
      <w:proofErr w:type="spellStart"/>
      <w:r w:rsidRPr="00E84A3C">
        <w:rPr>
          <w:rFonts w:ascii="Times New Roman" w:hAnsi="Times New Roman" w:cs="Times New Roman"/>
          <w:sz w:val="20"/>
          <w:szCs w:val="24"/>
          <w:lang w:val="en-US"/>
        </w:rPr>
        <w:t>Ignatiev</w:t>
      </w:r>
      <w:proofErr w:type="spellEnd"/>
      <w:r w:rsidRPr="00E84A3C">
        <w:rPr>
          <w:rFonts w:ascii="Times New Roman" w:hAnsi="Times New Roman" w:cs="Times New Roman"/>
          <w:sz w:val="20"/>
          <w:szCs w:val="24"/>
          <w:lang w:val="en-US"/>
        </w:rPr>
        <w:t xml:space="preserve">, [et al.]. Molten salt actinide recycler and transforming system without and with </w:t>
      </w:r>
      <w:proofErr w:type="spellStart"/>
      <w:r w:rsidRPr="00E84A3C">
        <w:rPr>
          <w:rFonts w:ascii="Times New Roman" w:hAnsi="Times New Roman" w:cs="Times New Roman"/>
          <w:sz w:val="20"/>
          <w:szCs w:val="24"/>
          <w:lang w:val="en-US"/>
        </w:rPr>
        <w:t>Th</w:t>
      </w:r>
      <w:proofErr w:type="spellEnd"/>
      <w:r w:rsidRPr="00E84A3C">
        <w:rPr>
          <w:rFonts w:ascii="Times New Roman" w:hAnsi="Times New Roman" w:cs="Times New Roman"/>
          <w:sz w:val="20"/>
          <w:szCs w:val="24"/>
          <w:lang w:val="en-US"/>
        </w:rPr>
        <w:t>–U support: Fuel cycle flexibility and key material properties. A</w:t>
      </w:r>
      <w:r>
        <w:rPr>
          <w:rFonts w:ascii="Times New Roman" w:hAnsi="Times New Roman" w:cs="Times New Roman"/>
          <w:sz w:val="20"/>
          <w:szCs w:val="24"/>
          <w:lang w:val="en-US"/>
        </w:rPr>
        <w:t>nnals of Nuclear Energy. 2014</w:t>
      </w:r>
      <w:r w:rsidRPr="00E84A3C">
        <w:rPr>
          <w:rFonts w:ascii="Times New Roman" w:hAnsi="Times New Roman" w:cs="Times New Roman"/>
          <w:sz w:val="20"/>
          <w:szCs w:val="24"/>
          <w:lang w:val="en-US"/>
        </w:rPr>
        <w:t>, 64.</w:t>
      </w:r>
    </w:p>
    <w:p w:rsidR="00E84A3C" w:rsidRPr="00E84A3C" w:rsidRDefault="00E84A3C" w:rsidP="00E84A3C">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[19] A. A. </w:t>
      </w:r>
      <w:proofErr w:type="spellStart"/>
      <w:r>
        <w:rPr>
          <w:rFonts w:ascii="Times New Roman" w:hAnsi="Times New Roman" w:cs="Times New Roman"/>
          <w:sz w:val="20"/>
          <w:szCs w:val="24"/>
          <w:lang w:val="en-US"/>
        </w:rPr>
        <w:t>Kashirsky</w:t>
      </w:r>
      <w:proofErr w:type="spellEnd"/>
      <w:r>
        <w:rPr>
          <w:rFonts w:ascii="Times New Roman" w:hAnsi="Times New Roman" w:cs="Times New Roman"/>
          <w:sz w:val="20"/>
          <w:szCs w:val="24"/>
          <w:lang w:val="en-US"/>
        </w:rPr>
        <w:t xml:space="preserve"> and E. V. </w:t>
      </w:r>
      <w:proofErr w:type="spellStart"/>
      <w:r>
        <w:rPr>
          <w:rFonts w:ascii="Times New Roman" w:hAnsi="Times New Roman" w:cs="Times New Roman"/>
          <w:sz w:val="20"/>
          <w:szCs w:val="24"/>
          <w:lang w:val="en-US"/>
        </w:rPr>
        <w:t>Muraviev</w:t>
      </w:r>
      <w:proofErr w:type="spellEnd"/>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 xml:space="preserve">Optimization Study for the Fast Reactor External Fuel Cycle Length </w:t>
      </w:r>
    </w:p>
    <w:p w:rsidR="00E84A3C" w:rsidRDefault="00E84A3C" w:rsidP="00E84A3C">
      <w:pPr>
        <w:spacing w:after="0" w:line="260" w:lineRule="atLeast"/>
        <w:jc w:val="both"/>
        <w:rPr>
          <w:rFonts w:ascii="Times New Roman" w:hAnsi="Times New Roman" w:cs="Times New Roman"/>
          <w:sz w:val="20"/>
          <w:szCs w:val="24"/>
          <w:lang w:val="en-US"/>
        </w:rPr>
      </w:pPr>
      <w:r w:rsidRPr="00E84A3C">
        <w:rPr>
          <w:rFonts w:ascii="Times New Roman" w:hAnsi="Times New Roman" w:cs="Times New Roman"/>
          <w:sz w:val="20"/>
          <w:szCs w:val="24"/>
          <w:lang w:val="en-US"/>
        </w:rPr>
        <w:t>at the Stage of the Two-Component Nuclear Power System</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IZVESTIYA ROSSIJSKOJ AKADEMII NAUK. ENERGETIKA</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 xml:space="preserve">1, 92-104, </w:t>
      </w:r>
      <w:r>
        <w:rPr>
          <w:rFonts w:ascii="Times New Roman" w:hAnsi="Times New Roman" w:cs="Times New Roman"/>
          <w:sz w:val="20"/>
          <w:szCs w:val="24"/>
          <w:lang w:val="en-US"/>
        </w:rPr>
        <w:t>2020</w:t>
      </w:r>
      <w:r w:rsidRPr="00E84A3C">
        <w:rPr>
          <w:rFonts w:ascii="Times New Roman" w:hAnsi="Times New Roman" w:cs="Times New Roman"/>
          <w:sz w:val="20"/>
          <w:szCs w:val="24"/>
          <w:lang w:val="en-US"/>
        </w:rPr>
        <w:cr/>
      </w:r>
      <w:r>
        <w:rPr>
          <w:rFonts w:ascii="Times New Roman" w:hAnsi="Times New Roman" w:cs="Times New Roman"/>
          <w:sz w:val="20"/>
          <w:szCs w:val="24"/>
          <w:lang w:val="en-US"/>
        </w:rPr>
        <w:t xml:space="preserve">[20] </w:t>
      </w:r>
      <w:proofErr w:type="spellStart"/>
      <w:r w:rsidRPr="00E84A3C">
        <w:rPr>
          <w:rFonts w:ascii="Times New Roman" w:hAnsi="Times New Roman" w:cs="Times New Roman"/>
          <w:sz w:val="20"/>
          <w:szCs w:val="24"/>
          <w:lang w:val="en-US"/>
        </w:rPr>
        <w:t>Zhuravlev</w:t>
      </w:r>
      <w:proofErr w:type="spellEnd"/>
      <w:r w:rsidRPr="00E84A3C">
        <w:rPr>
          <w:rFonts w:ascii="Times New Roman" w:hAnsi="Times New Roman" w:cs="Times New Roman"/>
          <w:sz w:val="20"/>
          <w:szCs w:val="24"/>
          <w:lang w:val="en-US"/>
        </w:rPr>
        <w:t xml:space="preserve"> I.B., </w:t>
      </w:r>
      <w:proofErr w:type="spellStart"/>
      <w:r w:rsidRPr="00E84A3C">
        <w:rPr>
          <w:rFonts w:ascii="Times New Roman" w:hAnsi="Times New Roman" w:cs="Times New Roman"/>
          <w:sz w:val="20"/>
          <w:szCs w:val="24"/>
          <w:lang w:val="en-US"/>
        </w:rPr>
        <w:t>Kvyatkovskiy</w:t>
      </w:r>
      <w:proofErr w:type="spellEnd"/>
      <w:r w:rsidRPr="00E84A3C">
        <w:rPr>
          <w:rFonts w:ascii="Times New Roman" w:hAnsi="Times New Roman" w:cs="Times New Roman"/>
          <w:sz w:val="20"/>
          <w:szCs w:val="24"/>
          <w:lang w:val="en-US"/>
        </w:rPr>
        <w:t xml:space="preserve"> S.A., </w:t>
      </w:r>
      <w:proofErr w:type="spellStart"/>
      <w:r w:rsidRPr="00E84A3C">
        <w:rPr>
          <w:rFonts w:ascii="Times New Roman" w:hAnsi="Times New Roman" w:cs="Times New Roman"/>
          <w:sz w:val="20"/>
          <w:szCs w:val="24"/>
          <w:lang w:val="en-US"/>
        </w:rPr>
        <w:t>Krupnova</w:t>
      </w:r>
      <w:proofErr w:type="spellEnd"/>
      <w:r w:rsidRPr="00E84A3C">
        <w:rPr>
          <w:rFonts w:ascii="Times New Roman" w:hAnsi="Times New Roman" w:cs="Times New Roman"/>
          <w:sz w:val="20"/>
          <w:szCs w:val="24"/>
          <w:lang w:val="en-US"/>
        </w:rPr>
        <w:t xml:space="preserve"> A.P.,</w:t>
      </w:r>
      <w:r>
        <w:rPr>
          <w:rFonts w:ascii="Times New Roman" w:hAnsi="Times New Roman" w:cs="Times New Roman"/>
          <w:sz w:val="20"/>
          <w:szCs w:val="24"/>
          <w:lang w:val="en-US"/>
        </w:rPr>
        <w:t xml:space="preserve"> </w:t>
      </w:r>
      <w:proofErr w:type="spellStart"/>
      <w:r w:rsidRPr="00E84A3C">
        <w:rPr>
          <w:rFonts w:ascii="Times New Roman" w:hAnsi="Times New Roman" w:cs="Times New Roman"/>
          <w:sz w:val="20"/>
          <w:szCs w:val="24"/>
          <w:lang w:val="en-US"/>
        </w:rPr>
        <w:t>Ptitsyn</w:t>
      </w:r>
      <w:proofErr w:type="spellEnd"/>
      <w:r w:rsidRPr="00E84A3C">
        <w:rPr>
          <w:rFonts w:ascii="Times New Roman" w:hAnsi="Times New Roman" w:cs="Times New Roman"/>
          <w:sz w:val="20"/>
          <w:szCs w:val="24"/>
          <w:lang w:val="en-US"/>
        </w:rPr>
        <w:t xml:space="preserve"> P.B.</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Feasibility study on the export capabilities of BN</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technology</w:t>
      </w:r>
      <w:r>
        <w:rPr>
          <w:rFonts w:ascii="Times New Roman" w:hAnsi="Times New Roman" w:cs="Times New Roman"/>
          <w:sz w:val="20"/>
          <w:szCs w:val="24"/>
          <w:lang w:val="en-US"/>
        </w:rPr>
        <w:t>. 2020</w:t>
      </w:r>
    </w:p>
    <w:p w:rsidR="00E84A3C" w:rsidRPr="00E84A3C" w:rsidRDefault="00E84A3C" w:rsidP="00E84A3C">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[21] </w:t>
      </w:r>
      <w:r w:rsidRPr="00E84A3C">
        <w:rPr>
          <w:rFonts w:ascii="Times New Roman" w:hAnsi="Times New Roman" w:cs="Times New Roman"/>
          <w:sz w:val="20"/>
          <w:szCs w:val="24"/>
          <w:lang w:val="en-US"/>
        </w:rPr>
        <w:t xml:space="preserve">THE BN-800 CORE WITH MOX FUEL. A.E. </w:t>
      </w:r>
      <w:proofErr w:type="spellStart"/>
      <w:r w:rsidRPr="00E84A3C">
        <w:rPr>
          <w:rFonts w:ascii="Times New Roman" w:hAnsi="Times New Roman" w:cs="Times New Roman"/>
          <w:sz w:val="20"/>
          <w:szCs w:val="24"/>
          <w:lang w:val="en-US"/>
        </w:rPr>
        <w:t>Kuznetsov</w:t>
      </w:r>
      <w:proofErr w:type="spellEnd"/>
      <w:r w:rsidRPr="00E84A3C">
        <w:rPr>
          <w:rFonts w:ascii="Times New Roman" w:hAnsi="Times New Roman" w:cs="Times New Roman"/>
          <w:sz w:val="20"/>
          <w:szCs w:val="24"/>
          <w:lang w:val="en-US"/>
        </w:rPr>
        <w:t xml:space="preserve">, et al. </w:t>
      </w:r>
      <w:proofErr w:type="gramStart"/>
      <w:r w:rsidRPr="00E84A3C">
        <w:rPr>
          <w:rFonts w:ascii="Times New Roman" w:hAnsi="Times New Roman" w:cs="Times New Roman"/>
          <w:sz w:val="20"/>
          <w:szCs w:val="24"/>
          <w:lang w:val="en-US"/>
        </w:rPr>
        <w:t>Yekaterinburg :</w:t>
      </w:r>
      <w:proofErr w:type="gramEnd"/>
      <w:r w:rsidRPr="00E84A3C">
        <w:rPr>
          <w:rFonts w:ascii="Times New Roman" w:hAnsi="Times New Roman" w:cs="Times New Roman"/>
          <w:sz w:val="20"/>
          <w:szCs w:val="24"/>
          <w:lang w:val="en-US"/>
        </w:rPr>
        <w:t xml:space="preserve"> International Conference on Fast Reactors and Related Fuel Cycles: Next Generation Nuclear Systems for Sustainable Development (FR17), 2017. IAEA-CN-245-405</w:t>
      </w:r>
    </w:p>
    <w:p w:rsidR="00810F7F" w:rsidRPr="00810F7F" w:rsidRDefault="00E84A3C" w:rsidP="00E54074">
      <w:pPr>
        <w:spacing w:after="0" w:line="260" w:lineRule="atLeast"/>
        <w:jc w:val="both"/>
        <w:rPr>
          <w:rFonts w:ascii="Times New Roman" w:hAnsi="Times New Roman" w:cs="Times New Roman"/>
          <w:sz w:val="20"/>
          <w:szCs w:val="24"/>
          <w:lang w:val="en-US"/>
        </w:rPr>
      </w:pPr>
      <w:r>
        <w:rPr>
          <w:rFonts w:ascii="Times New Roman" w:hAnsi="Times New Roman" w:cs="Times New Roman"/>
          <w:sz w:val="20"/>
          <w:szCs w:val="24"/>
          <w:lang w:val="en-US"/>
        </w:rPr>
        <w:t>[22</w:t>
      </w:r>
      <w:r w:rsidR="00810F7F" w:rsidRPr="00E84A3C">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 xml:space="preserve">E.A. </w:t>
      </w:r>
      <w:proofErr w:type="spellStart"/>
      <w:r w:rsidRPr="00E84A3C">
        <w:rPr>
          <w:rFonts w:ascii="Times New Roman" w:hAnsi="Times New Roman" w:cs="Times New Roman"/>
          <w:sz w:val="20"/>
          <w:szCs w:val="24"/>
          <w:lang w:val="en-US"/>
        </w:rPr>
        <w:t>Azizov</w:t>
      </w:r>
      <w:proofErr w:type="spellEnd"/>
      <w:r w:rsidRPr="00E84A3C">
        <w:rPr>
          <w:rFonts w:ascii="Times New Roman" w:hAnsi="Times New Roman" w:cs="Times New Roman"/>
          <w:sz w:val="20"/>
          <w:szCs w:val="24"/>
          <w:lang w:val="en-US"/>
        </w:rPr>
        <w:t xml:space="preserve">, G.G. </w:t>
      </w:r>
      <w:proofErr w:type="spellStart"/>
      <w:r w:rsidRPr="00E84A3C">
        <w:rPr>
          <w:rFonts w:ascii="Times New Roman" w:hAnsi="Times New Roman" w:cs="Times New Roman"/>
          <w:sz w:val="20"/>
          <w:szCs w:val="24"/>
          <w:lang w:val="en-US"/>
        </w:rPr>
        <w:t>Gladush</w:t>
      </w:r>
      <w:proofErr w:type="spellEnd"/>
      <w:r w:rsidRPr="00E84A3C">
        <w:rPr>
          <w:rFonts w:ascii="Times New Roman" w:hAnsi="Times New Roman" w:cs="Times New Roman"/>
          <w:sz w:val="20"/>
          <w:szCs w:val="24"/>
          <w:lang w:val="en-US"/>
        </w:rPr>
        <w:t xml:space="preserve">, A.B. </w:t>
      </w:r>
      <w:proofErr w:type="spellStart"/>
      <w:r w:rsidRPr="00E84A3C">
        <w:rPr>
          <w:rFonts w:ascii="Times New Roman" w:hAnsi="Times New Roman" w:cs="Times New Roman"/>
          <w:sz w:val="20"/>
          <w:szCs w:val="24"/>
          <w:lang w:val="en-US"/>
        </w:rPr>
        <w:t>Mineev</w:t>
      </w:r>
      <w:proofErr w:type="spellEnd"/>
      <w:r w:rsidRPr="00E84A3C">
        <w:rPr>
          <w:rFonts w:ascii="Times New Roman" w:hAnsi="Times New Roman" w:cs="Times New Roman"/>
          <w:sz w:val="20"/>
          <w:szCs w:val="24"/>
          <w:lang w:val="en-US"/>
        </w:rPr>
        <w:t>. CT</w:t>
      </w:r>
      <w:r>
        <w:rPr>
          <w:rFonts w:ascii="Times New Roman" w:hAnsi="Times New Roman" w:cs="Times New Roman"/>
          <w:sz w:val="20"/>
          <w:szCs w:val="24"/>
          <w:lang w:val="en-US"/>
        </w:rPr>
        <w:t>F</w:t>
      </w:r>
      <w:r w:rsidRPr="00E84A3C">
        <w:rPr>
          <w:rFonts w:ascii="Times New Roman" w:hAnsi="Times New Roman" w:cs="Times New Roman"/>
          <w:sz w:val="20"/>
          <w:szCs w:val="24"/>
          <w:lang w:val="en-US"/>
        </w:rPr>
        <w:t xml:space="preserve"> with magnetic confinement and development of a hybrid fusion-fission reactor based on a tokamak</w:t>
      </w:r>
      <w:r w:rsidR="00810F7F" w:rsidRPr="00E84A3C">
        <w:rPr>
          <w:rFonts w:ascii="Times New Roman" w:hAnsi="Times New Roman" w:cs="Times New Roman"/>
          <w:sz w:val="20"/>
          <w:szCs w:val="24"/>
          <w:lang w:val="en-US"/>
        </w:rPr>
        <w:t xml:space="preserve">. </w:t>
      </w:r>
      <w:r>
        <w:rPr>
          <w:rFonts w:ascii="Times New Roman" w:hAnsi="Times New Roman" w:cs="Times New Roman"/>
          <w:sz w:val="20"/>
          <w:szCs w:val="24"/>
          <w:lang w:val="en-US"/>
        </w:rPr>
        <w:t>VANT</w:t>
      </w:r>
      <w:r w:rsidR="00810F7F" w:rsidRPr="00810F7F">
        <w:rPr>
          <w:rFonts w:ascii="Times New Roman" w:hAnsi="Times New Roman" w:cs="Times New Roman"/>
          <w:sz w:val="20"/>
          <w:szCs w:val="24"/>
          <w:lang w:val="en-US"/>
        </w:rPr>
        <w:t xml:space="preserve">. </w:t>
      </w:r>
      <w:r>
        <w:rPr>
          <w:rFonts w:ascii="Times New Roman" w:hAnsi="Times New Roman" w:cs="Times New Roman"/>
          <w:sz w:val="20"/>
          <w:szCs w:val="24"/>
          <w:lang w:val="en-US"/>
        </w:rPr>
        <w:t>T</w:t>
      </w:r>
      <w:r w:rsidRPr="00E84A3C">
        <w:rPr>
          <w:rFonts w:ascii="Times New Roman" w:hAnsi="Times New Roman" w:cs="Times New Roman"/>
          <w:sz w:val="20"/>
          <w:szCs w:val="24"/>
          <w:lang w:val="en-US"/>
        </w:rPr>
        <w:t>hermonuclear fusion</w:t>
      </w:r>
      <w:r>
        <w:rPr>
          <w:rFonts w:ascii="Times New Roman" w:hAnsi="Times New Roman" w:cs="Times New Roman"/>
          <w:sz w:val="20"/>
          <w:szCs w:val="24"/>
          <w:lang w:val="en-US"/>
        </w:rPr>
        <w:t>. 2017</w:t>
      </w:r>
      <w:r w:rsidR="00810F7F" w:rsidRPr="00810F7F">
        <w:rPr>
          <w:rFonts w:ascii="Times New Roman" w:hAnsi="Times New Roman" w:cs="Times New Roman"/>
          <w:sz w:val="20"/>
          <w:szCs w:val="24"/>
          <w:lang w:val="en-US"/>
        </w:rPr>
        <w:t>, Т. 40, 1</w:t>
      </w:r>
      <w:r>
        <w:rPr>
          <w:rFonts w:ascii="Times New Roman" w:hAnsi="Times New Roman" w:cs="Times New Roman"/>
          <w:sz w:val="20"/>
          <w:szCs w:val="24"/>
          <w:lang w:val="en-US"/>
        </w:rPr>
        <w:t xml:space="preserve"> </w:t>
      </w:r>
      <w:r w:rsidRPr="00E84A3C">
        <w:rPr>
          <w:rFonts w:ascii="Times New Roman" w:hAnsi="Times New Roman" w:cs="Times New Roman"/>
          <w:sz w:val="20"/>
          <w:szCs w:val="24"/>
          <w:lang w:val="en-US"/>
        </w:rPr>
        <w:t xml:space="preserve">(in </w:t>
      </w:r>
      <w:r>
        <w:rPr>
          <w:rFonts w:ascii="Times New Roman" w:hAnsi="Times New Roman" w:cs="Times New Roman"/>
          <w:sz w:val="20"/>
          <w:szCs w:val="24"/>
          <w:lang w:val="en-US"/>
        </w:rPr>
        <w:t>R</w:t>
      </w:r>
      <w:r w:rsidRPr="00E84A3C">
        <w:rPr>
          <w:rFonts w:ascii="Times New Roman" w:hAnsi="Times New Roman" w:cs="Times New Roman"/>
          <w:sz w:val="20"/>
          <w:szCs w:val="24"/>
          <w:lang w:val="en-US"/>
        </w:rPr>
        <w:t>ussian)</w:t>
      </w:r>
      <w:r w:rsidR="00810F7F" w:rsidRPr="00810F7F">
        <w:rPr>
          <w:rFonts w:ascii="Times New Roman" w:hAnsi="Times New Roman" w:cs="Times New Roman"/>
          <w:sz w:val="20"/>
          <w:szCs w:val="24"/>
          <w:lang w:val="en-US"/>
        </w:rPr>
        <w:t>.</w:t>
      </w:r>
    </w:p>
    <w:sectPr w:rsidR="00810F7F" w:rsidRPr="00810F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BA" w:rsidRDefault="006020BA" w:rsidP="00F529D8">
      <w:pPr>
        <w:spacing w:after="0" w:line="240" w:lineRule="auto"/>
      </w:pPr>
      <w:r>
        <w:separator/>
      </w:r>
    </w:p>
  </w:endnote>
  <w:endnote w:type="continuationSeparator" w:id="0">
    <w:p w:rsidR="006020BA" w:rsidRDefault="006020BA" w:rsidP="00F5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54057"/>
      <w:docPartObj>
        <w:docPartGallery w:val="Page Numbers (Bottom of Page)"/>
        <w:docPartUnique/>
      </w:docPartObj>
    </w:sdtPr>
    <w:sdtContent>
      <w:p w:rsidR="00A42778" w:rsidRDefault="00A42778">
        <w:pPr>
          <w:pStyle w:val="ac"/>
          <w:jc w:val="right"/>
        </w:pPr>
        <w:r>
          <w:fldChar w:fldCharType="begin"/>
        </w:r>
        <w:r>
          <w:instrText>PAGE   \* MERGEFORMAT</w:instrText>
        </w:r>
        <w:r>
          <w:fldChar w:fldCharType="separate"/>
        </w:r>
        <w:r w:rsidR="00E84A3C">
          <w:rPr>
            <w:noProof/>
          </w:rPr>
          <w:t>11</w:t>
        </w:r>
        <w:r>
          <w:fldChar w:fldCharType="end"/>
        </w:r>
      </w:p>
    </w:sdtContent>
  </w:sdt>
  <w:p w:rsidR="00A42778" w:rsidRDefault="00A427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BA" w:rsidRDefault="006020BA" w:rsidP="00F529D8">
      <w:pPr>
        <w:spacing w:after="0" w:line="240" w:lineRule="auto"/>
      </w:pPr>
      <w:r>
        <w:separator/>
      </w:r>
    </w:p>
  </w:footnote>
  <w:footnote w:type="continuationSeparator" w:id="0">
    <w:p w:rsidR="006020BA" w:rsidRDefault="006020BA" w:rsidP="00F5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78" w:rsidRPr="00A42778" w:rsidRDefault="00A42778" w:rsidP="00A42778">
    <w:pPr>
      <w:pStyle w:val="Runninghead"/>
    </w:pPr>
    <w:r>
      <w:t xml:space="preserve">FR21: IAEA-CN-291/134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78" w:rsidRPr="00A42778" w:rsidRDefault="00A42778" w:rsidP="00A42778">
    <w:pPr>
      <w:pStyle w:val="Runninghead"/>
    </w:pPr>
    <w:r>
      <w:t>S.A. KVIATKOVSKII et 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15D"/>
    <w:multiLevelType w:val="hybridMultilevel"/>
    <w:tmpl w:val="B3F68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75DB8"/>
    <w:multiLevelType w:val="hybridMultilevel"/>
    <w:tmpl w:val="9CDC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9788D"/>
    <w:multiLevelType w:val="hybridMultilevel"/>
    <w:tmpl w:val="07162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A30E99"/>
    <w:multiLevelType w:val="hybridMultilevel"/>
    <w:tmpl w:val="847E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865DCE"/>
    <w:multiLevelType w:val="multilevel"/>
    <w:tmpl w:val="F4C84B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BDA535B"/>
    <w:multiLevelType w:val="hybridMultilevel"/>
    <w:tmpl w:val="1EA8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B93288"/>
    <w:multiLevelType w:val="hybridMultilevel"/>
    <w:tmpl w:val="A53C7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B72FB7"/>
    <w:multiLevelType w:val="hybridMultilevel"/>
    <w:tmpl w:val="6906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C43898"/>
    <w:multiLevelType w:val="multilevel"/>
    <w:tmpl w:val="0A2C8D60"/>
    <w:lvl w:ilvl="0">
      <w:start w:val="1"/>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92" w:hanging="432"/>
      </w:pPr>
      <w:rPr>
        <w:color w:val="000000" w:themeColor="text1"/>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D6A0C"/>
    <w:multiLevelType w:val="hybridMultilevel"/>
    <w:tmpl w:val="1CF0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4253A7"/>
    <w:multiLevelType w:val="hybridMultilevel"/>
    <w:tmpl w:val="E82EEF6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15:restartNumberingAfterBreak="0">
    <w:nsid w:val="7966001D"/>
    <w:multiLevelType w:val="hybridMultilevel"/>
    <w:tmpl w:val="29E0F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10"/>
  </w:num>
  <w:num w:numId="7">
    <w:abstractNumId w:val="9"/>
  </w:num>
  <w:num w:numId="8">
    <w:abstractNumId w:val="3"/>
  </w:num>
  <w:num w:numId="9">
    <w:abstractNumId w:val="11"/>
  </w:num>
  <w:num w:numId="10">
    <w:abstractNumId w:val="8"/>
  </w:num>
  <w:num w:numId="11">
    <w:abstractNumId w:val="5"/>
  </w:num>
  <w:num w:numId="12">
    <w:abstractNumId w:val="7"/>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8"/>
    <w:rsid w:val="0000483F"/>
    <w:rsid w:val="00004C23"/>
    <w:rsid w:val="00011952"/>
    <w:rsid w:val="00020704"/>
    <w:rsid w:val="000446BD"/>
    <w:rsid w:val="00060380"/>
    <w:rsid w:val="00060EB5"/>
    <w:rsid w:val="00097706"/>
    <w:rsid w:val="000A0612"/>
    <w:rsid w:val="000A3E15"/>
    <w:rsid w:val="000B48B8"/>
    <w:rsid w:val="000C73E4"/>
    <w:rsid w:val="000E3604"/>
    <w:rsid w:val="000E391B"/>
    <w:rsid w:val="000F564C"/>
    <w:rsid w:val="000F68C7"/>
    <w:rsid w:val="00112CD1"/>
    <w:rsid w:val="00131A7E"/>
    <w:rsid w:val="001438BE"/>
    <w:rsid w:val="00157CA9"/>
    <w:rsid w:val="00166873"/>
    <w:rsid w:val="0019170D"/>
    <w:rsid w:val="001C04B1"/>
    <w:rsid w:val="00207C21"/>
    <w:rsid w:val="00210E87"/>
    <w:rsid w:val="0021238D"/>
    <w:rsid w:val="00235E56"/>
    <w:rsid w:val="00260A4F"/>
    <w:rsid w:val="00275E5E"/>
    <w:rsid w:val="00276C5D"/>
    <w:rsid w:val="00294C9C"/>
    <w:rsid w:val="002A345D"/>
    <w:rsid w:val="002C6E0C"/>
    <w:rsid w:val="002E0B88"/>
    <w:rsid w:val="002E1B39"/>
    <w:rsid w:val="002F5AE2"/>
    <w:rsid w:val="00323F29"/>
    <w:rsid w:val="003244B7"/>
    <w:rsid w:val="003265F5"/>
    <w:rsid w:val="00326CA8"/>
    <w:rsid w:val="00346097"/>
    <w:rsid w:val="00363388"/>
    <w:rsid w:val="00395AEA"/>
    <w:rsid w:val="003A25CC"/>
    <w:rsid w:val="003B4315"/>
    <w:rsid w:val="003C4988"/>
    <w:rsid w:val="004063FD"/>
    <w:rsid w:val="00415D9D"/>
    <w:rsid w:val="0045454C"/>
    <w:rsid w:val="00467A8B"/>
    <w:rsid w:val="004A0B51"/>
    <w:rsid w:val="004A635D"/>
    <w:rsid w:val="004D694A"/>
    <w:rsid w:val="004F30F1"/>
    <w:rsid w:val="00522B82"/>
    <w:rsid w:val="005340FF"/>
    <w:rsid w:val="00550DEE"/>
    <w:rsid w:val="00591A41"/>
    <w:rsid w:val="005969A1"/>
    <w:rsid w:val="005B28AC"/>
    <w:rsid w:val="005B4BA5"/>
    <w:rsid w:val="005C434C"/>
    <w:rsid w:val="005D3C4B"/>
    <w:rsid w:val="005D555D"/>
    <w:rsid w:val="005F109A"/>
    <w:rsid w:val="005F70FA"/>
    <w:rsid w:val="006020BA"/>
    <w:rsid w:val="00615F6C"/>
    <w:rsid w:val="00621C01"/>
    <w:rsid w:val="006518C1"/>
    <w:rsid w:val="006778F1"/>
    <w:rsid w:val="006878F5"/>
    <w:rsid w:val="006A1F7C"/>
    <w:rsid w:val="006A6EDE"/>
    <w:rsid w:val="006C4D0E"/>
    <w:rsid w:val="006E10EF"/>
    <w:rsid w:val="0070479E"/>
    <w:rsid w:val="0071713F"/>
    <w:rsid w:val="00743EB6"/>
    <w:rsid w:val="00784298"/>
    <w:rsid w:val="007A0555"/>
    <w:rsid w:val="007B4EBE"/>
    <w:rsid w:val="007D046A"/>
    <w:rsid w:val="007F056F"/>
    <w:rsid w:val="00807E55"/>
    <w:rsid w:val="00810F7F"/>
    <w:rsid w:val="00823175"/>
    <w:rsid w:val="00824586"/>
    <w:rsid w:val="00842D7D"/>
    <w:rsid w:val="00850034"/>
    <w:rsid w:val="008507D8"/>
    <w:rsid w:val="008576D4"/>
    <w:rsid w:val="0088483D"/>
    <w:rsid w:val="00930E39"/>
    <w:rsid w:val="00937B9B"/>
    <w:rsid w:val="00942C87"/>
    <w:rsid w:val="0099747C"/>
    <w:rsid w:val="009C049C"/>
    <w:rsid w:val="00A3005E"/>
    <w:rsid w:val="00A42778"/>
    <w:rsid w:val="00A474B8"/>
    <w:rsid w:val="00AE19EA"/>
    <w:rsid w:val="00B07824"/>
    <w:rsid w:val="00B103BE"/>
    <w:rsid w:val="00B44160"/>
    <w:rsid w:val="00B67673"/>
    <w:rsid w:val="00B96AF2"/>
    <w:rsid w:val="00BB4C02"/>
    <w:rsid w:val="00BC2C68"/>
    <w:rsid w:val="00C1462F"/>
    <w:rsid w:val="00C3067F"/>
    <w:rsid w:val="00C42CA1"/>
    <w:rsid w:val="00C42F47"/>
    <w:rsid w:val="00C85D6B"/>
    <w:rsid w:val="00CA4006"/>
    <w:rsid w:val="00CE672B"/>
    <w:rsid w:val="00CF6DCC"/>
    <w:rsid w:val="00D01A20"/>
    <w:rsid w:val="00D20D68"/>
    <w:rsid w:val="00D233E6"/>
    <w:rsid w:val="00D51915"/>
    <w:rsid w:val="00D560A3"/>
    <w:rsid w:val="00D70DC7"/>
    <w:rsid w:val="00DC0ACE"/>
    <w:rsid w:val="00DD0F39"/>
    <w:rsid w:val="00DE1E5E"/>
    <w:rsid w:val="00DE5073"/>
    <w:rsid w:val="00DF6E3D"/>
    <w:rsid w:val="00E026F5"/>
    <w:rsid w:val="00E10FB7"/>
    <w:rsid w:val="00E1184B"/>
    <w:rsid w:val="00E223C3"/>
    <w:rsid w:val="00E45446"/>
    <w:rsid w:val="00E54074"/>
    <w:rsid w:val="00E612D8"/>
    <w:rsid w:val="00E84A3C"/>
    <w:rsid w:val="00E91F7B"/>
    <w:rsid w:val="00EA6D1E"/>
    <w:rsid w:val="00EB32CC"/>
    <w:rsid w:val="00EC1A01"/>
    <w:rsid w:val="00F0741D"/>
    <w:rsid w:val="00F3386A"/>
    <w:rsid w:val="00F50D3D"/>
    <w:rsid w:val="00F529D8"/>
    <w:rsid w:val="00F6368B"/>
    <w:rsid w:val="00F70524"/>
    <w:rsid w:val="00F820EE"/>
    <w:rsid w:val="00FB1341"/>
    <w:rsid w:val="00FF1ECE"/>
    <w:rsid w:val="00FF44C7"/>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90D1"/>
  <w15:chartTrackingRefBased/>
  <w15:docId w15:val="{84DF214F-7C58-4FD4-961F-8A542CEE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6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66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2nd level paper heading"/>
    <w:next w:val="a0"/>
    <w:link w:val="30"/>
    <w:uiPriority w:val="4"/>
    <w:qFormat/>
    <w:rsid w:val="005F109A"/>
    <w:pPr>
      <w:widowControl w:val="0"/>
      <w:numPr>
        <w:ilvl w:val="2"/>
        <w:numId w:val="12"/>
      </w:numPr>
      <w:spacing w:before="240" w:after="240" w:line="240" w:lineRule="exact"/>
      <w:outlineLvl w:val="2"/>
    </w:pPr>
    <w:rPr>
      <w:rFonts w:ascii="Times New Roman" w:eastAsia="Times New Roman" w:hAnsi="Times New Roman" w:cs="Times New Roman"/>
      <w:b/>
      <w:sz w:val="20"/>
      <w:szCs w:val="20"/>
      <w:lang w:val="en-G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1"/>
    <w:qFormat/>
    <w:rsid w:val="00207C21"/>
    <w:pPr>
      <w:spacing w:after="200" w:line="276" w:lineRule="auto"/>
      <w:ind w:left="720"/>
      <w:contextualSpacing/>
    </w:pPr>
  </w:style>
  <w:style w:type="paragraph" w:styleId="a5">
    <w:name w:val="footnote text"/>
    <w:basedOn w:val="a"/>
    <w:link w:val="a6"/>
    <w:uiPriority w:val="99"/>
    <w:semiHidden/>
    <w:unhideWhenUsed/>
    <w:rsid w:val="00F529D8"/>
    <w:pPr>
      <w:spacing w:after="0" w:line="240" w:lineRule="auto"/>
    </w:pPr>
    <w:rPr>
      <w:sz w:val="20"/>
      <w:szCs w:val="20"/>
    </w:rPr>
  </w:style>
  <w:style w:type="character" w:customStyle="1" w:styleId="a6">
    <w:name w:val="Текст сноски Знак"/>
    <w:basedOn w:val="a1"/>
    <w:link w:val="a5"/>
    <w:uiPriority w:val="99"/>
    <w:semiHidden/>
    <w:rsid w:val="00F529D8"/>
    <w:rPr>
      <w:sz w:val="20"/>
      <w:szCs w:val="20"/>
    </w:rPr>
  </w:style>
  <w:style w:type="character" w:styleId="a7">
    <w:name w:val="footnote reference"/>
    <w:basedOn w:val="a1"/>
    <w:uiPriority w:val="99"/>
    <w:semiHidden/>
    <w:unhideWhenUsed/>
    <w:rsid w:val="00F529D8"/>
    <w:rPr>
      <w:vertAlign w:val="superscript"/>
    </w:rPr>
  </w:style>
  <w:style w:type="paragraph" w:customStyle="1" w:styleId="Default">
    <w:name w:val="Default"/>
    <w:rsid w:val="000C73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16687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166873"/>
    <w:rPr>
      <w:rFonts w:asciiTheme="majorHAnsi" w:eastAsiaTheme="majorEastAsia" w:hAnsiTheme="majorHAnsi" w:cstheme="majorBidi"/>
      <w:color w:val="2E74B5" w:themeColor="accent1" w:themeShade="BF"/>
      <w:sz w:val="26"/>
      <w:szCs w:val="26"/>
    </w:rPr>
  </w:style>
  <w:style w:type="paragraph" w:customStyle="1" w:styleId="Otherunnumberedheadings">
    <w:name w:val="Other unnumbered headings"/>
    <w:next w:val="a0"/>
    <w:link w:val="OtherunnumberedheadingsChar"/>
    <w:uiPriority w:val="49"/>
    <w:qFormat/>
    <w:locked/>
    <w:rsid w:val="00166873"/>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8"/>
    <w:link w:val="Otherunnumberedheadings"/>
    <w:uiPriority w:val="49"/>
    <w:rsid w:val="00166873"/>
    <w:rPr>
      <w:rFonts w:ascii="Times New Roman Bold" w:eastAsia="Times New Roman" w:hAnsi="Times New Roman Bold" w:cs="Times New Roman"/>
      <w:b/>
      <w:caps/>
      <w:sz w:val="20"/>
      <w:szCs w:val="20"/>
      <w:lang w:val="en-GB"/>
    </w:rPr>
  </w:style>
  <w:style w:type="paragraph" w:styleId="a0">
    <w:name w:val="Body Text"/>
    <w:basedOn w:val="a"/>
    <w:link w:val="a8"/>
    <w:uiPriority w:val="99"/>
    <w:semiHidden/>
    <w:unhideWhenUsed/>
    <w:rsid w:val="00166873"/>
    <w:pPr>
      <w:spacing w:after="120"/>
    </w:pPr>
  </w:style>
  <w:style w:type="character" w:customStyle="1" w:styleId="a8">
    <w:name w:val="Основной текст Знак"/>
    <w:basedOn w:val="a1"/>
    <w:link w:val="a0"/>
    <w:uiPriority w:val="99"/>
    <w:semiHidden/>
    <w:rsid w:val="00166873"/>
  </w:style>
  <w:style w:type="table" w:styleId="a9">
    <w:name w:val="Table Grid"/>
    <w:basedOn w:val="a2"/>
    <w:uiPriority w:val="39"/>
    <w:rsid w:val="005F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2"/>
    <w:uiPriority w:val="42"/>
    <w:rsid w:val="005F10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Заголовок 3 Знак"/>
    <w:aliases w:val="2nd level paper heading Знак"/>
    <w:basedOn w:val="a1"/>
    <w:link w:val="3"/>
    <w:uiPriority w:val="4"/>
    <w:rsid w:val="005F109A"/>
    <w:rPr>
      <w:rFonts w:ascii="Times New Roman" w:eastAsia="Times New Roman" w:hAnsi="Times New Roman" w:cs="Times New Roman"/>
      <w:b/>
      <w:sz w:val="20"/>
      <w:szCs w:val="20"/>
      <w:lang w:val="en-GB"/>
    </w:rPr>
  </w:style>
  <w:style w:type="paragraph" w:styleId="aa">
    <w:name w:val="header"/>
    <w:basedOn w:val="a"/>
    <w:link w:val="ab"/>
    <w:uiPriority w:val="99"/>
    <w:unhideWhenUsed/>
    <w:rsid w:val="00A4277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42778"/>
  </w:style>
  <w:style w:type="paragraph" w:styleId="ac">
    <w:name w:val="footer"/>
    <w:basedOn w:val="a"/>
    <w:link w:val="ad"/>
    <w:uiPriority w:val="99"/>
    <w:unhideWhenUsed/>
    <w:rsid w:val="00A4277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42778"/>
  </w:style>
  <w:style w:type="paragraph" w:customStyle="1" w:styleId="Runninghead">
    <w:name w:val="Running head"/>
    <w:basedOn w:val="a"/>
    <w:link w:val="RunningheadChar"/>
    <w:uiPriority w:val="49"/>
    <w:qFormat/>
    <w:rsid w:val="00A4277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1"/>
    <w:link w:val="Runninghead"/>
    <w:uiPriority w:val="49"/>
    <w:rsid w:val="00A42778"/>
    <w:rPr>
      <w:rFonts w:ascii="Times New Roman" w:eastAsia="Times New Roman" w:hAnsi="Times New Roman" w:cs="Times New Roman"/>
      <w:b/>
      <w:sz w:val="16"/>
      <w:szCs w:val="16"/>
      <w:lang w:val="en-GB"/>
    </w:rPr>
  </w:style>
  <w:style w:type="paragraph" w:customStyle="1" w:styleId="zyxConfidBlack">
    <w:name w:val="zyxConfidBlack"/>
    <w:basedOn w:val="a"/>
    <w:uiPriority w:val="49"/>
    <w:locked/>
    <w:rsid w:val="00A42778"/>
    <w:pPr>
      <w:framePr w:wrap="auto" w:vAnchor="page" w:hAnchor="page" w:x="1333" w:y="228"/>
      <w:overflowPunct w:val="0"/>
      <w:autoSpaceDE w:val="0"/>
      <w:autoSpaceDN w:val="0"/>
      <w:adjustRightInd w:val="0"/>
      <w:spacing w:before="80" w:after="0" w:line="240" w:lineRule="auto"/>
      <w:suppressOverlap/>
      <w:jc w:val="right"/>
      <w:textAlignment w:val="baseline"/>
    </w:pPr>
    <w:rPr>
      <w:rFonts w:ascii="Arial" w:eastAsia="Times New Roman" w:hAnsi="Arial" w:cs="Arial"/>
      <w:b/>
      <w:bCs/>
      <w:caps/>
      <w:color w:val="000000"/>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9784">
      <w:bodyDiv w:val="1"/>
      <w:marLeft w:val="0"/>
      <w:marRight w:val="0"/>
      <w:marTop w:val="0"/>
      <w:marBottom w:val="0"/>
      <w:divBdr>
        <w:top w:val="none" w:sz="0" w:space="0" w:color="auto"/>
        <w:left w:val="none" w:sz="0" w:space="0" w:color="auto"/>
        <w:bottom w:val="none" w:sz="0" w:space="0" w:color="auto"/>
        <w:right w:val="none" w:sz="0" w:space="0" w:color="auto"/>
      </w:divBdr>
    </w:div>
    <w:div w:id="9595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2FF69A50-DC1F-4E2F-8814-F3747DED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12</Pages>
  <Words>4928</Words>
  <Characters>28094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2022-03-29T22:41:00Z</dcterms:created>
  <dcterms:modified xsi:type="dcterms:W3CDTF">2022-03-31T19:38:00Z</dcterms:modified>
</cp:coreProperties>
</file>