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E6" w:rsidRPr="00CF2DE6" w:rsidRDefault="000A029E" w:rsidP="00803F60">
      <w:pPr>
        <w:ind w:left="567" w:firstLine="0"/>
        <w:jc w:val="left"/>
        <w:rPr>
          <w:rFonts w:eastAsia="Times New Roman" w:cs="Times New Roman"/>
          <w:b/>
          <w:color w:val="auto"/>
          <w:szCs w:val="24"/>
          <w:lang w:val="en-US" w:eastAsia="ru-RU"/>
        </w:rPr>
      </w:pPr>
      <w:r w:rsidRPr="00CF2DE6">
        <w:rPr>
          <w:rFonts w:eastAsia="Times New Roman" w:cs="Times New Roman"/>
          <w:b/>
          <w:color w:val="auto"/>
          <w:szCs w:val="24"/>
          <w:lang w:val="en-US" w:eastAsia="ru-RU"/>
        </w:rPr>
        <w:t>T</w:t>
      </w:r>
      <w:r>
        <w:rPr>
          <w:rFonts w:eastAsia="Times New Roman" w:cs="Times New Roman"/>
          <w:b/>
          <w:color w:val="auto"/>
          <w:szCs w:val="24"/>
          <w:lang w:val="en-US" w:eastAsia="ru-RU"/>
        </w:rPr>
        <w:t>HE</w:t>
      </w:r>
      <w:r w:rsidRPr="00CF2DE6">
        <w:rPr>
          <w:rFonts w:eastAsia="Times New Roman" w:cs="Times New Roman"/>
          <w:b/>
          <w:color w:val="auto"/>
          <w:szCs w:val="24"/>
          <w:lang w:val="en-US" w:eastAsia="ru-RU"/>
        </w:rPr>
        <w:t xml:space="preserve"> INITIAL STAGE </w:t>
      </w:r>
      <w:r>
        <w:rPr>
          <w:rFonts w:eastAsia="Times New Roman" w:cs="Times New Roman"/>
          <w:b/>
          <w:color w:val="auto"/>
          <w:szCs w:val="24"/>
          <w:lang w:val="en-US" w:eastAsia="ru-RU"/>
        </w:rPr>
        <w:t>OF</w:t>
      </w:r>
      <w:r w:rsidRPr="00CF2DE6">
        <w:rPr>
          <w:rFonts w:eastAsia="Times New Roman" w:cs="Times New Roman"/>
          <w:b/>
          <w:color w:val="auto"/>
          <w:szCs w:val="24"/>
          <w:lang w:val="en-US" w:eastAsia="ru-RU"/>
        </w:rPr>
        <w:t xml:space="preserve"> CLOSING </w:t>
      </w:r>
      <w:r>
        <w:rPr>
          <w:rFonts w:eastAsia="Times New Roman" w:cs="Times New Roman"/>
          <w:b/>
          <w:color w:val="auto"/>
          <w:szCs w:val="24"/>
          <w:lang w:val="en-US" w:eastAsia="ru-RU"/>
        </w:rPr>
        <w:t>THE</w:t>
      </w:r>
      <w:r w:rsidRPr="00CF2DE6">
        <w:rPr>
          <w:rFonts w:eastAsia="Times New Roman" w:cs="Times New Roman"/>
          <w:b/>
          <w:color w:val="auto"/>
          <w:szCs w:val="24"/>
          <w:lang w:val="en-US" w:eastAsia="ru-RU"/>
        </w:rPr>
        <w:t xml:space="preserve"> NFC </w:t>
      </w:r>
      <w:r>
        <w:rPr>
          <w:rFonts w:eastAsia="Times New Roman" w:cs="Times New Roman"/>
          <w:b/>
          <w:color w:val="auto"/>
          <w:szCs w:val="24"/>
          <w:lang w:val="en-US" w:eastAsia="ru-RU"/>
        </w:rPr>
        <w:t>OF</w:t>
      </w:r>
      <w:r w:rsidRPr="00CF2DE6">
        <w:rPr>
          <w:rFonts w:eastAsia="Times New Roman" w:cs="Times New Roman"/>
          <w:b/>
          <w:color w:val="auto"/>
          <w:szCs w:val="24"/>
          <w:lang w:val="en-US" w:eastAsia="ru-RU"/>
        </w:rPr>
        <w:t xml:space="preserve"> TWO-COMPONENT NUCLEAR POWER. CHALLENGES AND SOLUTIONS</w:t>
      </w:r>
    </w:p>
    <w:p w:rsidR="00CF2DE6" w:rsidRPr="004408A7" w:rsidRDefault="00CF2DE6" w:rsidP="00803F60">
      <w:pPr>
        <w:tabs>
          <w:tab w:val="left" w:pos="7485"/>
        </w:tabs>
        <w:ind w:left="567" w:firstLine="0"/>
        <w:jc w:val="left"/>
        <w:rPr>
          <w:rFonts w:eastAsia="Times New Roman" w:cs="Times New Roman"/>
          <w:color w:val="auto"/>
          <w:szCs w:val="24"/>
          <w:lang w:val="en-US" w:eastAsia="ru-RU"/>
        </w:rPr>
      </w:pPr>
      <w:r w:rsidRPr="00A51DD5">
        <w:rPr>
          <w:rFonts w:eastAsia="Times New Roman" w:cs="Times New Roman"/>
          <w:color w:val="auto"/>
          <w:szCs w:val="24"/>
          <w:lang w:val="en-US" w:eastAsia="ru-RU"/>
        </w:rPr>
        <w:t xml:space="preserve"> </w:t>
      </w:r>
      <w:r>
        <w:rPr>
          <w:rFonts w:eastAsia="Times New Roman" w:cs="Times New Roman"/>
          <w:color w:val="auto"/>
          <w:szCs w:val="24"/>
          <w:lang w:val="en-US" w:eastAsia="ru-RU"/>
        </w:rPr>
        <w:tab/>
      </w:r>
    </w:p>
    <w:p w:rsidR="00803F60" w:rsidRDefault="008F4023" w:rsidP="00803F60">
      <w:pPr>
        <w:ind w:left="567" w:firstLine="0"/>
        <w:jc w:val="left"/>
        <w:rPr>
          <w:rFonts w:eastAsia="Times New Roman" w:cs="Times New Roman"/>
          <w:color w:val="auto"/>
          <w:sz w:val="20"/>
          <w:szCs w:val="20"/>
          <w:lang w:val="en-US" w:eastAsia="ru-RU"/>
        </w:rPr>
      </w:pPr>
      <w:r>
        <w:rPr>
          <w:rFonts w:eastAsia="Times New Roman" w:cs="Times New Roman"/>
          <w:color w:val="auto"/>
          <w:sz w:val="20"/>
          <w:szCs w:val="20"/>
          <w:lang w:val="en-US" w:eastAsia="ru-RU"/>
        </w:rPr>
        <w:t>A.</w:t>
      </w:r>
      <w:bookmarkStart w:id="0" w:name="_GoBack"/>
      <w:bookmarkEnd w:id="0"/>
      <w:r>
        <w:rPr>
          <w:rFonts w:eastAsia="Times New Roman" w:cs="Times New Roman"/>
          <w:color w:val="auto"/>
          <w:sz w:val="20"/>
          <w:szCs w:val="20"/>
          <w:lang w:val="en-US" w:eastAsia="ru-RU"/>
        </w:rPr>
        <w:t>V.</w:t>
      </w:r>
      <w:r w:rsidRPr="00F349CB">
        <w:rPr>
          <w:rFonts w:eastAsia="Times New Roman" w:cs="Times New Roman"/>
          <w:color w:val="auto"/>
          <w:sz w:val="20"/>
          <w:szCs w:val="20"/>
          <w:lang w:val="en-US" w:eastAsia="ru-RU"/>
        </w:rPr>
        <w:t xml:space="preserve"> </w:t>
      </w:r>
      <w:r w:rsidR="00803F60">
        <w:rPr>
          <w:rFonts w:eastAsia="Times New Roman" w:cs="Times New Roman"/>
          <w:color w:val="auto"/>
          <w:sz w:val="20"/>
          <w:szCs w:val="20"/>
          <w:lang w:val="en-US" w:eastAsia="ru-RU"/>
        </w:rPr>
        <w:t>GULEVICH</w:t>
      </w:r>
    </w:p>
    <w:p w:rsidR="00803F60" w:rsidRPr="00DB465F" w:rsidRDefault="00803F60" w:rsidP="00803F60">
      <w:pPr>
        <w:ind w:left="567" w:firstLine="0"/>
        <w:rPr>
          <w:rFonts w:cs="Times New Roman"/>
          <w:sz w:val="20"/>
          <w:szCs w:val="20"/>
          <w:lang w:val="en-US"/>
        </w:rPr>
      </w:pPr>
      <w:r w:rsidRPr="00F70739">
        <w:rPr>
          <w:rFonts w:cs="Times New Roman"/>
          <w:sz w:val="20"/>
          <w:szCs w:val="20"/>
          <w:lang w:val="en-US"/>
        </w:rPr>
        <w:t>State Scientific Center of the Russian Federation - Leypunsky Institute for Physics and Power Engineering, Joint-Stock Company (IPPE JSC)</w:t>
      </w:r>
    </w:p>
    <w:p w:rsidR="00803F60" w:rsidRDefault="00803F60" w:rsidP="00803F60">
      <w:pPr>
        <w:ind w:left="567" w:firstLine="0"/>
        <w:jc w:val="left"/>
        <w:rPr>
          <w:rFonts w:eastAsia="Times New Roman" w:cs="Times New Roman"/>
          <w:color w:val="auto"/>
          <w:sz w:val="20"/>
          <w:szCs w:val="20"/>
          <w:lang w:val="en-US" w:eastAsia="ru-RU"/>
        </w:rPr>
      </w:pPr>
      <w:r w:rsidRPr="00DB465F">
        <w:rPr>
          <w:rFonts w:cs="Times New Roman"/>
          <w:sz w:val="20"/>
          <w:szCs w:val="20"/>
          <w:lang w:val="en-US"/>
        </w:rPr>
        <w:t>Obninsk, Russian Federation</w:t>
      </w:r>
    </w:p>
    <w:p w:rsidR="00803F60" w:rsidRDefault="00803F60" w:rsidP="00803F60">
      <w:pPr>
        <w:ind w:left="567" w:firstLine="0"/>
        <w:jc w:val="left"/>
        <w:rPr>
          <w:rFonts w:eastAsia="Times New Roman" w:cs="Times New Roman"/>
          <w:color w:val="auto"/>
          <w:sz w:val="20"/>
          <w:szCs w:val="20"/>
          <w:lang w:val="en-US" w:eastAsia="ru-RU"/>
        </w:rPr>
      </w:pPr>
    </w:p>
    <w:p w:rsidR="00994958" w:rsidRDefault="008F4023" w:rsidP="00994958">
      <w:pPr>
        <w:tabs>
          <w:tab w:val="left" w:pos="4176"/>
        </w:tabs>
        <w:ind w:left="567" w:firstLine="0"/>
        <w:jc w:val="left"/>
        <w:rPr>
          <w:rFonts w:eastAsia="Times New Roman" w:cs="Times New Roman"/>
          <w:color w:val="auto"/>
          <w:sz w:val="20"/>
          <w:szCs w:val="20"/>
          <w:lang w:val="en-US" w:eastAsia="ru-RU"/>
        </w:rPr>
      </w:pPr>
      <w:r>
        <w:rPr>
          <w:rFonts w:eastAsia="Times New Roman" w:cs="Times New Roman"/>
          <w:color w:val="auto"/>
          <w:sz w:val="20"/>
          <w:szCs w:val="20"/>
          <w:lang w:val="en-US" w:eastAsia="ru-RU"/>
        </w:rPr>
        <w:t>V.M.</w:t>
      </w:r>
      <w:r w:rsidRPr="00F349CB">
        <w:rPr>
          <w:rFonts w:eastAsia="Times New Roman" w:cs="Times New Roman"/>
          <w:color w:val="auto"/>
          <w:sz w:val="20"/>
          <w:szCs w:val="20"/>
          <w:lang w:val="en-US" w:eastAsia="ru-RU"/>
        </w:rPr>
        <w:t xml:space="preserve"> </w:t>
      </w:r>
      <w:r w:rsidR="00994958">
        <w:rPr>
          <w:rFonts w:eastAsia="Times New Roman" w:cs="Times New Roman"/>
          <w:color w:val="auto"/>
          <w:sz w:val="20"/>
          <w:szCs w:val="20"/>
          <w:lang w:val="en-US" w:eastAsia="ru-RU"/>
        </w:rPr>
        <w:t>DEKUSAR</w:t>
      </w:r>
      <w:r w:rsidR="00994958">
        <w:rPr>
          <w:rFonts w:eastAsia="Times New Roman" w:cs="Times New Roman"/>
          <w:color w:val="auto"/>
          <w:sz w:val="20"/>
          <w:szCs w:val="20"/>
          <w:lang w:val="en-US" w:eastAsia="ru-RU"/>
        </w:rPr>
        <w:tab/>
      </w:r>
    </w:p>
    <w:p w:rsidR="00994958" w:rsidRPr="00DB465F" w:rsidRDefault="00994958" w:rsidP="00994958">
      <w:pPr>
        <w:ind w:left="567" w:firstLine="0"/>
        <w:rPr>
          <w:rFonts w:cs="Times New Roman"/>
          <w:sz w:val="20"/>
          <w:szCs w:val="20"/>
          <w:lang w:val="en-US"/>
        </w:rPr>
      </w:pPr>
      <w:r w:rsidRPr="00F70739">
        <w:rPr>
          <w:rFonts w:cs="Times New Roman"/>
          <w:sz w:val="20"/>
          <w:szCs w:val="20"/>
          <w:lang w:val="en-US"/>
        </w:rPr>
        <w:t>IPPE JSC</w:t>
      </w:r>
    </w:p>
    <w:p w:rsidR="00994958" w:rsidRDefault="00994958" w:rsidP="00994958">
      <w:pPr>
        <w:ind w:left="567" w:firstLine="0"/>
        <w:jc w:val="left"/>
        <w:rPr>
          <w:rFonts w:cs="Times New Roman"/>
          <w:sz w:val="20"/>
          <w:szCs w:val="20"/>
          <w:lang w:val="en-US"/>
        </w:rPr>
      </w:pPr>
      <w:r w:rsidRPr="00DB465F">
        <w:rPr>
          <w:rFonts w:cs="Times New Roman"/>
          <w:sz w:val="20"/>
          <w:szCs w:val="20"/>
          <w:lang w:val="en-US"/>
        </w:rPr>
        <w:t>Obninsk, Russian Federation</w:t>
      </w:r>
    </w:p>
    <w:p w:rsidR="00994958" w:rsidRDefault="00994958" w:rsidP="00994958">
      <w:pPr>
        <w:ind w:left="567" w:firstLine="0"/>
        <w:jc w:val="left"/>
        <w:rPr>
          <w:rFonts w:eastAsia="Times New Roman" w:cs="Times New Roman"/>
          <w:color w:val="auto"/>
          <w:sz w:val="20"/>
          <w:szCs w:val="20"/>
          <w:lang w:val="en-US" w:eastAsia="ru-RU"/>
        </w:rPr>
      </w:pPr>
      <w:r w:rsidRPr="005B6189">
        <w:rPr>
          <w:color w:val="000000"/>
          <w:sz w:val="20"/>
          <w:szCs w:val="20"/>
          <w:lang w:val="en-US"/>
        </w:rPr>
        <w:t xml:space="preserve">E-mail: </w:t>
      </w:r>
      <w:r w:rsidRPr="005B6189">
        <w:rPr>
          <w:sz w:val="20"/>
          <w:szCs w:val="20"/>
          <w:lang w:val="en-US"/>
        </w:rPr>
        <w:t>decouss@ippe.ru</w:t>
      </w:r>
    </w:p>
    <w:p w:rsidR="00994958" w:rsidRDefault="00994958" w:rsidP="00803F60">
      <w:pPr>
        <w:ind w:left="567" w:firstLine="0"/>
        <w:jc w:val="left"/>
        <w:rPr>
          <w:rFonts w:eastAsia="Times New Roman" w:cs="Times New Roman"/>
          <w:color w:val="auto"/>
          <w:sz w:val="20"/>
          <w:szCs w:val="20"/>
          <w:lang w:val="en-US" w:eastAsia="ru-RU"/>
        </w:rPr>
      </w:pPr>
    </w:p>
    <w:p w:rsidR="00994958" w:rsidRDefault="008F4023" w:rsidP="00994958">
      <w:pPr>
        <w:ind w:left="567" w:firstLine="0"/>
        <w:jc w:val="left"/>
        <w:rPr>
          <w:rFonts w:eastAsia="Times New Roman" w:cs="Times New Roman"/>
          <w:color w:val="auto"/>
          <w:szCs w:val="24"/>
          <w:lang w:val="en-US" w:eastAsia="ru-RU"/>
        </w:rPr>
      </w:pPr>
      <w:r w:rsidRPr="000A029E">
        <w:rPr>
          <w:rFonts w:eastAsia="Times New Roman" w:cs="Times New Roman"/>
          <w:color w:val="auto"/>
          <w:sz w:val="20"/>
          <w:szCs w:val="20"/>
          <w:lang w:val="en-US" w:eastAsia="ru-RU"/>
        </w:rPr>
        <w:t>A.L</w:t>
      </w:r>
      <w:r w:rsidRPr="00A51DD5">
        <w:rPr>
          <w:rFonts w:eastAsia="Times New Roman" w:cs="Times New Roman"/>
          <w:color w:val="auto"/>
          <w:szCs w:val="24"/>
          <w:lang w:val="en-US" w:eastAsia="ru-RU"/>
        </w:rPr>
        <w:t>.</w:t>
      </w:r>
      <w:r w:rsidRPr="008F4023">
        <w:rPr>
          <w:rFonts w:eastAsia="Times New Roman" w:cs="Times New Roman"/>
          <w:color w:val="auto"/>
          <w:szCs w:val="24"/>
          <w:lang w:val="en-US" w:eastAsia="ru-RU"/>
        </w:rPr>
        <w:t xml:space="preserve"> </w:t>
      </w:r>
      <w:r w:rsidR="00994958" w:rsidRPr="000A029E">
        <w:rPr>
          <w:rFonts w:eastAsia="Times New Roman" w:cs="Times New Roman"/>
          <w:color w:val="auto"/>
          <w:sz w:val="20"/>
          <w:szCs w:val="20"/>
          <w:lang w:val="en-US" w:eastAsia="ru-RU"/>
        </w:rPr>
        <w:t>MOSEEV</w:t>
      </w:r>
    </w:p>
    <w:p w:rsidR="00994958" w:rsidRPr="00DB465F" w:rsidRDefault="00994958" w:rsidP="00994958">
      <w:pPr>
        <w:ind w:left="567" w:firstLine="0"/>
        <w:rPr>
          <w:rFonts w:cs="Times New Roman"/>
          <w:sz w:val="20"/>
          <w:szCs w:val="20"/>
          <w:lang w:val="en-US"/>
        </w:rPr>
      </w:pPr>
      <w:r w:rsidRPr="00F70739">
        <w:rPr>
          <w:rFonts w:cs="Times New Roman"/>
          <w:sz w:val="20"/>
          <w:szCs w:val="20"/>
          <w:lang w:val="en-US"/>
        </w:rPr>
        <w:t>IPPE JSC</w:t>
      </w:r>
    </w:p>
    <w:p w:rsidR="00994958" w:rsidRDefault="00994958" w:rsidP="00994958">
      <w:pPr>
        <w:ind w:left="567" w:firstLine="0"/>
        <w:jc w:val="left"/>
        <w:rPr>
          <w:rFonts w:cs="Times New Roman"/>
          <w:sz w:val="20"/>
          <w:szCs w:val="20"/>
          <w:lang w:val="en-US"/>
        </w:rPr>
      </w:pPr>
      <w:r w:rsidRPr="00DB465F">
        <w:rPr>
          <w:rFonts w:cs="Times New Roman"/>
          <w:sz w:val="20"/>
          <w:szCs w:val="20"/>
          <w:lang w:val="en-US"/>
        </w:rPr>
        <w:t>Obninsk, Russian Federation</w:t>
      </w:r>
    </w:p>
    <w:p w:rsidR="00994958" w:rsidRDefault="00994958" w:rsidP="00994958">
      <w:pPr>
        <w:ind w:left="567" w:firstLine="0"/>
        <w:jc w:val="left"/>
        <w:rPr>
          <w:rFonts w:cs="Times New Roman"/>
          <w:sz w:val="20"/>
          <w:szCs w:val="20"/>
          <w:lang w:val="en-US"/>
        </w:rPr>
      </w:pPr>
    </w:p>
    <w:p w:rsidR="00803F60" w:rsidRDefault="008F4023" w:rsidP="00803F60">
      <w:pPr>
        <w:ind w:left="567" w:firstLine="0"/>
        <w:jc w:val="left"/>
        <w:rPr>
          <w:rFonts w:eastAsia="Times New Roman" w:cs="Times New Roman"/>
          <w:color w:val="auto"/>
          <w:sz w:val="20"/>
          <w:szCs w:val="20"/>
          <w:lang w:val="en-US" w:eastAsia="ru-RU"/>
        </w:rPr>
      </w:pPr>
      <w:r>
        <w:rPr>
          <w:rFonts w:eastAsia="Times New Roman" w:cs="Times New Roman"/>
          <w:color w:val="auto"/>
          <w:sz w:val="20"/>
          <w:szCs w:val="20"/>
          <w:lang w:val="en-US" w:eastAsia="ru-RU"/>
        </w:rPr>
        <w:t>V.V.</w:t>
      </w:r>
      <w:r w:rsidRPr="008F4023">
        <w:rPr>
          <w:rFonts w:eastAsia="Times New Roman" w:cs="Times New Roman"/>
          <w:color w:val="auto"/>
          <w:sz w:val="20"/>
          <w:szCs w:val="20"/>
          <w:lang w:val="en-US" w:eastAsia="ru-RU"/>
        </w:rPr>
        <w:t xml:space="preserve"> </w:t>
      </w:r>
      <w:r w:rsidR="000A029E" w:rsidRPr="000A029E">
        <w:rPr>
          <w:rFonts w:eastAsia="Times New Roman" w:cs="Times New Roman"/>
          <w:color w:val="auto"/>
          <w:sz w:val="20"/>
          <w:szCs w:val="20"/>
          <w:lang w:val="en-US" w:eastAsia="ru-RU"/>
        </w:rPr>
        <w:t>KOROBEI</w:t>
      </w:r>
      <w:r w:rsidR="00803F60">
        <w:rPr>
          <w:rFonts w:eastAsia="Times New Roman" w:cs="Times New Roman"/>
          <w:color w:val="auto"/>
          <w:sz w:val="20"/>
          <w:szCs w:val="20"/>
          <w:lang w:val="en-US" w:eastAsia="ru-RU"/>
        </w:rPr>
        <w:t xml:space="preserve">NIKOV </w:t>
      </w:r>
    </w:p>
    <w:p w:rsidR="00803F60" w:rsidRPr="00DB465F" w:rsidRDefault="00803F60" w:rsidP="00803F60">
      <w:pPr>
        <w:ind w:left="567" w:firstLine="0"/>
        <w:rPr>
          <w:rFonts w:cs="Times New Roman"/>
          <w:sz w:val="20"/>
          <w:szCs w:val="20"/>
          <w:lang w:val="en-US"/>
        </w:rPr>
      </w:pPr>
      <w:r w:rsidRPr="00F70739">
        <w:rPr>
          <w:rFonts w:cs="Times New Roman"/>
          <w:sz w:val="20"/>
          <w:szCs w:val="20"/>
          <w:lang w:val="en-US"/>
        </w:rPr>
        <w:t>IPPE JSC</w:t>
      </w:r>
    </w:p>
    <w:p w:rsidR="00803F60" w:rsidRDefault="00803F60" w:rsidP="00803F60">
      <w:pPr>
        <w:ind w:left="567" w:firstLine="0"/>
        <w:jc w:val="left"/>
        <w:rPr>
          <w:rFonts w:eastAsia="Times New Roman" w:cs="Times New Roman"/>
          <w:color w:val="auto"/>
          <w:sz w:val="20"/>
          <w:szCs w:val="20"/>
          <w:lang w:val="en-US" w:eastAsia="ru-RU"/>
        </w:rPr>
      </w:pPr>
      <w:r w:rsidRPr="00DB465F">
        <w:rPr>
          <w:rFonts w:cs="Times New Roman"/>
          <w:sz w:val="20"/>
          <w:szCs w:val="20"/>
          <w:lang w:val="en-US"/>
        </w:rPr>
        <w:t>Obninsk, Russian Federation</w:t>
      </w:r>
    </w:p>
    <w:p w:rsidR="00803F60" w:rsidRDefault="00803F60" w:rsidP="00803F60">
      <w:pPr>
        <w:ind w:left="567" w:firstLine="0"/>
        <w:jc w:val="left"/>
        <w:rPr>
          <w:rFonts w:eastAsia="Times New Roman" w:cs="Times New Roman"/>
          <w:color w:val="auto"/>
          <w:sz w:val="20"/>
          <w:szCs w:val="20"/>
          <w:lang w:val="en-US" w:eastAsia="ru-RU"/>
        </w:rPr>
      </w:pPr>
    </w:p>
    <w:p w:rsidR="00CF2DE6" w:rsidRDefault="00CF2DE6" w:rsidP="00CF45D1">
      <w:pPr>
        <w:ind w:left="567" w:firstLine="0"/>
        <w:jc w:val="left"/>
        <w:rPr>
          <w:rFonts w:eastAsia="Times New Roman" w:cs="Times New Roman"/>
          <w:b/>
          <w:color w:val="auto"/>
          <w:sz w:val="20"/>
          <w:szCs w:val="20"/>
          <w:lang w:val="en-US" w:eastAsia="ru-RU"/>
        </w:rPr>
      </w:pPr>
      <w:r w:rsidRPr="000A029E">
        <w:rPr>
          <w:rFonts w:eastAsia="Times New Roman" w:cs="Times New Roman"/>
          <w:b/>
          <w:color w:val="auto"/>
          <w:sz w:val="20"/>
          <w:szCs w:val="20"/>
          <w:lang w:val="en-US" w:eastAsia="ru-RU"/>
        </w:rPr>
        <w:t>Abstract</w:t>
      </w:r>
    </w:p>
    <w:p w:rsidR="00CF45D1" w:rsidRDefault="00CF45D1" w:rsidP="00CF45D1">
      <w:pPr>
        <w:ind w:left="567" w:firstLine="0"/>
        <w:jc w:val="left"/>
        <w:rPr>
          <w:rFonts w:eastAsia="Times New Roman" w:cs="Times New Roman"/>
          <w:b/>
          <w:color w:val="auto"/>
          <w:sz w:val="20"/>
          <w:szCs w:val="20"/>
          <w:lang w:val="en-US" w:eastAsia="ru-RU"/>
        </w:rPr>
      </w:pPr>
    </w:p>
    <w:p w:rsidR="00CF2DE6" w:rsidRDefault="00CF2DE6" w:rsidP="00CF45D1">
      <w:pPr>
        <w:ind w:firstLine="567"/>
        <w:rPr>
          <w:rFonts w:eastAsia="Times New Roman" w:cs="Times New Roman"/>
          <w:color w:val="auto"/>
          <w:sz w:val="18"/>
          <w:szCs w:val="18"/>
          <w:lang w:val="en-US" w:eastAsia="ru-RU"/>
        </w:rPr>
      </w:pPr>
      <w:r w:rsidRPr="000A029E">
        <w:rPr>
          <w:rFonts w:eastAsia="Times New Roman" w:cs="Times New Roman"/>
          <w:color w:val="auto"/>
          <w:sz w:val="18"/>
          <w:szCs w:val="18"/>
          <w:lang w:val="en-US" w:eastAsia="ru-RU"/>
        </w:rPr>
        <w:t>When transferring to two-component nuclear energy system</w:t>
      </w:r>
      <w:r w:rsidR="003C1E2D" w:rsidRPr="000A029E">
        <w:rPr>
          <w:rFonts w:eastAsia="Times New Roman" w:cs="Times New Roman"/>
          <w:color w:val="auto"/>
          <w:sz w:val="18"/>
          <w:szCs w:val="18"/>
          <w:lang w:val="en-US" w:eastAsia="ru-RU"/>
        </w:rPr>
        <w:t xml:space="preserve"> (NES)</w:t>
      </w:r>
      <w:r w:rsidRPr="000A029E">
        <w:rPr>
          <w:rFonts w:eastAsia="Times New Roman" w:cs="Times New Roman"/>
          <w:color w:val="auto"/>
          <w:sz w:val="18"/>
          <w:szCs w:val="18"/>
          <w:lang w:val="en-US" w:eastAsia="ru-RU"/>
        </w:rPr>
        <w:t xml:space="preserve"> at the initial stage of closing the nuclear fuel cycle</w:t>
      </w:r>
      <w:r w:rsidR="003C1E2D" w:rsidRPr="000A029E">
        <w:rPr>
          <w:rFonts w:eastAsia="Times New Roman" w:cs="Times New Roman"/>
          <w:color w:val="auto"/>
          <w:sz w:val="18"/>
          <w:szCs w:val="18"/>
          <w:lang w:val="en-US" w:eastAsia="ru-RU"/>
        </w:rPr>
        <w:t xml:space="preserve"> (NFC)</w:t>
      </w:r>
      <w:r w:rsidRPr="000A029E">
        <w:rPr>
          <w:rFonts w:eastAsia="Times New Roman" w:cs="Times New Roman"/>
          <w:color w:val="auto"/>
          <w:sz w:val="18"/>
          <w:szCs w:val="18"/>
          <w:lang w:val="en-US" w:eastAsia="ru-RU"/>
        </w:rPr>
        <w:t xml:space="preserve"> </w:t>
      </w:r>
      <w:r w:rsidR="003C1E2D" w:rsidRPr="000A029E">
        <w:rPr>
          <w:rFonts w:eastAsia="Times New Roman" w:cs="Times New Roman"/>
          <w:color w:val="auto"/>
          <w:sz w:val="18"/>
          <w:szCs w:val="18"/>
          <w:lang w:val="en-US" w:eastAsia="ru-RU"/>
        </w:rPr>
        <w:t>in</w:t>
      </w:r>
      <w:r w:rsidRPr="000A029E">
        <w:rPr>
          <w:rFonts w:eastAsia="Times New Roman" w:cs="Times New Roman"/>
          <w:color w:val="auto"/>
          <w:sz w:val="18"/>
          <w:szCs w:val="18"/>
          <w:lang w:val="en-US" w:eastAsia="ru-RU"/>
        </w:rPr>
        <w:t xml:space="preserve"> Russia, the number of fast breeder reactors BN type fuelled with plutonium do exist to a small extent,  and stocks of separated plutonium already are sizable  and continue to grow due to pilot reprocessing </w:t>
      </w:r>
      <w:r w:rsidR="003C1E2D" w:rsidRPr="000A029E">
        <w:rPr>
          <w:rFonts w:eastAsia="Times New Roman" w:cs="Times New Roman"/>
          <w:color w:val="auto"/>
          <w:sz w:val="18"/>
          <w:szCs w:val="18"/>
          <w:lang w:val="en-US" w:eastAsia="ru-RU"/>
        </w:rPr>
        <w:t>spent nuclear fuel (</w:t>
      </w:r>
      <w:r w:rsidRPr="000A029E">
        <w:rPr>
          <w:rFonts w:eastAsia="Times New Roman" w:cs="Times New Roman"/>
          <w:color w:val="auto"/>
          <w:sz w:val="18"/>
          <w:szCs w:val="18"/>
          <w:lang w:val="en-US" w:eastAsia="ru-RU"/>
        </w:rPr>
        <w:t>SNF</w:t>
      </w:r>
      <w:r w:rsidR="003C1E2D" w:rsidRPr="000A029E">
        <w:rPr>
          <w:rFonts w:eastAsia="Times New Roman" w:cs="Times New Roman"/>
          <w:color w:val="auto"/>
          <w:sz w:val="18"/>
          <w:szCs w:val="18"/>
          <w:lang w:val="en-US" w:eastAsia="ru-RU"/>
        </w:rPr>
        <w:t>)</w:t>
      </w:r>
      <w:r w:rsidRPr="000A029E">
        <w:rPr>
          <w:rFonts w:eastAsia="Times New Roman" w:cs="Times New Roman"/>
          <w:color w:val="auto"/>
          <w:sz w:val="18"/>
          <w:szCs w:val="18"/>
          <w:lang w:val="en-US" w:eastAsia="ru-RU"/>
        </w:rPr>
        <w:t xml:space="preserve"> of VVERs. </w:t>
      </w:r>
      <w:r w:rsidRPr="000A029E">
        <w:rPr>
          <w:sz w:val="18"/>
          <w:szCs w:val="18"/>
          <w:lang w:val="en-US"/>
        </w:rPr>
        <w:t xml:space="preserve">Therefore, for this period of time, it is proposed </w:t>
      </w:r>
      <w:r w:rsidRPr="000A029E">
        <w:rPr>
          <w:rFonts w:eastAsia="Times New Roman" w:cs="Times New Roman"/>
          <w:color w:val="auto"/>
          <w:sz w:val="18"/>
          <w:szCs w:val="18"/>
          <w:lang w:val="en-US" w:eastAsia="ru-RU"/>
        </w:rPr>
        <w:t xml:space="preserve">to abandon reprocessing the </w:t>
      </w:r>
      <w:r w:rsidR="003C1E2D" w:rsidRPr="000A029E">
        <w:rPr>
          <w:rFonts w:eastAsia="Times New Roman" w:cs="Times New Roman"/>
          <w:color w:val="auto"/>
          <w:sz w:val="18"/>
          <w:szCs w:val="18"/>
          <w:lang w:val="en-US" w:eastAsia="ru-RU"/>
        </w:rPr>
        <w:t>SNF</w:t>
      </w:r>
      <w:r w:rsidRPr="000A029E">
        <w:rPr>
          <w:rFonts w:eastAsia="Times New Roman" w:cs="Times New Roman"/>
          <w:color w:val="auto"/>
          <w:sz w:val="18"/>
          <w:szCs w:val="18"/>
          <w:lang w:val="en-US" w:eastAsia="ru-RU"/>
        </w:rPr>
        <w:t xml:space="preserve"> from the BN reactors, i.e. to operate in the "open in plutonium" cycle with storage of this </w:t>
      </w:r>
      <w:r w:rsidR="003C1E2D" w:rsidRPr="000A029E">
        <w:rPr>
          <w:rFonts w:eastAsia="Times New Roman" w:cs="Times New Roman"/>
          <w:color w:val="auto"/>
          <w:sz w:val="18"/>
          <w:szCs w:val="18"/>
          <w:lang w:val="en-US" w:eastAsia="ru-RU"/>
        </w:rPr>
        <w:t>SNF</w:t>
      </w:r>
      <w:r w:rsidRPr="000A029E">
        <w:rPr>
          <w:rFonts w:eastAsia="Times New Roman" w:cs="Times New Roman"/>
          <w:color w:val="auto"/>
          <w:sz w:val="18"/>
          <w:szCs w:val="18"/>
          <w:lang w:val="en-US" w:eastAsia="ru-RU"/>
        </w:rPr>
        <w:t xml:space="preserve">. The results of scenario studies show that the amount of plutonium extracted from VVER SNF is sufficient for commissioning and continuing operation of a small series of BN reactors. In addition, it is possible to </w:t>
      </w:r>
      <w:r w:rsidR="00E96535" w:rsidRPr="000A029E">
        <w:rPr>
          <w:rFonts w:eastAsia="Times New Roman" w:cs="Times New Roman"/>
          <w:color w:val="auto"/>
          <w:sz w:val="18"/>
          <w:szCs w:val="18"/>
          <w:lang w:val="en-US" w:eastAsia="ru-RU"/>
        </w:rPr>
        <w:t>abandon</w:t>
      </w:r>
      <w:r w:rsidRPr="000A029E">
        <w:rPr>
          <w:rFonts w:eastAsia="Times New Roman" w:cs="Times New Roman"/>
          <w:color w:val="auto"/>
          <w:sz w:val="18"/>
          <w:szCs w:val="18"/>
          <w:lang w:val="en-US" w:eastAsia="ru-RU"/>
        </w:rPr>
        <w:t xml:space="preserve"> a radial </w:t>
      </w:r>
      <w:r w:rsidR="00E96535" w:rsidRPr="000A029E">
        <w:rPr>
          <w:rFonts w:eastAsia="Times New Roman" w:cs="Times New Roman"/>
          <w:color w:val="auto"/>
          <w:sz w:val="18"/>
          <w:szCs w:val="18"/>
          <w:lang w:val="en-US" w:eastAsia="ru-RU"/>
        </w:rPr>
        <w:t xml:space="preserve">fertile </w:t>
      </w:r>
      <w:r w:rsidRPr="000A029E">
        <w:rPr>
          <w:rFonts w:eastAsia="Times New Roman" w:cs="Times New Roman"/>
          <w:color w:val="auto"/>
          <w:sz w:val="18"/>
          <w:szCs w:val="18"/>
          <w:lang w:val="en-US" w:eastAsia="ru-RU"/>
        </w:rPr>
        <w:t>blanket</w:t>
      </w:r>
      <w:r w:rsidR="00E96535" w:rsidRPr="000A029E">
        <w:rPr>
          <w:rFonts w:eastAsia="Times New Roman" w:cs="Times New Roman"/>
          <w:color w:val="auto"/>
          <w:sz w:val="18"/>
          <w:szCs w:val="18"/>
          <w:lang w:val="en-US" w:eastAsia="ru-RU"/>
        </w:rPr>
        <w:t xml:space="preserve"> (RFB)</w:t>
      </w:r>
      <w:r w:rsidRPr="000A029E">
        <w:rPr>
          <w:rFonts w:eastAsia="Times New Roman" w:cs="Times New Roman"/>
          <w:color w:val="auto"/>
          <w:sz w:val="18"/>
          <w:szCs w:val="18"/>
          <w:lang w:val="en-US" w:eastAsia="ru-RU"/>
        </w:rPr>
        <w:t xml:space="preserve"> in a fast reactor.</w:t>
      </w:r>
      <w:r w:rsidRPr="000A029E">
        <w:rPr>
          <w:sz w:val="18"/>
          <w:szCs w:val="18"/>
          <w:lang w:val="en-US"/>
        </w:rPr>
        <w:t xml:space="preserve"> According to our estimates, it is worthwhile to start full-scale reprocessing of BN SNF closer to the middle of this century, when we can expect the quantity of BN SNF to be sufficient to reduce significantly the reprocessing unit cost. This approach will reduce the </w:t>
      </w:r>
      <w:r w:rsidR="00E96535" w:rsidRPr="000A029E">
        <w:rPr>
          <w:sz w:val="18"/>
          <w:szCs w:val="18"/>
          <w:lang w:val="en-US"/>
        </w:rPr>
        <w:t xml:space="preserve">levelized </w:t>
      </w:r>
      <w:r w:rsidRPr="000A029E">
        <w:rPr>
          <w:sz w:val="18"/>
          <w:szCs w:val="18"/>
          <w:lang w:val="en-US"/>
        </w:rPr>
        <w:t>unit fuel cost</w:t>
      </w:r>
      <w:r w:rsidR="00E96535" w:rsidRPr="000A029E">
        <w:rPr>
          <w:sz w:val="18"/>
          <w:szCs w:val="18"/>
          <w:lang w:val="en-US"/>
        </w:rPr>
        <w:t xml:space="preserve"> (LUFC)</w:t>
      </w:r>
      <w:r w:rsidRPr="000A029E">
        <w:rPr>
          <w:sz w:val="18"/>
          <w:szCs w:val="18"/>
          <w:lang w:val="en-US"/>
        </w:rPr>
        <w:t xml:space="preserve"> of electricity production by ~25%, while reducing the total</w:t>
      </w:r>
      <w:r w:rsidR="00E96535" w:rsidRPr="000A029E">
        <w:rPr>
          <w:sz w:val="18"/>
          <w:szCs w:val="18"/>
          <w:lang w:val="en-US"/>
        </w:rPr>
        <w:t xml:space="preserve"> levelized</w:t>
      </w:r>
      <w:r w:rsidRPr="000A029E">
        <w:rPr>
          <w:sz w:val="18"/>
          <w:szCs w:val="18"/>
          <w:lang w:val="en-US"/>
        </w:rPr>
        <w:t xml:space="preserve"> </w:t>
      </w:r>
      <w:r w:rsidR="00E96535" w:rsidRPr="000A029E">
        <w:rPr>
          <w:sz w:val="18"/>
          <w:szCs w:val="18"/>
          <w:lang w:val="en-US"/>
        </w:rPr>
        <w:t xml:space="preserve">unit electricity </w:t>
      </w:r>
      <w:r w:rsidRPr="000A029E">
        <w:rPr>
          <w:sz w:val="18"/>
          <w:szCs w:val="18"/>
          <w:lang w:val="en-US"/>
        </w:rPr>
        <w:t xml:space="preserve">cost </w:t>
      </w:r>
      <w:r w:rsidR="002B0837" w:rsidRPr="000A029E">
        <w:rPr>
          <w:sz w:val="18"/>
          <w:szCs w:val="18"/>
          <w:lang w:val="en-US"/>
        </w:rPr>
        <w:t xml:space="preserve">(LUEC) </w:t>
      </w:r>
      <w:r w:rsidRPr="000A029E">
        <w:rPr>
          <w:sz w:val="18"/>
          <w:szCs w:val="18"/>
          <w:lang w:val="en-US"/>
        </w:rPr>
        <w:t>to 5%.</w:t>
      </w:r>
      <w:r w:rsidRPr="000A029E">
        <w:rPr>
          <w:rFonts w:eastAsia="Times New Roman" w:cs="Times New Roman"/>
          <w:color w:val="auto"/>
          <w:sz w:val="18"/>
          <w:szCs w:val="18"/>
          <w:lang w:val="en-US" w:eastAsia="ru-RU"/>
        </w:rPr>
        <w:t xml:space="preserve"> </w:t>
      </w:r>
    </w:p>
    <w:p w:rsidR="00F349CB" w:rsidRPr="00F349CB" w:rsidRDefault="00F349CB" w:rsidP="000B5A02">
      <w:pPr>
        <w:spacing w:line="260" w:lineRule="atLeast"/>
        <w:ind w:firstLine="567"/>
        <w:rPr>
          <w:rStyle w:val="jlqj4b"/>
          <w:sz w:val="20"/>
          <w:szCs w:val="20"/>
          <w:lang w:val="en-US"/>
        </w:rPr>
      </w:pPr>
    </w:p>
    <w:p w:rsidR="00F349CB" w:rsidRDefault="00F349CB" w:rsidP="000B5A02">
      <w:pPr>
        <w:spacing w:line="260" w:lineRule="atLeast"/>
        <w:ind w:firstLine="567"/>
        <w:rPr>
          <w:rStyle w:val="jlqj4b"/>
          <w:sz w:val="20"/>
          <w:szCs w:val="20"/>
        </w:rPr>
      </w:pPr>
    </w:p>
    <w:p w:rsidR="00CF2DE6" w:rsidRPr="000A029E" w:rsidRDefault="00CF2DE6" w:rsidP="000B5A02">
      <w:pPr>
        <w:spacing w:line="260" w:lineRule="atLeast"/>
        <w:ind w:firstLine="567"/>
        <w:rPr>
          <w:rFonts w:eastAsia="Times New Roman" w:cs="Times New Roman"/>
          <w:color w:val="auto"/>
          <w:sz w:val="20"/>
          <w:szCs w:val="20"/>
          <w:lang w:val="en-US" w:eastAsia="ru-RU"/>
        </w:rPr>
      </w:pPr>
      <w:r w:rsidRPr="000A029E">
        <w:rPr>
          <w:rStyle w:val="jlqj4b"/>
          <w:sz w:val="20"/>
          <w:szCs w:val="20"/>
          <w:lang w:val="en-US"/>
        </w:rPr>
        <w:t>The transfer of the Russian nuclear power</w:t>
      </w:r>
      <w:r w:rsidR="0058463C" w:rsidRPr="000A029E">
        <w:rPr>
          <w:rStyle w:val="jlqj4b"/>
          <w:sz w:val="20"/>
          <w:szCs w:val="20"/>
          <w:lang w:val="en-US"/>
        </w:rPr>
        <w:t xml:space="preserve"> (NP)</w:t>
      </w:r>
      <w:r w:rsidRPr="000A029E">
        <w:rPr>
          <w:rStyle w:val="jlqj4b"/>
          <w:sz w:val="20"/>
          <w:szCs w:val="20"/>
          <w:lang w:val="en-US"/>
        </w:rPr>
        <w:t xml:space="preserve"> to the regime of a two-component </w:t>
      </w:r>
      <w:r w:rsidR="00F349CB" w:rsidRPr="00F349CB">
        <w:rPr>
          <w:rStyle w:val="jlqj4b"/>
          <w:sz w:val="20"/>
          <w:szCs w:val="20"/>
          <w:lang w:val="en-US"/>
        </w:rPr>
        <w:t xml:space="preserve"> </w:t>
      </w:r>
      <w:r w:rsidR="00F349CB">
        <w:rPr>
          <w:rStyle w:val="jlqj4b"/>
          <w:sz w:val="20"/>
          <w:szCs w:val="20"/>
          <w:lang w:val="en-US"/>
        </w:rPr>
        <w:t>nuclear power system (</w:t>
      </w:r>
      <w:r w:rsidR="0058463C" w:rsidRPr="000A029E">
        <w:rPr>
          <w:rStyle w:val="jlqj4b"/>
          <w:sz w:val="20"/>
          <w:szCs w:val="20"/>
          <w:lang w:val="en-US"/>
        </w:rPr>
        <w:t>NPS</w:t>
      </w:r>
      <w:r w:rsidR="00F349CB">
        <w:rPr>
          <w:rStyle w:val="jlqj4b"/>
          <w:sz w:val="20"/>
          <w:szCs w:val="20"/>
          <w:lang w:val="en-US"/>
        </w:rPr>
        <w:t>)</w:t>
      </w:r>
      <w:r w:rsidR="0058463C" w:rsidRPr="000A029E">
        <w:rPr>
          <w:rStyle w:val="jlqj4b"/>
          <w:sz w:val="20"/>
          <w:szCs w:val="20"/>
          <w:lang w:val="en-US"/>
        </w:rPr>
        <w:t xml:space="preserve"> </w:t>
      </w:r>
      <w:r w:rsidRPr="000A029E">
        <w:rPr>
          <w:rStyle w:val="jlqj4b"/>
          <w:sz w:val="20"/>
          <w:szCs w:val="20"/>
          <w:lang w:val="en-US"/>
        </w:rPr>
        <w:t xml:space="preserve">with thermal and fast reactors in accordance with the Development Strategy of the Russian </w:t>
      </w:r>
      <w:r w:rsidR="0058463C" w:rsidRPr="000A029E">
        <w:rPr>
          <w:rStyle w:val="jlqj4b"/>
          <w:sz w:val="20"/>
          <w:szCs w:val="20"/>
          <w:lang w:val="en-US"/>
        </w:rPr>
        <w:t>NP</w:t>
      </w:r>
      <w:r w:rsidRPr="000A029E">
        <w:rPr>
          <w:rStyle w:val="jlqj4b"/>
          <w:sz w:val="20"/>
          <w:szCs w:val="20"/>
          <w:lang w:val="en-US"/>
        </w:rPr>
        <w:t xml:space="preserve"> [1] is the strategic goal of ROSATOM State Corporation for the coming decades. In this regard, the </w:t>
      </w:r>
      <w:r w:rsidR="007D5E6E" w:rsidRPr="000A029E">
        <w:rPr>
          <w:rStyle w:val="jlqj4b"/>
          <w:sz w:val="20"/>
          <w:szCs w:val="20"/>
          <w:lang w:val="en-US"/>
        </w:rPr>
        <w:t xml:space="preserve">governing body </w:t>
      </w:r>
      <w:r w:rsidRPr="000A029E">
        <w:rPr>
          <w:rStyle w:val="jlqj4b"/>
          <w:sz w:val="20"/>
          <w:szCs w:val="20"/>
          <w:lang w:val="en-US"/>
        </w:rPr>
        <w:t xml:space="preserve">of Rosatom sets the task of accelerating the closure of the fuel cycle of thermal and fast reactors at the pilot-industrial level. At present, when there are opportunities for variable scenarios for achieving this goal, due to objective technological uncertainties, as well as the uncertainty of the country's economic development rates, reasonable planning and implementation of the initial stage of </w:t>
      </w:r>
      <w:r w:rsidR="00F349CB">
        <w:rPr>
          <w:rStyle w:val="jlqj4b"/>
          <w:sz w:val="20"/>
          <w:szCs w:val="20"/>
          <w:lang w:val="en-US"/>
        </w:rPr>
        <w:t xml:space="preserve"> </w:t>
      </w:r>
      <w:r w:rsidRPr="000A029E">
        <w:rPr>
          <w:rStyle w:val="jlqj4b"/>
          <w:sz w:val="20"/>
          <w:szCs w:val="20"/>
          <w:lang w:val="en-US"/>
        </w:rPr>
        <w:t xml:space="preserve">NFC closure is the most difficult and crucial moment. In this case, when choosing a scenario for the initial stage </w:t>
      </w:r>
      <w:r w:rsidR="00F349CB" w:rsidRPr="000A029E">
        <w:rPr>
          <w:rStyle w:val="jlqj4b"/>
          <w:sz w:val="20"/>
          <w:szCs w:val="20"/>
          <w:lang w:val="en-US"/>
        </w:rPr>
        <w:t>of</w:t>
      </w:r>
      <w:r w:rsidR="00F349CB">
        <w:rPr>
          <w:rStyle w:val="jlqj4b"/>
          <w:sz w:val="20"/>
          <w:szCs w:val="20"/>
          <w:lang w:val="en-US"/>
        </w:rPr>
        <w:t xml:space="preserve">  </w:t>
      </w:r>
      <w:r w:rsidR="00F349CB" w:rsidRPr="000A029E">
        <w:rPr>
          <w:rStyle w:val="jlqj4b"/>
          <w:sz w:val="20"/>
          <w:szCs w:val="20"/>
          <w:lang w:val="en-US"/>
        </w:rPr>
        <w:t>NFC</w:t>
      </w:r>
      <w:r w:rsidRPr="000A029E">
        <w:rPr>
          <w:rStyle w:val="jlqj4b"/>
          <w:sz w:val="20"/>
          <w:szCs w:val="20"/>
          <w:lang w:val="en-US"/>
        </w:rPr>
        <w:t xml:space="preserve"> closure, one of the possible criteria is the criterion of minimum capital costs.</w:t>
      </w:r>
    </w:p>
    <w:p w:rsidR="007D5E6E" w:rsidRPr="000A029E" w:rsidRDefault="007D5E6E" w:rsidP="000B5A02">
      <w:pPr>
        <w:spacing w:line="260" w:lineRule="atLeast"/>
        <w:ind w:firstLine="567"/>
        <w:rPr>
          <w:rStyle w:val="jlqj4b"/>
          <w:sz w:val="20"/>
          <w:szCs w:val="20"/>
          <w:lang w:val="en-US"/>
        </w:rPr>
      </w:pPr>
      <w:r w:rsidRPr="000A029E">
        <w:rPr>
          <w:rStyle w:val="jlqj4b"/>
          <w:sz w:val="20"/>
          <w:szCs w:val="20"/>
          <w:lang w:val="en-US"/>
        </w:rPr>
        <w:t>In order to select the most effective option, a feasibility study was carried out for the commissioning scenarios of the head unit and a small series of fast reactors.</w:t>
      </w:r>
      <w:r w:rsidRPr="000A029E">
        <w:rPr>
          <w:rStyle w:val="viiyi"/>
          <w:sz w:val="20"/>
          <w:szCs w:val="20"/>
          <w:lang w:val="en-US"/>
        </w:rPr>
        <w:t xml:space="preserve"> </w:t>
      </w:r>
      <w:r w:rsidRPr="000A029E">
        <w:rPr>
          <w:rStyle w:val="jlqj4b"/>
          <w:sz w:val="20"/>
          <w:szCs w:val="20"/>
          <w:lang w:val="en-US"/>
        </w:rPr>
        <w:t>The BN-800 reactor, which has been in operation since 2016, and high-power BN reactors (</w:t>
      </w:r>
      <w:r w:rsidR="00EC1EDB" w:rsidRPr="000A029E">
        <w:rPr>
          <w:rStyle w:val="jlqj4b"/>
          <w:sz w:val="20"/>
          <w:szCs w:val="20"/>
          <w:lang w:val="en-US"/>
        </w:rPr>
        <w:t>BR</w:t>
      </w:r>
      <w:r w:rsidRPr="000A029E">
        <w:rPr>
          <w:rStyle w:val="jlqj4b"/>
          <w:sz w:val="20"/>
          <w:szCs w:val="20"/>
          <w:lang w:val="en-US"/>
        </w:rPr>
        <w:t xml:space="preserve"> = 1.2) with MOX fuel, were considered as fast reactors.</w:t>
      </w:r>
      <w:r w:rsidRPr="000A029E">
        <w:rPr>
          <w:rStyle w:val="viiyi"/>
          <w:sz w:val="20"/>
          <w:szCs w:val="20"/>
          <w:lang w:val="en-US"/>
        </w:rPr>
        <w:t xml:space="preserve"> </w:t>
      </w:r>
      <w:r w:rsidRPr="000A029E">
        <w:rPr>
          <w:rStyle w:val="jlqj4b"/>
          <w:sz w:val="20"/>
          <w:szCs w:val="20"/>
          <w:lang w:val="en-US"/>
        </w:rPr>
        <w:t>For high-power BN reactors, a variant with an axial layer and with an average</w:t>
      </w:r>
      <w:r w:rsidR="0058463C" w:rsidRPr="000A029E">
        <w:rPr>
          <w:rStyle w:val="jlqj4b"/>
          <w:sz w:val="20"/>
          <w:szCs w:val="20"/>
          <w:lang w:val="en-US"/>
        </w:rPr>
        <w:t xml:space="preserve"> core</w:t>
      </w:r>
      <w:r w:rsidRPr="000A029E">
        <w:rPr>
          <w:rStyle w:val="jlqj4b"/>
          <w:sz w:val="20"/>
          <w:szCs w:val="20"/>
          <w:lang w:val="en-US"/>
        </w:rPr>
        <w:t xml:space="preserve"> fuel burnup of about 13% was considered.</w:t>
      </w:r>
    </w:p>
    <w:p w:rsidR="00EC1EDB" w:rsidRPr="000A029E" w:rsidRDefault="00EC1EDB" w:rsidP="000B5A02">
      <w:pPr>
        <w:spacing w:line="260" w:lineRule="atLeast"/>
        <w:ind w:firstLine="567"/>
        <w:rPr>
          <w:sz w:val="20"/>
          <w:szCs w:val="20"/>
          <w:lang w:val="en-US"/>
        </w:rPr>
      </w:pPr>
      <w:r w:rsidRPr="000A029E">
        <w:rPr>
          <w:rStyle w:val="jlqj4b"/>
          <w:sz w:val="20"/>
          <w:szCs w:val="20"/>
          <w:lang w:val="en-US"/>
        </w:rPr>
        <w:t xml:space="preserve">The chosen scenario is an innovative development of the existing </w:t>
      </w:r>
      <w:r w:rsidR="0058463C" w:rsidRPr="000A029E">
        <w:rPr>
          <w:rStyle w:val="jlqj4b"/>
          <w:sz w:val="20"/>
          <w:szCs w:val="20"/>
          <w:lang w:val="en-US"/>
        </w:rPr>
        <w:t>NP</w:t>
      </w:r>
      <w:r w:rsidRPr="000A029E">
        <w:rPr>
          <w:rStyle w:val="jlqj4b"/>
          <w:sz w:val="20"/>
          <w:szCs w:val="20"/>
          <w:lang w:val="en-US"/>
        </w:rPr>
        <w:t>, mainly with thermal reactors with the closure of the fuel cycle using BN reactors. In the scenario up to 2035, 17 VVER-1200 reactors using uranium oxide fuel are commissioned. In addition to them, while ensuring the values ​​of the installed capacity at the "control points" in 2035</w:t>
      </w:r>
      <w:r w:rsidR="00F82C17" w:rsidRPr="000A029E">
        <w:rPr>
          <w:rStyle w:val="jlqj4b"/>
          <w:sz w:val="20"/>
          <w:szCs w:val="20"/>
          <w:lang w:val="en-US"/>
        </w:rPr>
        <w:t xml:space="preserve"> </w:t>
      </w:r>
      <w:r w:rsidRPr="000A029E">
        <w:rPr>
          <w:rStyle w:val="jlqj4b"/>
          <w:sz w:val="20"/>
          <w:szCs w:val="20"/>
          <w:lang w:val="en-US"/>
        </w:rPr>
        <w:t xml:space="preserve">(~ 39 GW) and </w:t>
      </w:r>
      <w:r w:rsidR="00F573E9">
        <w:rPr>
          <w:rStyle w:val="jlqj4b"/>
          <w:sz w:val="20"/>
          <w:szCs w:val="20"/>
          <w:lang w:val="en-US"/>
        </w:rPr>
        <w:t xml:space="preserve">in </w:t>
      </w:r>
      <w:r w:rsidRPr="000A029E">
        <w:rPr>
          <w:rStyle w:val="jlqj4b"/>
          <w:sz w:val="20"/>
          <w:szCs w:val="20"/>
          <w:lang w:val="en-US"/>
        </w:rPr>
        <w:t>2050 (~ 40 GW)</w:t>
      </w:r>
      <w:r w:rsidR="00F573E9">
        <w:rPr>
          <w:rStyle w:val="jlqj4b"/>
          <w:sz w:val="20"/>
          <w:szCs w:val="20"/>
          <w:lang w:val="en-US"/>
        </w:rPr>
        <w:t>,</w:t>
      </w:r>
      <w:r w:rsidRPr="000A029E">
        <w:rPr>
          <w:rStyle w:val="jlqj4b"/>
          <w:sz w:val="20"/>
          <w:szCs w:val="20"/>
          <w:lang w:val="en-US"/>
        </w:rPr>
        <w:t xml:space="preserve"> and falling into the corridor of the installed capacity of 60–90 GW in 2100, 9 power units of commercial reactors of the BN type of high power are commissioned</w:t>
      </w:r>
      <w:r w:rsidR="00F573E9">
        <w:rPr>
          <w:rStyle w:val="jlqj4b"/>
          <w:sz w:val="20"/>
          <w:szCs w:val="20"/>
          <w:lang w:val="en-US"/>
        </w:rPr>
        <w:t xml:space="preserve"> </w:t>
      </w:r>
      <w:r w:rsidR="00F573E9" w:rsidRPr="000A029E">
        <w:rPr>
          <w:rStyle w:val="jlqj4b"/>
          <w:sz w:val="20"/>
          <w:szCs w:val="20"/>
          <w:lang w:val="en-US"/>
        </w:rPr>
        <w:t>until 2050</w:t>
      </w:r>
      <w:r w:rsidRPr="000A029E">
        <w:rPr>
          <w:rStyle w:val="jlqj4b"/>
          <w:sz w:val="20"/>
          <w:szCs w:val="20"/>
          <w:lang w:val="en-US"/>
        </w:rPr>
        <w:t>. SNF from all thermal reactors, except for RBMK-1000, is completely reprocessed and all plutonium is used to make MOX fuel for the BN-800</w:t>
      </w:r>
      <w:r w:rsidR="00F82C17" w:rsidRPr="000A029E">
        <w:rPr>
          <w:rStyle w:val="jlqj4b"/>
          <w:sz w:val="20"/>
          <w:szCs w:val="20"/>
          <w:lang w:val="en-US"/>
        </w:rPr>
        <w:t xml:space="preserve"> reactor</w:t>
      </w:r>
      <w:r w:rsidRPr="000A029E">
        <w:rPr>
          <w:rStyle w:val="jlqj4b"/>
          <w:sz w:val="20"/>
          <w:szCs w:val="20"/>
          <w:lang w:val="en-US"/>
        </w:rPr>
        <w:t xml:space="preserve"> and BN reactors of high power.</w:t>
      </w:r>
    </w:p>
    <w:p w:rsidR="0010600F" w:rsidRPr="000A029E" w:rsidRDefault="00EC1EDB" w:rsidP="000B5A02">
      <w:pPr>
        <w:spacing w:line="260" w:lineRule="atLeast"/>
        <w:ind w:firstLine="567"/>
        <w:rPr>
          <w:rStyle w:val="jlqj4b"/>
          <w:sz w:val="20"/>
          <w:szCs w:val="20"/>
          <w:lang w:val="en-US"/>
        </w:rPr>
      </w:pPr>
      <w:r w:rsidRPr="000A029E">
        <w:rPr>
          <w:rStyle w:val="jlqj4b"/>
          <w:sz w:val="20"/>
          <w:szCs w:val="20"/>
          <w:lang w:val="en-US"/>
        </w:rPr>
        <w:lastRenderedPageBreak/>
        <w:t xml:space="preserve">This option ensures a steady increase in the installed capacity of the system up to 91 GW by 2100, as well as complete disposal of </w:t>
      </w:r>
      <w:r w:rsidR="00AE1042" w:rsidRPr="000A029E">
        <w:rPr>
          <w:rStyle w:val="jlqj4b"/>
          <w:sz w:val="20"/>
          <w:szCs w:val="20"/>
          <w:lang w:val="en-US"/>
        </w:rPr>
        <w:t xml:space="preserve"> </w:t>
      </w:r>
      <w:r w:rsidRPr="000A029E">
        <w:rPr>
          <w:rStyle w:val="jlqj4b"/>
          <w:sz w:val="20"/>
          <w:szCs w:val="20"/>
          <w:lang w:val="en-US"/>
        </w:rPr>
        <w:t xml:space="preserve">VVER </w:t>
      </w:r>
      <w:r w:rsidR="00F82C17" w:rsidRPr="000A029E">
        <w:rPr>
          <w:rStyle w:val="jlqj4b"/>
          <w:sz w:val="20"/>
          <w:szCs w:val="20"/>
          <w:lang w:val="en-US"/>
        </w:rPr>
        <w:t xml:space="preserve">SNF </w:t>
      </w:r>
      <w:r w:rsidRPr="000A029E">
        <w:rPr>
          <w:rStyle w:val="jlqj4b"/>
          <w:sz w:val="20"/>
          <w:szCs w:val="20"/>
          <w:lang w:val="en-US"/>
        </w:rPr>
        <w:t>by 2050. It should be noted that the limitation imposed in this scenario on the corridor of the attainable installed capacity for 2100 does not allow the complete utilization of BN SNF until 2100 - about 900 t of BN SNF remain in the remainder. At the same time, the volume of separated plutonium corresponds to the operational reserve for regular loading</w:t>
      </w:r>
      <w:r w:rsidR="0010600F" w:rsidRPr="000A029E">
        <w:rPr>
          <w:rStyle w:val="jlqj4b"/>
          <w:sz w:val="20"/>
          <w:szCs w:val="20"/>
          <w:lang w:val="en-US"/>
        </w:rPr>
        <w:t>s</w:t>
      </w:r>
      <w:r w:rsidRPr="000A029E">
        <w:rPr>
          <w:rStyle w:val="jlqj4b"/>
          <w:sz w:val="20"/>
          <w:szCs w:val="20"/>
          <w:lang w:val="en-US"/>
        </w:rPr>
        <w:t xml:space="preserve"> and launch of new reactors. The consumption of natural uranium in </w:t>
      </w:r>
      <w:r w:rsidR="00F82C17" w:rsidRPr="000A029E">
        <w:rPr>
          <w:rStyle w:val="jlqj4b"/>
          <w:sz w:val="20"/>
          <w:szCs w:val="20"/>
          <w:lang w:val="en-US"/>
        </w:rPr>
        <w:t>the</w:t>
      </w:r>
      <w:r w:rsidRPr="000A029E">
        <w:rPr>
          <w:rStyle w:val="jlqj4b"/>
          <w:sz w:val="20"/>
          <w:szCs w:val="20"/>
          <w:lang w:val="en-US"/>
        </w:rPr>
        <w:t xml:space="preserve"> </w:t>
      </w:r>
      <w:r w:rsidR="00F82C17" w:rsidRPr="000A029E">
        <w:rPr>
          <w:rStyle w:val="jlqj4b"/>
          <w:sz w:val="20"/>
          <w:szCs w:val="20"/>
          <w:lang w:val="en-US"/>
        </w:rPr>
        <w:t xml:space="preserve">NP </w:t>
      </w:r>
      <w:r w:rsidRPr="000A029E">
        <w:rPr>
          <w:rStyle w:val="jlqj4b"/>
          <w:sz w:val="20"/>
          <w:szCs w:val="20"/>
          <w:lang w:val="en-US"/>
        </w:rPr>
        <w:t xml:space="preserve">is about 520 thousand tons of U up to the design life of all commissioned thermal reactors. </w:t>
      </w:r>
    </w:p>
    <w:p w:rsidR="00EC1EDB" w:rsidRPr="000A029E" w:rsidRDefault="00EC1EDB" w:rsidP="000B5A02">
      <w:pPr>
        <w:spacing w:line="260" w:lineRule="atLeast"/>
        <w:ind w:firstLine="567"/>
        <w:rPr>
          <w:sz w:val="20"/>
          <w:szCs w:val="20"/>
          <w:lang w:val="en-US"/>
        </w:rPr>
      </w:pPr>
      <w:r w:rsidRPr="000A029E">
        <w:rPr>
          <w:rStyle w:val="jlqj4b"/>
          <w:sz w:val="20"/>
          <w:szCs w:val="20"/>
          <w:lang w:val="en-US"/>
        </w:rPr>
        <w:t>The complete disposal of the specified remainder of plutonium together with the VVER SNF reprocess</w:t>
      </w:r>
      <w:r w:rsidR="0010600F" w:rsidRPr="000A029E">
        <w:rPr>
          <w:rStyle w:val="jlqj4b"/>
          <w:sz w:val="20"/>
          <w:szCs w:val="20"/>
          <w:lang w:val="en-US"/>
        </w:rPr>
        <w:t>ed</w:t>
      </w:r>
      <w:r w:rsidRPr="000A029E">
        <w:rPr>
          <w:rStyle w:val="jlqj4b"/>
          <w:sz w:val="20"/>
          <w:szCs w:val="20"/>
          <w:lang w:val="en-US"/>
        </w:rPr>
        <w:t xml:space="preserve"> "off the wheels" makes it possible to develop the installed capacity of the system up to ~ 120 GW by 2130. Another additional ~ 5 GW can be obtained by using regenerated uranium in thermal reactors.</w:t>
      </w:r>
    </w:p>
    <w:p w:rsidR="006C7CC8" w:rsidRDefault="0010600F" w:rsidP="000B5A02">
      <w:pPr>
        <w:spacing w:line="260" w:lineRule="atLeast"/>
        <w:ind w:firstLine="567"/>
        <w:rPr>
          <w:rStyle w:val="jlqj4b"/>
          <w:sz w:val="20"/>
          <w:szCs w:val="20"/>
          <w:lang w:val="en-US"/>
        </w:rPr>
      </w:pPr>
      <w:r w:rsidRPr="000A029E">
        <w:rPr>
          <w:rStyle w:val="jlqj4b"/>
          <w:sz w:val="20"/>
          <w:szCs w:val="20"/>
          <w:lang w:val="en-US"/>
        </w:rPr>
        <w:t>After 2130, all uranium-fuel</w:t>
      </w:r>
      <w:r w:rsidR="00F82C17" w:rsidRPr="000A029E">
        <w:rPr>
          <w:rStyle w:val="jlqj4b"/>
          <w:sz w:val="20"/>
          <w:szCs w:val="20"/>
          <w:lang w:val="en-US"/>
        </w:rPr>
        <w:t>l</w:t>
      </w:r>
      <w:r w:rsidRPr="000A029E">
        <w:rPr>
          <w:rStyle w:val="jlqj4b"/>
          <w:sz w:val="20"/>
          <w:szCs w:val="20"/>
          <w:lang w:val="en-US"/>
        </w:rPr>
        <w:t xml:space="preserve">ed thermal reactors are decommissioned </w:t>
      </w:r>
      <w:r w:rsidR="00F26BCC" w:rsidRPr="000A029E">
        <w:rPr>
          <w:rStyle w:val="jlqj4b"/>
          <w:sz w:val="20"/>
          <w:szCs w:val="20"/>
          <w:lang w:val="en-US"/>
        </w:rPr>
        <w:t>through exhausting</w:t>
      </w:r>
      <w:r w:rsidR="00F82C17" w:rsidRPr="000A029E">
        <w:rPr>
          <w:rStyle w:val="jlqj4b"/>
          <w:sz w:val="20"/>
          <w:szCs w:val="20"/>
          <w:lang w:val="en-US"/>
        </w:rPr>
        <w:t xml:space="preserve"> </w:t>
      </w:r>
      <w:r w:rsidRPr="000A029E">
        <w:rPr>
          <w:rStyle w:val="jlqj4b"/>
          <w:sz w:val="20"/>
          <w:szCs w:val="20"/>
          <w:lang w:val="en-US"/>
        </w:rPr>
        <w:t>natural uranium reserves and the system goes into an almost stationary state</w:t>
      </w:r>
      <w:r w:rsidR="00F26BCC" w:rsidRPr="000A029E">
        <w:rPr>
          <w:rStyle w:val="jlqj4b"/>
          <w:sz w:val="20"/>
          <w:szCs w:val="20"/>
          <w:lang w:val="en-US"/>
        </w:rPr>
        <w:t xml:space="preserve"> </w:t>
      </w:r>
      <w:r w:rsidR="00F26BCC" w:rsidRPr="000A029E">
        <w:rPr>
          <w:rStyle w:val="jlqj4b"/>
          <w:rFonts w:asciiTheme="minorHAnsi" w:hAnsiTheme="minorHAnsi" w:cstheme="minorHAnsi"/>
          <w:sz w:val="20"/>
          <w:szCs w:val="20"/>
          <w:lang w:val="en-US"/>
        </w:rPr>
        <w:t>‒</w:t>
      </w:r>
      <w:r w:rsidRPr="000A029E">
        <w:rPr>
          <w:rStyle w:val="jlqj4b"/>
          <w:sz w:val="20"/>
          <w:szCs w:val="20"/>
          <w:lang w:val="en-US"/>
        </w:rPr>
        <w:t xml:space="preserve">  </w:t>
      </w:r>
      <w:r w:rsidR="00F26BCC" w:rsidRPr="000A029E">
        <w:rPr>
          <w:rStyle w:val="jlqj4b"/>
          <w:sz w:val="20"/>
          <w:szCs w:val="20"/>
          <w:lang w:val="en-US"/>
        </w:rPr>
        <w:t>the install</w:t>
      </w:r>
      <w:r w:rsidR="00C8668D" w:rsidRPr="000A029E">
        <w:rPr>
          <w:rStyle w:val="jlqj4b"/>
          <w:sz w:val="20"/>
          <w:szCs w:val="20"/>
          <w:lang w:val="en-US"/>
        </w:rPr>
        <w:t xml:space="preserve">ed capacity </w:t>
      </w:r>
      <w:r w:rsidRPr="000A029E">
        <w:rPr>
          <w:rStyle w:val="jlqj4b"/>
          <w:sz w:val="20"/>
          <w:szCs w:val="20"/>
          <w:lang w:val="en-US"/>
        </w:rPr>
        <w:t xml:space="preserve">growth is possible with a doubling </w:t>
      </w:r>
      <w:r w:rsidR="00C8668D" w:rsidRPr="000A029E">
        <w:rPr>
          <w:rStyle w:val="jlqj4b"/>
          <w:sz w:val="20"/>
          <w:szCs w:val="20"/>
          <w:lang w:val="en-US"/>
        </w:rPr>
        <w:t xml:space="preserve">time </w:t>
      </w:r>
      <w:r w:rsidRPr="000A029E">
        <w:rPr>
          <w:rStyle w:val="jlqj4b"/>
          <w:sz w:val="20"/>
          <w:szCs w:val="20"/>
          <w:lang w:val="en-US"/>
        </w:rPr>
        <w:t>of about 100 years.</w:t>
      </w:r>
      <w:r w:rsidRPr="000A029E">
        <w:rPr>
          <w:rStyle w:val="viiyi"/>
          <w:sz w:val="20"/>
          <w:szCs w:val="20"/>
          <w:lang w:val="en-US"/>
        </w:rPr>
        <w:t xml:space="preserve"> </w:t>
      </w:r>
      <w:r w:rsidRPr="000A029E">
        <w:rPr>
          <w:rStyle w:val="jlqj4b"/>
          <w:sz w:val="20"/>
          <w:szCs w:val="20"/>
          <w:lang w:val="en-US"/>
        </w:rPr>
        <w:t>It is assumed that, under certain conditions, thermal reactors using uranium fuel can be replaced by thermal reactors of the next generation using MOX fuel.</w:t>
      </w:r>
      <w:r w:rsidRPr="000A029E">
        <w:rPr>
          <w:rStyle w:val="viiyi"/>
          <w:sz w:val="20"/>
          <w:szCs w:val="20"/>
          <w:lang w:val="en-US"/>
        </w:rPr>
        <w:t xml:space="preserve"> </w:t>
      </w:r>
      <w:r w:rsidRPr="000A029E">
        <w:rPr>
          <w:rStyle w:val="jlqj4b"/>
          <w:sz w:val="20"/>
          <w:szCs w:val="20"/>
          <w:lang w:val="en-US"/>
        </w:rPr>
        <w:t>Figure 1 shows the structure of the installed capacit</w:t>
      </w:r>
      <w:r w:rsidR="00C8668D" w:rsidRPr="000A029E">
        <w:rPr>
          <w:rStyle w:val="jlqj4b"/>
          <w:sz w:val="20"/>
          <w:szCs w:val="20"/>
          <w:lang w:val="en-US"/>
        </w:rPr>
        <w:t>ies</w:t>
      </w:r>
      <w:r w:rsidRPr="000A029E">
        <w:rPr>
          <w:rStyle w:val="jlqj4b"/>
          <w:sz w:val="20"/>
          <w:szCs w:val="20"/>
          <w:lang w:val="en-US"/>
        </w:rPr>
        <w:t xml:space="preserve"> of the considered scenario.</w:t>
      </w:r>
    </w:p>
    <w:p w:rsidR="002C10F7" w:rsidRPr="000A029E" w:rsidRDefault="002C10F7" w:rsidP="00EA7D25">
      <w:pPr>
        <w:ind w:firstLine="680"/>
        <w:rPr>
          <w:rStyle w:val="jlqj4b"/>
          <w:sz w:val="20"/>
          <w:szCs w:val="20"/>
          <w:lang w:val="en-US"/>
        </w:rPr>
      </w:pPr>
    </w:p>
    <w:p w:rsidR="002C10F7" w:rsidRPr="000A029E" w:rsidRDefault="002C10F7" w:rsidP="000A029E">
      <w:pPr>
        <w:ind w:firstLine="0"/>
        <w:jc w:val="center"/>
        <w:rPr>
          <w:rStyle w:val="jlqj4b"/>
          <w:sz w:val="20"/>
          <w:szCs w:val="20"/>
        </w:rPr>
      </w:pPr>
      <w:r w:rsidRPr="000A029E">
        <w:rPr>
          <w:rStyle w:val="jlqj4b"/>
          <w:noProof/>
          <w:sz w:val="20"/>
          <w:szCs w:val="20"/>
          <w:lang w:eastAsia="ru-RU"/>
        </w:rPr>
        <w:drawing>
          <wp:inline distT="0" distB="0" distL="0" distR="0">
            <wp:extent cx="5105772" cy="333954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772" cy="3339548"/>
                    </a:xfrm>
                    <a:prstGeom prst="rect">
                      <a:avLst/>
                    </a:prstGeom>
                    <a:noFill/>
                  </pic:spPr>
                </pic:pic>
              </a:graphicData>
            </a:graphic>
          </wp:inline>
        </w:drawing>
      </w:r>
    </w:p>
    <w:p w:rsidR="00946344" w:rsidRPr="003E3FC4" w:rsidRDefault="00946344" w:rsidP="00D62BA1">
      <w:pPr>
        <w:tabs>
          <w:tab w:val="left" w:pos="1968"/>
        </w:tabs>
        <w:ind w:firstLine="680"/>
        <w:rPr>
          <w:rStyle w:val="jlqj4b"/>
          <w:i/>
          <w:sz w:val="20"/>
          <w:szCs w:val="20"/>
          <w:lang w:val="en-US"/>
        </w:rPr>
      </w:pPr>
      <w:r>
        <w:rPr>
          <w:rFonts w:eastAsia="Times New Roman" w:cs="Times New Roman"/>
          <w:color w:val="auto"/>
          <w:sz w:val="20"/>
          <w:szCs w:val="20"/>
          <w:lang w:eastAsia="ru-RU"/>
        </w:rPr>
        <w:tab/>
      </w:r>
      <w:r w:rsidR="00FB4521" w:rsidRPr="003E3FC4">
        <w:rPr>
          <w:rStyle w:val="10"/>
          <w:b w:val="0"/>
          <w:i/>
          <w:sz w:val="18"/>
          <w:szCs w:val="18"/>
          <w:lang w:val="en-US"/>
        </w:rPr>
        <w:t>F</w:t>
      </w:r>
      <w:r w:rsidR="00FB4521" w:rsidRPr="003E3FC4">
        <w:rPr>
          <w:rStyle w:val="jlqj4b"/>
          <w:i/>
          <w:sz w:val="18"/>
          <w:szCs w:val="18"/>
          <w:lang w:val="en-US"/>
        </w:rPr>
        <w:t>IG. 1</w:t>
      </w:r>
      <w:r w:rsidRPr="003E3FC4">
        <w:rPr>
          <w:rStyle w:val="jlqj4b"/>
          <w:i/>
          <w:sz w:val="18"/>
          <w:szCs w:val="18"/>
          <w:lang w:val="en-US"/>
        </w:rPr>
        <w:t>.</w:t>
      </w:r>
      <w:r w:rsidR="003E3FC4" w:rsidRPr="003E3FC4">
        <w:rPr>
          <w:rStyle w:val="jlqj4b"/>
          <w:i/>
          <w:sz w:val="18"/>
          <w:szCs w:val="18"/>
          <w:lang w:val="en-US"/>
        </w:rPr>
        <w:t xml:space="preserve"> </w:t>
      </w:r>
      <w:r w:rsidRPr="003E3FC4">
        <w:rPr>
          <w:rStyle w:val="jlqj4b"/>
          <w:i/>
          <w:sz w:val="18"/>
          <w:szCs w:val="18"/>
          <w:lang w:val="en-US"/>
        </w:rPr>
        <w:t xml:space="preserve"> Power structure in the considered scenario VVER (UOX) + BN (MOX)</w:t>
      </w:r>
    </w:p>
    <w:p w:rsidR="00946344" w:rsidRPr="003E3FC4" w:rsidRDefault="00946344" w:rsidP="00946344">
      <w:pPr>
        <w:spacing w:line="260" w:lineRule="atLeast"/>
        <w:ind w:firstLine="567"/>
        <w:jc w:val="center"/>
        <w:rPr>
          <w:rStyle w:val="jlqj4b"/>
          <w:i/>
          <w:sz w:val="20"/>
          <w:szCs w:val="20"/>
          <w:lang w:val="en-US"/>
        </w:rPr>
      </w:pPr>
    </w:p>
    <w:p w:rsidR="00DB46AF" w:rsidRPr="00EC3F73" w:rsidRDefault="00EA7D25" w:rsidP="000B5A02">
      <w:pPr>
        <w:spacing w:line="260" w:lineRule="atLeast"/>
        <w:ind w:firstLine="567"/>
        <w:rPr>
          <w:rStyle w:val="jlqj4b"/>
          <w:sz w:val="20"/>
          <w:szCs w:val="20"/>
          <w:lang w:val="en-US"/>
        </w:rPr>
      </w:pPr>
      <w:r w:rsidRPr="00EC3F73">
        <w:rPr>
          <w:rStyle w:val="jlqj4b"/>
          <w:sz w:val="20"/>
          <w:szCs w:val="20"/>
          <w:lang w:val="en-US"/>
        </w:rPr>
        <w:t>The SNF reprocessing scenario is based on the condition that the operational stock of separated plutonium during the considered time interval does not exceed 100 tons. At the same time, despite the fact that the separated plutonium</w:t>
      </w:r>
      <w:r w:rsidR="00C8668D" w:rsidRPr="00EC3F73">
        <w:rPr>
          <w:rStyle w:val="jlqj4b"/>
          <w:sz w:val="20"/>
          <w:szCs w:val="20"/>
          <w:lang w:val="en-US"/>
        </w:rPr>
        <w:t xml:space="preserve"> stocks</w:t>
      </w:r>
      <w:r w:rsidRPr="00EC3F73">
        <w:rPr>
          <w:rStyle w:val="jlqj4b"/>
          <w:sz w:val="20"/>
          <w:szCs w:val="20"/>
          <w:lang w:val="en-US"/>
        </w:rPr>
        <w:t xml:space="preserve"> are at the operational level, and the amount of </w:t>
      </w:r>
      <w:r w:rsidR="00C8668D" w:rsidRPr="00EC3F73">
        <w:rPr>
          <w:rStyle w:val="jlqj4b"/>
          <w:sz w:val="20"/>
          <w:szCs w:val="20"/>
          <w:lang w:val="en-US"/>
        </w:rPr>
        <w:t xml:space="preserve">SNF </w:t>
      </w:r>
      <w:r w:rsidRPr="00EC3F73">
        <w:rPr>
          <w:rStyle w:val="jlqj4b"/>
          <w:sz w:val="20"/>
          <w:szCs w:val="20"/>
          <w:lang w:val="en-US"/>
        </w:rPr>
        <w:t>from VVER and BN is minimized, the accumulation of plutonium in</w:t>
      </w:r>
      <w:r w:rsidRPr="00EC3F73">
        <w:rPr>
          <w:rStyle w:val="viiyi"/>
          <w:sz w:val="20"/>
          <w:szCs w:val="20"/>
          <w:lang w:val="en-US"/>
        </w:rPr>
        <w:t xml:space="preserve"> </w:t>
      </w:r>
      <w:r w:rsidRPr="00EC3F73">
        <w:rPr>
          <w:rStyle w:val="jlqj4b"/>
          <w:sz w:val="20"/>
          <w:szCs w:val="20"/>
          <w:lang w:val="en-US"/>
        </w:rPr>
        <w:t xml:space="preserve">SNF </w:t>
      </w:r>
      <w:r w:rsidR="00C8668D" w:rsidRPr="00EC3F73">
        <w:rPr>
          <w:rStyle w:val="jlqj4b"/>
          <w:sz w:val="20"/>
          <w:szCs w:val="20"/>
          <w:lang w:val="en-US"/>
        </w:rPr>
        <w:t>of</w:t>
      </w:r>
      <w:r w:rsidRPr="00EC3F73">
        <w:rPr>
          <w:rStyle w:val="jlqj4b"/>
          <w:sz w:val="20"/>
          <w:szCs w:val="20"/>
          <w:lang w:val="en-US"/>
        </w:rPr>
        <w:t xml:space="preserve"> the external fuel cycle is significant - by 2050 it reaches 300 tons, and by 2100 - 500 tons.</w:t>
      </w:r>
    </w:p>
    <w:p w:rsidR="00D41A98" w:rsidRPr="00EC3F73" w:rsidRDefault="00EA7D25" w:rsidP="000B5A02">
      <w:pPr>
        <w:spacing w:line="260" w:lineRule="atLeast"/>
        <w:ind w:firstLine="567"/>
        <w:rPr>
          <w:rStyle w:val="jlqj4b"/>
          <w:rFonts w:eastAsiaTheme="majorEastAsia"/>
          <w:sz w:val="20"/>
          <w:szCs w:val="20"/>
          <w:lang w:val="en-US"/>
        </w:rPr>
      </w:pPr>
      <w:r w:rsidRPr="00EC3F73">
        <w:rPr>
          <w:rStyle w:val="jlqj4b"/>
          <w:rFonts w:eastAsiaTheme="majorEastAsia"/>
          <w:sz w:val="20"/>
          <w:szCs w:val="20"/>
          <w:lang w:val="en-US"/>
        </w:rPr>
        <w:t xml:space="preserve">Analysis of the current state of plutonium stockpiles (about 60 tons </w:t>
      </w:r>
      <w:r w:rsidR="00DB46AF" w:rsidRPr="00EC3F73">
        <w:rPr>
          <w:rStyle w:val="jlqj4b"/>
          <w:rFonts w:eastAsiaTheme="majorEastAsia"/>
          <w:sz w:val="20"/>
          <w:szCs w:val="20"/>
          <w:lang w:val="en-US"/>
        </w:rPr>
        <w:t>by</w:t>
      </w:r>
      <w:r w:rsidRPr="00EC3F73">
        <w:rPr>
          <w:rStyle w:val="jlqj4b"/>
          <w:rFonts w:eastAsiaTheme="majorEastAsia"/>
          <w:sz w:val="20"/>
          <w:szCs w:val="20"/>
          <w:lang w:val="en-US"/>
        </w:rPr>
        <w:t xml:space="preserve"> 2019) and the results of fuel cycle modeling showed a significant amount of plutonium available in thermal reactor</w:t>
      </w:r>
      <w:r w:rsidR="00DB46AF" w:rsidRPr="00EC3F73">
        <w:rPr>
          <w:rStyle w:val="jlqj4b"/>
          <w:rFonts w:eastAsiaTheme="majorEastAsia"/>
          <w:sz w:val="20"/>
          <w:szCs w:val="20"/>
          <w:lang w:val="en-US"/>
        </w:rPr>
        <w:t xml:space="preserve"> SNF</w:t>
      </w:r>
      <w:r w:rsidRPr="00EC3F73">
        <w:rPr>
          <w:rStyle w:val="jlqj4b"/>
          <w:rFonts w:eastAsiaTheme="majorEastAsia"/>
          <w:sz w:val="20"/>
          <w:szCs w:val="20"/>
          <w:lang w:val="en-US"/>
        </w:rPr>
        <w:t xml:space="preserve"> by the time the head commercial BN reactor will be put into operation. Its quantity turns out to be sufficient for starting up and continuing to operate the head unit until the end of its design life (60 years). Moreover, this plutonium turns out to be sufficient for the launch of several more serial BN reactors. Thus, a deficit of plutonium in the considered scenario of the </w:t>
      </w:r>
      <w:r w:rsidR="00DB46AF" w:rsidRPr="00EC3F73">
        <w:rPr>
          <w:rStyle w:val="jlqj4b"/>
          <w:rFonts w:eastAsiaTheme="majorEastAsia"/>
          <w:sz w:val="20"/>
          <w:szCs w:val="20"/>
          <w:lang w:val="en-US"/>
        </w:rPr>
        <w:t>NP</w:t>
      </w:r>
      <w:r w:rsidRPr="00EC3F73">
        <w:rPr>
          <w:rStyle w:val="jlqj4b"/>
          <w:rFonts w:eastAsiaTheme="majorEastAsia"/>
          <w:sz w:val="20"/>
          <w:szCs w:val="20"/>
          <w:lang w:val="en-US"/>
        </w:rPr>
        <w:t xml:space="preserve"> development is not expected at least until the middle of the century. </w:t>
      </w:r>
    </w:p>
    <w:p w:rsidR="00EA7D25" w:rsidRPr="00EC3F73" w:rsidRDefault="00EA7D25" w:rsidP="000B5A02">
      <w:pPr>
        <w:pStyle w:val="a8"/>
        <w:spacing w:line="260" w:lineRule="atLeast"/>
        <w:ind w:firstLine="567"/>
        <w:rPr>
          <w:rFonts w:eastAsia="Batang"/>
          <w:sz w:val="20"/>
          <w:szCs w:val="20"/>
          <w:lang w:val="en-US" w:eastAsia="ko-KR"/>
        </w:rPr>
      </w:pPr>
      <w:r w:rsidRPr="00EC3F73">
        <w:rPr>
          <w:rStyle w:val="jlqj4b"/>
          <w:rFonts w:eastAsiaTheme="majorEastAsia"/>
          <w:sz w:val="20"/>
          <w:szCs w:val="20"/>
          <w:lang w:val="en-US"/>
        </w:rPr>
        <w:t>Under these conditions, it seems expedient to consider the scenario of the initial stage of the transition to a two-component NPS with</w:t>
      </w:r>
      <w:r w:rsidR="00A25B3F" w:rsidRPr="00EC3F73">
        <w:rPr>
          <w:rStyle w:val="jlqj4b"/>
          <w:rFonts w:eastAsiaTheme="majorEastAsia"/>
          <w:sz w:val="20"/>
          <w:szCs w:val="20"/>
          <w:lang w:val="en-US"/>
        </w:rPr>
        <w:t xml:space="preserve"> fast reactor</w:t>
      </w:r>
      <w:r w:rsidRPr="00EC3F73">
        <w:rPr>
          <w:rStyle w:val="jlqj4b"/>
          <w:rFonts w:eastAsiaTheme="majorEastAsia"/>
          <w:sz w:val="20"/>
          <w:szCs w:val="20"/>
          <w:lang w:val="en-US"/>
        </w:rPr>
        <w:t xml:space="preserve"> </w:t>
      </w:r>
      <w:r w:rsidR="00A25B3F" w:rsidRPr="00EC3F73">
        <w:rPr>
          <w:rStyle w:val="jlqj4b"/>
          <w:rFonts w:eastAsiaTheme="majorEastAsia"/>
          <w:sz w:val="20"/>
          <w:szCs w:val="20"/>
          <w:lang w:val="en-US"/>
        </w:rPr>
        <w:t xml:space="preserve">MOX SNF </w:t>
      </w:r>
      <w:r w:rsidRPr="00EC3F73">
        <w:rPr>
          <w:rStyle w:val="jlqj4b"/>
          <w:rFonts w:eastAsiaTheme="majorEastAsia"/>
          <w:sz w:val="20"/>
          <w:szCs w:val="20"/>
          <w:lang w:val="en-US"/>
        </w:rPr>
        <w:t xml:space="preserve">delayed </w:t>
      </w:r>
      <w:r w:rsidR="00A25B3F" w:rsidRPr="00EC3F73">
        <w:rPr>
          <w:rStyle w:val="jlqj4b"/>
          <w:rFonts w:eastAsiaTheme="majorEastAsia"/>
          <w:sz w:val="20"/>
          <w:szCs w:val="20"/>
          <w:lang w:val="en-US"/>
        </w:rPr>
        <w:t>reprocessing for</w:t>
      </w:r>
      <w:r w:rsidRPr="00EC3F73">
        <w:rPr>
          <w:rStyle w:val="jlqj4b"/>
          <w:rFonts w:eastAsiaTheme="majorEastAsia"/>
          <w:sz w:val="20"/>
          <w:szCs w:val="20"/>
          <w:lang w:val="en-US"/>
        </w:rPr>
        <w:t xml:space="preserve"> the period after 2040. BN reactors</w:t>
      </w:r>
      <w:r w:rsidR="00A25B3F" w:rsidRPr="00EC3F73">
        <w:rPr>
          <w:rStyle w:val="jlqj4b"/>
          <w:rFonts w:eastAsiaTheme="majorEastAsia"/>
          <w:sz w:val="20"/>
          <w:szCs w:val="20"/>
          <w:lang w:val="en-US"/>
        </w:rPr>
        <w:t xml:space="preserve"> essentially</w:t>
      </w:r>
      <w:r w:rsidRPr="00EC3F73">
        <w:rPr>
          <w:rStyle w:val="jlqj4b"/>
          <w:rFonts w:eastAsiaTheme="majorEastAsia"/>
          <w:sz w:val="20"/>
          <w:szCs w:val="20"/>
          <w:lang w:val="en-US"/>
        </w:rPr>
        <w:t xml:space="preserve"> operate during this period in an "open" plutonium cycle.</w:t>
      </w:r>
      <w:r w:rsidRPr="00EC3F73">
        <w:rPr>
          <w:sz w:val="20"/>
          <w:szCs w:val="20"/>
          <w:lang w:val="en-US"/>
        </w:rPr>
        <w:t xml:space="preserve"> </w:t>
      </w:r>
      <w:r w:rsidR="008E63CD" w:rsidRPr="00EC3F73">
        <w:rPr>
          <w:rFonts w:eastAsia="Batang"/>
          <w:sz w:val="20"/>
          <w:szCs w:val="20"/>
          <w:lang w:val="en-US" w:eastAsia="ko-KR"/>
        </w:rPr>
        <w:t xml:space="preserve"> </w:t>
      </w:r>
    </w:p>
    <w:p w:rsidR="005D151E" w:rsidRDefault="00D41A98" w:rsidP="000B5A02">
      <w:pPr>
        <w:spacing w:line="260" w:lineRule="atLeast"/>
        <w:ind w:firstLine="567"/>
        <w:rPr>
          <w:rStyle w:val="jlqj4b"/>
          <w:sz w:val="20"/>
          <w:szCs w:val="20"/>
          <w:lang w:val="en-US"/>
        </w:rPr>
      </w:pPr>
      <w:r w:rsidRPr="00EC3F73">
        <w:rPr>
          <w:rStyle w:val="jlqj4b"/>
          <w:sz w:val="20"/>
          <w:szCs w:val="20"/>
          <w:lang w:val="en-US"/>
        </w:rPr>
        <w:t xml:space="preserve">Refusal from </w:t>
      </w:r>
      <w:r w:rsidR="00990F77" w:rsidRPr="00EC3F73">
        <w:rPr>
          <w:rStyle w:val="jlqj4b"/>
          <w:sz w:val="20"/>
          <w:szCs w:val="20"/>
          <w:lang w:val="en-US"/>
        </w:rPr>
        <w:t xml:space="preserve">the head and first serial BN reactor SNF </w:t>
      </w:r>
      <w:r w:rsidRPr="00EC3F73">
        <w:rPr>
          <w:rStyle w:val="jlqj4b"/>
          <w:sz w:val="20"/>
          <w:szCs w:val="20"/>
          <w:lang w:val="en-US"/>
        </w:rPr>
        <w:t xml:space="preserve">immediate reprocessing  leads to the abandonment of </w:t>
      </w:r>
      <w:r w:rsidR="00990F77" w:rsidRPr="00EC3F73">
        <w:rPr>
          <w:rStyle w:val="jlqj4b"/>
          <w:sz w:val="20"/>
          <w:szCs w:val="20"/>
          <w:lang w:val="en-US"/>
        </w:rPr>
        <w:t xml:space="preserve">the </w:t>
      </w:r>
      <w:r w:rsidRPr="00EC3F73">
        <w:rPr>
          <w:rStyle w:val="jlqj4b"/>
          <w:sz w:val="20"/>
          <w:szCs w:val="20"/>
          <w:lang w:val="en-US"/>
        </w:rPr>
        <w:t xml:space="preserve">capital </w:t>
      </w:r>
      <w:r w:rsidR="00A25B3F" w:rsidRPr="00EC3F73">
        <w:rPr>
          <w:rStyle w:val="jlqj4b"/>
          <w:sz w:val="20"/>
          <w:szCs w:val="20"/>
          <w:lang w:val="en-US"/>
        </w:rPr>
        <w:t xml:space="preserve">expanses </w:t>
      </w:r>
      <w:r w:rsidRPr="00EC3F73">
        <w:rPr>
          <w:rStyle w:val="jlqj4b"/>
          <w:sz w:val="20"/>
          <w:szCs w:val="20"/>
          <w:lang w:val="en-US"/>
        </w:rPr>
        <w:t xml:space="preserve">for low-tonnage economically ineffective </w:t>
      </w:r>
      <w:r w:rsidR="00990F77" w:rsidRPr="00EC3F73">
        <w:rPr>
          <w:rStyle w:val="jlqj4b"/>
          <w:sz w:val="20"/>
          <w:szCs w:val="20"/>
          <w:lang w:val="en-US"/>
        </w:rPr>
        <w:t>reprocessing</w:t>
      </w:r>
      <w:r w:rsidRPr="00EC3F73">
        <w:rPr>
          <w:rStyle w:val="jlqj4b"/>
          <w:sz w:val="20"/>
          <w:szCs w:val="20"/>
          <w:lang w:val="en-US"/>
        </w:rPr>
        <w:t xml:space="preserve">, as well as, accordingly, to a noticeable decrease in the annual fuel </w:t>
      </w:r>
      <w:r w:rsidR="00990F77" w:rsidRPr="00EC3F73">
        <w:rPr>
          <w:rStyle w:val="jlqj4b"/>
          <w:sz w:val="20"/>
          <w:szCs w:val="20"/>
          <w:lang w:val="en-US"/>
        </w:rPr>
        <w:t xml:space="preserve">expenses </w:t>
      </w:r>
      <w:r w:rsidRPr="00EC3F73">
        <w:rPr>
          <w:rStyle w:val="jlqj4b"/>
          <w:sz w:val="20"/>
          <w:szCs w:val="20"/>
          <w:lang w:val="en-US"/>
        </w:rPr>
        <w:t xml:space="preserve">of nuclear power plants. This is due to the fact that the </w:t>
      </w:r>
      <w:r w:rsidR="00C34067" w:rsidRPr="00EC3F73">
        <w:rPr>
          <w:rStyle w:val="jlqj4b"/>
          <w:sz w:val="20"/>
          <w:szCs w:val="20"/>
          <w:lang w:val="en-US"/>
        </w:rPr>
        <w:t xml:space="preserve">specific </w:t>
      </w:r>
      <w:r w:rsidRPr="00EC3F73">
        <w:rPr>
          <w:rStyle w:val="jlqj4b"/>
          <w:sz w:val="20"/>
          <w:szCs w:val="20"/>
          <w:lang w:val="en-US"/>
        </w:rPr>
        <w:t xml:space="preserve">cost of reprocessing substantially depends on the productivity of the radiochemical plant for reprocessing, which in turn is determined by the amount of </w:t>
      </w:r>
      <w:r w:rsidR="00240106" w:rsidRPr="00EC3F73">
        <w:rPr>
          <w:rStyle w:val="jlqj4b"/>
          <w:sz w:val="20"/>
          <w:szCs w:val="20"/>
          <w:lang w:val="en-US"/>
        </w:rPr>
        <w:t xml:space="preserve">BN </w:t>
      </w:r>
      <w:r w:rsidRPr="00EC3F73">
        <w:rPr>
          <w:rStyle w:val="jlqj4b"/>
          <w:sz w:val="20"/>
          <w:szCs w:val="20"/>
          <w:lang w:val="en-US"/>
        </w:rPr>
        <w:t xml:space="preserve">SNF </w:t>
      </w:r>
      <w:r w:rsidR="00240106" w:rsidRPr="00EC3F73">
        <w:rPr>
          <w:rStyle w:val="jlqj4b"/>
          <w:sz w:val="20"/>
          <w:szCs w:val="20"/>
          <w:lang w:val="en-US"/>
        </w:rPr>
        <w:t xml:space="preserve">to be reprocessed </w:t>
      </w:r>
      <w:r w:rsidRPr="00EC3F73">
        <w:rPr>
          <w:rStyle w:val="jlqj4b"/>
          <w:sz w:val="20"/>
          <w:szCs w:val="20"/>
          <w:lang w:val="en-US"/>
        </w:rPr>
        <w:t xml:space="preserve">in the fuel cycle. The performed analysis showed that the reprocessing of spent nuclear fuel from a single </w:t>
      </w:r>
      <w:r w:rsidR="00C34067" w:rsidRPr="00EC3F73">
        <w:rPr>
          <w:rStyle w:val="jlqj4b"/>
          <w:sz w:val="20"/>
          <w:szCs w:val="20"/>
          <w:lang w:val="en-US"/>
        </w:rPr>
        <w:t xml:space="preserve">fast reactor </w:t>
      </w:r>
      <w:r w:rsidRPr="00EC3F73">
        <w:rPr>
          <w:rStyle w:val="jlqj4b"/>
          <w:sz w:val="20"/>
          <w:szCs w:val="20"/>
          <w:lang w:val="en-US"/>
        </w:rPr>
        <w:t>cannot be economically justified. From this point of view, an acceptable number of power units</w:t>
      </w:r>
      <w:r w:rsidR="00C34067" w:rsidRPr="00EC3F73">
        <w:rPr>
          <w:rStyle w:val="jlqj4b"/>
          <w:sz w:val="20"/>
          <w:szCs w:val="20"/>
          <w:lang w:val="en-US"/>
        </w:rPr>
        <w:t xml:space="preserve"> BN type reactors of high power</w:t>
      </w:r>
      <w:r w:rsidRPr="00EC3F73">
        <w:rPr>
          <w:rStyle w:val="jlqj4b"/>
          <w:sz w:val="20"/>
          <w:szCs w:val="20"/>
          <w:lang w:val="en-US"/>
        </w:rPr>
        <w:t xml:space="preserve">, at which a significant (approximately 2 times) reduction in the </w:t>
      </w:r>
      <w:r w:rsidR="00C34067" w:rsidRPr="00EC3F73">
        <w:rPr>
          <w:rStyle w:val="jlqj4b"/>
          <w:sz w:val="20"/>
          <w:szCs w:val="20"/>
          <w:lang w:val="en-US"/>
        </w:rPr>
        <w:t xml:space="preserve">specific </w:t>
      </w:r>
      <w:r w:rsidRPr="00EC3F73">
        <w:rPr>
          <w:rStyle w:val="jlqj4b"/>
          <w:sz w:val="20"/>
          <w:szCs w:val="20"/>
          <w:lang w:val="en-US"/>
        </w:rPr>
        <w:t xml:space="preserve">cost of </w:t>
      </w:r>
      <w:r w:rsidR="00C34067" w:rsidRPr="00EC3F73">
        <w:rPr>
          <w:rStyle w:val="jlqj4b"/>
          <w:sz w:val="20"/>
          <w:szCs w:val="20"/>
          <w:lang w:val="en-US"/>
        </w:rPr>
        <w:t>re</w:t>
      </w:r>
      <w:r w:rsidRPr="00EC3F73">
        <w:rPr>
          <w:rStyle w:val="jlqj4b"/>
          <w:sz w:val="20"/>
          <w:szCs w:val="20"/>
          <w:lang w:val="en-US"/>
        </w:rPr>
        <w:t>processing is achieved, is the num</w:t>
      </w:r>
      <w:r w:rsidR="00D62BA1">
        <w:rPr>
          <w:rStyle w:val="jlqj4b"/>
          <w:sz w:val="20"/>
          <w:szCs w:val="20"/>
          <w:lang w:val="en-US"/>
        </w:rPr>
        <w:t>ber of at least 6-9 power units (Figure 2).</w:t>
      </w:r>
    </w:p>
    <w:p w:rsidR="0008796E" w:rsidRDefault="0008796E" w:rsidP="000B5A02">
      <w:pPr>
        <w:spacing w:line="260" w:lineRule="atLeast"/>
        <w:ind w:firstLine="567"/>
        <w:rPr>
          <w:rStyle w:val="jlqj4b"/>
          <w:sz w:val="20"/>
          <w:szCs w:val="20"/>
          <w:lang w:val="en-US"/>
        </w:rPr>
      </w:pPr>
    </w:p>
    <w:p w:rsidR="0008796E" w:rsidRDefault="0008796E" w:rsidP="0008796E">
      <w:pPr>
        <w:spacing w:line="260" w:lineRule="atLeast"/>
        <w:ind w:firstLine="0"/>
        <w:jc w:val="center"/>
        <w:rPr>
          <w:rStyle w:val="jlqj4b"/>
          <w:sz w:val="20"/>
          <w:szCs w:val="20"/>
          <w:lang w:val="en-US"/>
        </w:rPr>
      </w:pPr>
      <w:r w:rsidRPr="0008796E">
        <w:rPr>
          <w:rStyle w:val="jlqj4b"/>
          <w:noProof/>
          <w:lang w:eastAsia="ru-RU"/>
        </w:rPr>
        <w:drawing>
          <wp:inline distT="0" distB="0" distL="0" distR="0">
            <wp:extent cx="4503420" cy="3131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6973" cy="3154680"/>
                    </a:xfrm>
                    <a:prstGeom prst="rect">
                      <a:avLst/>
                    </a:prstGeom>
                    <a:noFill/>
                    <a:ln>
                      <a:noFill/>
                    </a:ln>
                  </pic:spPr>
                </pic:pic>
              </a:graphicData>
            </a:graphic>
          </wp:inline>
        </w:drawing>
      </w:r>
    </w:p>
    <w:p w:rsidR="005D151E" w:rsidRPr="003E3FC4" w:rsidRDefault="000B5A02" w:rsidP="00D41A98">
      <w:pPr>
        <w:jc w:val="center"/>
        <w:rPr>
          <w:rFonts w:eastAsia="Times New Roman" w:cs="Times New Roman"/>
          <w:i/>
          <w:color w:val="auto"/>
          <w:sz w:val="18"/>
          <w:szCs w:val="18"/>
          <w:lang w:val="en-US" w:eastAsia="ru-RU"/>
        </w:rPr>
      </w:pPr>
      <w:r w:rsidRPr="003E3FC4">
        <w:rPr>
          <w:rStyle w:val="jlqj4b"/>
          <w:i/>
          <w:caps/>
          <w:sz w:val="18"/>
          <w:szCs w:val="18"/>
          <w:lang w:val="en-US"/>
        </w:rPr>
        <w:t>Fig.</w:t>
      </w:r>
      <w:r w:rsidR="00D41A98" w:rsidRPr="003E3FC4">
        <w:rPr>
          <w:rStyle w:val="jlqj4b"/>
          <w:i/>
          <w:caps/>
          <w:sz w:val="18"/>
          <w:szCs w:val="18"/>
          <w:lang w:val="en-US"/>
        </w:rPr>
        <w:t xml:space="preserve"> 2</w:t>
      </w:r>
      <w:r w:rsidRPr="003E3FC4">
        <w:rPr>
          <w:rStyle w:val="jlqj4b"/>
          <w:i/>
          <w:caps/>
          <w:sz w:val="18"/>
          <w:szCs w:val="18"/>
          <w:lang w:val="en-US"/>
        </w:rPr>
        <w:t>.</w:t>
      </w:r>
      <w:r w:rsidR="00D41A98" w:rsidRPr="003E3FC4">
        <w:rPr>
          <w:rStyle w:val="jlqj4b"/>
          <w:i/>
          <w:sz w:val="18"/>
          <w:szCs w:val="18"/>
          <w:lang w:val="en-US"/>
        </w:rPr>
        <w:t xml:space="preserve"> - Specific cost of SNF reprocessing on plant productivity </w:t>
      </w:r>
    </w:p>
    <w:p w:rsidR="00D41A98" w:rsidRPr="00D31A21" w:rsidRDefault="00D41A98" w:rsidP="00F54881">
      <w:pPr>
        <w:ind w:firstLine="680"/>
        <w:rPr>
          <w:rFonts w:eastAsia="Times New Roman" w:cs="Times New Roman"/>
          <w:color w:val="auto"/>
          <w:sz w:val="20"/>
          <w:szCs w:val="20"/>
          <w:lang w:val="en-US" w:eastAsia="ru-RU"/>
        </w:rPr>
      </w:pPr>
    </w:p>
    <w:p w:rsidR="00D41A98" w:rsidRPr="000A029E" w:rsidRDefault="00D41A98" w:rsidP="000B5A02">
      <w:pPr>
        <w:spacing w:line="260" w:lineRule="atLeast"/>
        <w:ind w:firstLine="567"/>
        <w:rPr>
          <w:rFonts w:eastAsia="Times New Roman" w:cs="Times New Roman"/>
          <w:color w:val="auto"/>
          <w:sz w:val="20"/>
          <w:szCs w:val="20"/>
          <w:lang w:val="en-US" w:eastAsia="ru-RU"/>
        </w:rPr>
      </w:pPr>
      <w:r w:rsidRPr="000A029E">
        <w:rPr>
          <w:rStyle w:val="jlqj4b"/>
          <w:sz w:val="20"/>
          <w:szCs w:val="20"/>
          <w:lang w:val="en-US"/>
        </w:rPr>
        <w:t>In addition, in the conditions of the plutonium excess and the absence of a sharp increase in demand for electricity, at the initial stage it is possible to abandon the radial fertile uranium blanket, which is currently envisaged in the BN reactor design, temporarily replacing it with a steel one.</w:t>
      </w:r>
      <w:r w:rsidRPr="000A029E">
        <w:rPr>
          <w:rStyle w:val="viiyi"/>
          <w:sz w:val="20"/>
          <w:szCs w:val="20"/>
          <w:lang w:val="en-US"/>
        </w:rPr>
        <w:t xml:space="preserve"> </w:t>
      </w:r>
      <w:r w:rsidRPr="000A029E">
        <w:rPr>
          <w:rStyle w:val="jlqj4b"/>
          <w:sz w:val="20"/>
          <w:szCs w:val="20"/>
          <w:lang w:val="en-US"/>
        </w:rPr>
        <w:t xml:space="preserve">In this case, the costs for its manufacture and </w:t>
      </w:r>
      <w:r w:rsidR="005350FA" w:rsidRPr="000A029E">
        <w:rPr>
          <w:rStyle w:val="jlqj4b"/>
          <w:sz w:val="20"/>
          <w:szCs w:val="20"/>
          <w:lang w:val="en-US"/>
        </w:rPr>
        <w:t>re</w:t>
      </w:r>
      <w:r w:rsidRPr="000A029E">
        <w:rPr>
          <w:rStyle w:val="jlqj4b"/>
          <w:sz w:val="20"/>
          <w:szCs w:val="20"/>
          <w:lang w:val="en-US"/>
        </w:rPr>
        <w:t xml:space="preserve">processing, which are included in the fuel </w:t>
      </w:r>
      <w:r w:rsidR="005350FA" w:rsidRPr="000A029E">
        <w:rPr>
          <w:rStyle w:val="jlqj4b"/>
          <w:sz w:val="20"/>
          <w:szCs w:val="20"/>
          <w:lang w:val="en-US"/>
        </w:rPr>
        <w:t>expenses</w:t>
      </w:r>
      <w:r w:rsidRPr="000A029E">
        <w:rPr>
          <w:rStyle w:val="jlqj4b"/>
          <w:sz w:val="20"/>
          <w:szCs w:val="20"/>
          <w:lang w:val="en-US"/>
        </w:rPr>
        <w:t xml:space="preserve">, are </w:t>
      </w:r>
      <w:r w:rsidR="00EE5957">
        <w:rPr>
          <w:rStyle w:val="jlqj4b"/>
          <w:sz w:val="20"/>
          <w:szCs w:val="20"/>
          <w:lang w:val="en-US"/>
        </w:rPr>
        <w:t>eleminated</w:t>
      </w:r>
      <w:r w:rsidRPr="000A029E">
        <w:rPr>
          <w:rStyle w:val="jlqj4b"/>
          <w:sz w:val="20"/>
          <w:szCs w:val="20"/>
          <w:lang w:val="en-US"/>
        </w:rPr>
        <w:t>.</w:t>
      </w:r>
    </w:p>
    <w:p w:rsidR="00AC33CF" w:rsidRPr="000A029E" w:rsidRDefault="00AC33CF" w:rsidP="000B5A02">
      <w:pPr>
        <w:spacing w:line="260" w:lineRule="atLeast"/>
        <w:ind w:firstLine="567"/>
        <w:rPr>
          <w:rStyle w:val="jlqj4b"/>
          <w:sz w:val="20"/>
          <w:szCs w:val="20"/>
          <w:lang w:val="en-US"/>
        </w:rPr>
      </w:pPr>
      <w:r w:rsidRPr="000A029E">
        <w:rPr>
          <w:rStyle w:val="jlqj4b"/>
          <w:sz w:val="20"/>
          <w:szCs w:val="20"/>
          <w:lang w:val="en-US"/>
        </w:rPr>
        <w:t>Table 1 shows the results of the assessment of the levelized unit fuel cost (LUFC) of electricity generation at a power unit with a high-power BN-type reactor in case of refusal to reprocess core fuel assembl</w:t>
      </w:r>
      <w:r w:rsidR="005350FA" w:rsidRPr="000A029E">
        <w:rPr>
          <w:rStyle w:val="jlqj4b"/>
          <w:sz w:val="20"/>
          <w:szCs w:val="20"/>
          <w:lang w:val="en-US"/>
        </w:rPr>
        <w:t>y (FA) SNF</w:t>
      </w:r>
      <w:r w:rsidRPr="000A029E">
        <w:rPr>
          <w:rStyle w:val="jlqj4b"/>
          <w:sz w:val="20"/>
          <w:szCs w:val="20"/>
          <w:lang w:val="en-US"/>
        </w:rPr>
        <w:t xml:space="preserve">. In this case, a variant of the reactor without a </w:t>
      </w:r>
      <w:r w:rsidR="005350FA" w:rsidRPr="000A029E">
        <w:rPr>
          <w:rStyle w:val="jlqj4b"/>
          <w:sz w:val="20"/>
          <w:szCs w:val="20"/>
          <w:lang w:val="en-US"/>
        </w:rPr>
        <w:t>radial fertile</w:t>
      </w:r>
      <w:r w:rsidRPr="000A029E">
        <w:rPr>
          <w:rStyle w:val="jlqj4b"/>
          <w:sz w:val="20"/>
          <w:szCs w:val="20"/>
          <w:lang w:val="en-US"/>
        </w:rPr>
        <w:t xml:space="preserve"> blanket</w:t>
      </w:r>
      <w:r w:rsidR="005350FA" w:rsidRPr="000A029E">
        <w:rPr>
          <w:rStyle w:val="jlqj4b"/>
          <w:sz w:val="20"/>
          <w:szCs w:val="20"/>
          <w:lang w:val="en-US"/>
        </w:rPr>
        <w:t xml:space="preserve"> (RFB)</w:t>
      </w:r>
      <w:r w:rsidRPr="000A029E">
        <w:rPr>
          <w:rStyle w:val="jlqj4b"/>
          <w:sz w:val="20"/>
          <w:szCs w:val="20"/>
          <w:lang w:val="en-US"/>
        </w:rPr>
        <w:t xml:space="preserve"> is considered, too. Naturally, the cost of its manufacture is also </w:t>
      </w:r>
      <w:r w:rsidR="006C65CF">
        <w:rPr>
          <w:rStyle w:val="jlqj4b"/>
          <w:sz w:val="20"/>
          <w:szCs w:val="20"/>
          <w:lang w:val="en-US"/>
        </w:rPr>
        <w:t>eleminated</w:t>
      </w:r>
      <w:r w:rsidRPr="000A029E">
        <w:rPr>
          <w:rStyle w:val="jlqj4b"/>
          <w:sz w:val="20"/>
          <w:szCs w:val="20"/>
          <w:lang w:val="en-US"/>
        </w:rPr>
        <w:t xml:space="preserve">. However, an option with a </w:t>
      </w:r>
      <w:r w:rsidR="005350FA" w:rsidRPr="000A029E">
        <w:rPr>
          <w:rStyle w:val="jlqj4b"/>
          <w:sz w:val="20"/>
          <w:szCs w:val="20"/>
          <w:lang w:val="en-US"/>
        </w:rPr>
        <w:t xml:space="preserve">RFB </w:t>
      </w:r>
      <w:r w:rsidRPr="000A029E">
        <w:rPr>
          <w:rStyle w:val="jlqj4b"/>
          <w:sz w:val="20"/>
          <w:szCs w:val="20"/>
          <w:lang w:val="en-US"/>
        </w:rPr>
        <w:t>is also possible, but with postponed reprocessing until the need</w:t>
      </w:r>
      <w:r w:rsidR="005350FA" w:rsidRPr="000A029E">
        <w:rPr>
          <w:rStyle w:val="jlqj4b"/>
          <w:sz w:val="20"/>
          <w:szCs w:val="20"/>
          <w:lang w:val="en-US"/>
        </w:rPr>
        <w:t>s</w:t>
      </w:r>
      <w:r w:rsidRPr="000A029E">
        <w:rPr>
          <w:rStyle w:val="jlqj4b"/>
          <w:sz w:val="20"/>
          <w:szCs w:val="20"/>
          <w:lang w:val="en-US"/>
        </w:rPr>
        <w:t xml:space="preserve"> for plutonium. The choice in favor of one or another option is possible in the future based on the projected demand for electricity. </w:t>
      </w:r>
    </w:p>
    <w:p w:rsidR="00AC33CF" w:rsidRPr="000A029E" w:rsidRDefault="00AC33CF" w:rsidP="000B5A02">
      <w:pPr>
        <w:spacing w:line="260" w:lineRule="atLeast"/>
        <w:ind w:firstLine="567"/>
        <w:rPr>
          <w:rFonts w:eastAsia="Times New Roman" w:cs="Times New Roman"/>
          <w:color w:val="auto"/>
          <w:sz w:val="20"/>
          <w:szCs w:val="20"/>
          <w:lang w:val="en-US" w:eastAsia="ru-RU"/>
        </w:rPr>
      </w:pPr>
      <w:r w:rsidRPr="000A029E">
        <w:rPr>
          <w:rStyle w:val="jlqj4b"/>
          <w:sz w:val="20"/>
          <w:szCs w:val="20"/>
          <w:lang w:val="en-US"/>
        </w:rPr>
        <w:t xml:space="preserve">The calculations were carried out using the FCCBNN code [4] with the recommended in [2] the fuel cycle </w:t>
      </w:r>
      <w:r w:rsidR="005350FA" w:rsidRPr="000A029E">
        <w:rPr>
          <w:rStyle w:val="jlqj4b"/>
          <w:sz w:val="20"/>
          <w:szCs w:val="20"/>
          <w:lang w:val="en-US"/>
        </w:rPr>
        <w:t>conversion specific</w:t>
      </w:r>
      <w:r w:rsidRPr="000A029E">
        <w:rPr>
          <w:rStyle w:val="jlqj4b"/>
          <w:sz w:val="20"/>
          <w:szCs w:val="20"/>
          <w:lang w:val="en-US"/>
        </w:rPr>
        <w:t xml:space="preserve"> costs</w:t>
      </w:r>
      <w:r w:rsidR="002B1C22" w:rsidRPr="000A029E">
        <w:rPr>
          <w:rStyle w:val="jlqj4b"/>
          <w:sz w:val="20"/>
          <w:szCs w:val="20"/>
          <w:lang w:val="en-US"/>
        </w:rPr>
        <w:t xml:space="preserve">, </w:t>
      </w:r>
      <w:r w:rsidRPr="000A029E">
        <w:rPr>
          <w:rStyle w:val="jlqj4b"/>
          <w:sz w:val="20"/>
          <w:szCs w:val="20"/>
          <w:lang w:val="en-US"/>
        </w:rPr>
        <w:t>which correspond to the above-mentioned 6-9 power units of the BN type. In this case, the discount rate was adopted equal to 5%.</w:t>
      </w:r>
    </w:p>
    <w:p w:rsidR="002B1C22" w:rsidRDefault="002B1C22" w:rsidP="000B5A02">
      <w:pPr>
        <w:spacing w:line="260" w:lineRule="atLeast"/>
        <w:ind w:firstLine="567"/>
        <w:rPr>
          <w:rStyle w:val="jlqj4b"/>
          <w:sz w:val="20"/>
          <w:szCs w:val="20"/>
          <w:lang w:val="en-US"/>
        </w:rPr>
      </w:pPr>
      <w:r w:rsidRPr="000A029E">
        <w:rPr>
          <w:rStyle w:val="jlqj4b"/>
          <w:sz w:val="20"/>
          <w:szCs w:val="20"/>
          <w:lang w:val="en-US"/>
        </w:rPr>
        <w:t xml:space="preserve">As can be seen from the presented data, the </w:t>
      </w:r>
      <w:r w:rsidR="00F8135A">
        <w:rPr>
          <w:rStyle w:val="jlqj4b"/>
          <w:sz w:val="20"/>
          <w:szCs w:val="20"/>
          <w:lang w:val="en-US"/>
        </w:rPr>
        <w:t xml:space="preserve">abandonment  of </w:t>
      </w:r>
      <w:r w:rsidRPr="000A029E">
        <w:rPr>
          <w:rStyle w:val="jlqj4b"/>
          <w:sz w:val="20"/>
          <w:szCs w:val="20"/>
          <w:lang w:val="en-US"/>
        </w:rPr>
        <w:t xml:space="preserve"> </w:t>
      </w:r>
      <w:r w:rsidR="00941BF6">
        <w:rPr>
          <w:rStyle w:val="jlqj4b"/>
          <w:sz w:val="20"/>
          <w:szCs w:val="20"/>
          <w:lang w:val="en-US"/>
        </w:rPr>
        <w:t xml:space="preserve">the </w:t>
      </w:r>
      <w:r w:rsidRPr="000A029E">
        <w:rPr>
          <w:rStyle w:val="jlqj4b"/>
          <w:sz w:val="20"/>
          <w:szCs w:val="20"/>
          <w:lang w:val="en-US"/>
        </w:rPr>
        <w:t>BN SNF</w:t>
      </w:r>
      <w:r w:rsidR="00941BF6">
        <w:rPr>
          <w:rStyle w:val="jlqj4b"/>
          <w:sz w:val="20"/>
          <w:szCs w:val="20"/>
          <w:lang w:val="en-US"/>
        </w:rPr>
        <w:t xml:space="preserve"> </w:t>
      </w:r>
      <w:r w:rsidR="00941BF6" w:rsidRPr="000A029E">
        <w:rPr>
          <w:rStyle w:val="jlqj4b"/>
          <w:sz w:val="20"/>
          <w:szCs w:val="20"/>
          <w:lang w:val="en-US"/>
        </w:rPr>
        <w:t>reprocess</w:t>
      </w:r>
      <w:r w:rsidR="00941BF6">
        <w:rPr>
          <w:rStyle w:val="jlqj4b"/>
          <w:sz w:val="20"/>
          <w:szCs w:val="20"/>
          <w:lang w:val="en-US"/>
        </w:rPr>
        <w:t>ing</w:t>
      </w:r>
      <w:r w:rsidRPr="000A029E">
        <w:rPr>
          <w:rStyle w:val="jlqj4b"/>
          <w:sz w:val="20"/>
          <w:szCs w:val="20"/>
          <w:lang w:val="en-US"/>
        </w:rPr>
        <w:t xml:space="preserve">, as well as from the radial fertile blanket, </w:t>
      </w:r>
      <w:r w:rsidR="00AE1042" w:rsidRPr="000A029E">
        <w:rPr>
          <w:rStyle w:val="jlqj4b"/>
          <w:sz w:val="20"/>
          <w:szCs w:val="20"/>
          <w:lang w:val="en-US"/>
        </w:rPr>
        <w:t xml:space="preserve">at the initial stage </w:t>
      </w:r>
      <w:r w:rsidRPr="000A029E">
        <w:rPr>
          <w:rStyle w:val="jlqj4b"/>
          <w:sz w:val="20"/>
          <w:szCs w:val="20"/>
          <w:lang w:val="en-US"/>
        </w:rPr>
        <w:t xml:space="preserve">leads to a </w:t>
      </w:r>
      <w:r w:rsidR="005350FA" w:rsidRPr="000A029E">
        <w:rPr>
          <w:rStyle w:val="jlqj4b"/>
          <w:sz w:val="20"/>
          <w:szCs w:val="20"/>
          <w:lang w:val="en-US"/>
        </w:rPr>
        <w:t xml:space="preserve">significant </w:t>
      </w:r>
      <w:r w:rsidRPr="000A029E">
        <w:rPr>
          <w:rStyle w:val="jlqj4b"/>
          <w:sz w:val="20"/>
          <w:szCs w:val="20"/>
          <w:lang w:val="en-US"/>
        </w:rPr>
        <w:t xml:space="preserve">decrease in the </w:t>
      </w:r>
      <w:r w:rsidR="00F8135A">
        <w:rPr>
          <w:rStyle w:val="jlqj4b"/>
          <w:sz w:val="20"/>
          <w:szCs w:val="20"/>
          <w:lang w:val="en-US"/>
        </w:rPr>
        <w:t>LUFC.</w:t>
      </w:r>
      <w:r w:rsidRPr="000A029E">
        <w:rPr>
          <w:rStyle w:val="jlqj4b"/>
          <w:sz w:val="20"/>
          <w:szCs w:val="20"/>
          <w:lang w:val="en-US"/>
        </w:rPr>
        <w:t xml:space="preserve"> </w:t>
      </w:r>
    </w:p>
    <w:p w:rsidR="000A029E" w:rsidRPr="000A029E" w:rsidRDefault="000A029E" w:rsidP="004001EF">
      <w:pPr>
        <w:ind w:firstLine="680"/>
        <w:rPr>
          <w:rStyle w:val="jlqj4b"/>
          <w:sz w:val="20"/>
          <w:szCs w:val="20"/>
          <w:lang w:val="en-US"/>
        </w:rPr>
      </w:pPr>
    </w:p>
    <w:p w:rsidR="002A7F5B" w:rsidRDefault="002A7F5B" w:rsidP="00F54881">
      <w:pPr>
        <w:ind w:firstLine="680"/>
        <w:rPr>
          <w:rStyle w:val="jlqj4b"/>
          <w:sz w:val="20"/>
          <w:szCs w:val="20"/>
          <w:lang w:val="en-US"/>
        </w:rPr>
      </w:pPr>
    </w:p>
    <w:p w:rsidR="002A7F5B" w:rsidRDefault="002A7F5B" w:rsidP="00F54881">
      <w:pPr>
        <w:ind w:firstLine="680"/>
        <w:rPr>
          <w:rStyle w:val="jlqj4b"/>
          <w:sz w:val="20"/>
          <w:szCs w:val="20"/>
          <w:lang w:val="en-US"/>
        </w:rPr>
      </w:pPr>
    </w:p>
    <w:p w:rsidR="002A7F5B" w:rsidRDefault="002A7F5B" w:rsidP="00F54881">
      <w:pPr>
        <w:ind w:firstLine="680"/>
        <w:rPr>
          <w:rStyle w:val="jlqj4b"/>
          <w:sz w:val="20"/>
          <w:szCs w:val="20"/>
          <w:lang w:val="en-US"/>
        </w:rPr>
      </w:pPr>
    </w:p>
    <w:p w:rsidR="002A7F5B" w:rsidRDefault="002A7F5B" w:rsidP="00F54881">
      <w:pPr>
        <w:ind w:firstLine="680"/>
        <w:rPr>
          <w:rStyle w:val="jlqj4b"/>
          <w:sz w:val="20"/>
          <w:szCs w:val="20"/>
          <w:lang w:val="en-US"/>
        </w:rPr>
      </w:pPr>
    </w:p>
    <w:p w:rsidR="00946344" w:rsidRDefault="00946344" w:rsidP="00F54881">
      <w:pPr>
        <w:ind w:firstLine="680"/>
        <w:rPr>
          <w:rStyle w:val="jlqj4b"/>
          <w:sz w:val="20"/>
          <w:szCs w:val="20"/>
          <w:lang w:val="en-US"/>
        </w:rPr>
      </w:pPr>
    </w:p>
    <w:p w:rsidR="00946344" w:rsidRDefault="00946344" w:rsidP="00F54881">
      <w:pPr>
        <w:ind w:firstLine="680"/>
        <w:rPr>
          <w:rStyle w:val="jlqj4b"/>
          <w:sz w:val="20"/>
          <w:szCs w:val="20"/>
          <w:lang w:val="en-US"/>
        </w:rPr>
      </w:pPr>
    </w:p>
    <w:p w:rsidR="00946344" w:rsidRDefault="00946344" w:rsidP="00F54881">
      <w:pPr>
        <w:ind w:firstLine="680"/>
        <w:rPr>
          <w:rStyle w:val="jlqj4b"/>
          <w:sz w:val="20"/>
          <w:szCs w:val="20"/>
          <w:lang w:val="en-US"/>
        </w:rPr>
      </w:pPr>
    </w:p>
    <w:p w:rsidR="002A7F5B" w:rsidRDefault="002A7F5B" w:rsidP="00F54881">
      <w:pPr>
        <w:ind w:firstLine="680"/>
        <w:rPr>
          <w:rStyle w:val="jlqj4b"/>
          <w:sz w:val="20"/>
          <w:szCs w:val="20"/>
          <w:lang w:val="en-US"/>
        </w:rPr>
      </w:pPr>
    </w:p>
    <w:p w:rsidR="00DE040B" w:rsidRPr="002A7F5B" w:rsidRDefault="002B1C22" w:rsidP="003E3FC4">
      <w:pPr>
        <w:spacing w:line="260" w:lineRule="atLeast"/>
        <w:ind w:firstLine="0"/>
        <w:rPr>
          <w:rStyle w:val="jlqj4b"/>
          <w:caps/>
          <w:sz w:val="20"/>
          <w:szCs w:val="20"/>
          <w:lang w:val="en-US"/>
        </w:rPr>
      </w:pPr>
      <w:r w:rsidRPr="002A7F5B">
        <w:rPr>
          <w:rStyle w:val="jlqj4b"/>
          <w:caps/>
          <w:sz w:val="20"/>
          <w:szCs w:val="20"/>
          <w:lang w:val="en-US"/>
        </w:rPr>
        <w:t>Table 1</w:t>
      </w:r>
      <w:r w:rsidR="00B86EDD" w:rsidRPr="00B86EDD">
        <w:rPr>
          <w:rStyle w:val="jlqj4b"/>
          <w:caps/>
          <w:sz w:val="20"/>
          <w:szCs w:val="20"/>
          <w:lang w:val="en-US"/>
        </w:rPr>
        <w:t>.</w:t>
      </w:r>
      <w:r w:rsidRPr="002A7F5B">
        <w:rPr>
          <w:rStyle w:val="jlqj4b"/>
          <w:caps/>
          <w:sz w:val="20"/>
          <w:szCs w:val="20"/>
          <w:lang w:val="en-US"/>
        </w:rPr>
        <w:t xml:space="preserve"> LUFC values, US$/MWh (10</w:t>
      </w:r>
      <w:r w:rsidRPr="002A7F5B">
        <w:rPr>
          <w:rStyle w:val="jlqj4b"/>
          <w:caps/>
          <w:sz w:val="20"/>
          <w:szCs w:val="20"/>
          <w:vertAlign w:val="superscript"/>
          <w:lang w:val="en-US"/>
        </w:rPr>
        <w:t>-3</w:t>
      </w:r>
      <w:r w:rsidRPr="002A7F5B">
        <w:rPr>
          <w:rStyle w:val="jlqj4b"/>
          <w:caps/>
          <w:sz w:val="20"/>
          <w:szCs w:val="20"/>
          <w:lang w:val="en-US"/>
        </w:rPr>
        <w:t>US$/kWh)</w:t>
      </w:r>
    </w:p>
    <w:p w:rsidR="002B1C22" w:rsidRPr="003E3FC4" w:rsidRDefault="002B1C22" w:rsidP="00F54881">
      <w:pPr>
        <w:ind w:firstLine="680"/>
        <w:rPr>
          <w:rFonts w:eastAsia="Times New Roman" w:cs="Times New Roman"/>
          <w:color w:val="auto"/>
          <w:sz w:val="20"/>
          <w:szCs w:val="20"/>
          <w:lang w:val="en-US" w:eastAsia="ru-RU"/>
        </w:rPr>
      </w:pPr>
    </w:p>
    <w:tbl>
      <w:tblPr>
        <w:tblW w:w="0" w:type="auto"/>
        <w:jc w:val="center"/>
        <w:tblBorders>
          <w:top w:val="single" w:sz="4" w:space="0" w:color="auto"/>
          <w:bottom w:val="single" w:sz="4" w:space="0" w:color="auto"/>
          <w:insideH w:val="single" w:sz="4" w:space="0" w:color="auto"/>
          <w:insideV w:val="single" w:sz="4" w:space="0" w:color="auto"/>
        </w:tblBorders>
        <w:tblLook w:val="00A0"/>
      </w:tblPr>
      <w:tblGrid>
        <w:gridCol w:w="3191"/>
        <w:gridCol w:w="1984"/>
        <w:gridCol w:w="1771"/>
      </w:tblGrid>
      <w:tr w:rsidR="00110E13" w:rsidRPr="002A7F5B" w:rsidTr="000B5A02">
        <w:trPr>
          <w:jc w:val="center"/>
        </w:trPr>
        <w:tc>
          <w:tcPr>
            <w:tcW w:w="3191" w:type="dxa"/>
            <w:tcBorders>
              <w:bottom w:val="single" w:sz="4" w:space="0" w:color="auto"/>
            </w:tcBorders>
          </w:tcPr>
          <w:p w:rsidR="00110E13" w:rsidRPr="002A7F5B" w:rsidRDefault="00343598" w:rsidP="00343598">
            <w:pPr>
              <w:pStyle w:val="12"/>
              <w:widowControl/>
              <w:tabs>
                <w:tab w:val="left" w:pos="-142"/>
              </w:tabs>
              <w:suppressAutoHyphens/>
              <w:spacing w:before="0"/>
              <w:jc w:val="center"/>
              <w:rPr>
                <w:sz w:val="18"/>
                <w:szCs w:val="18"/>
              </w:rPr>
            </w:pPr>
            <w:r w:rsidRPr="002A7F5B">
              <w:rPr>
                <w:sz w:val="18"/>
                <w:szCs w:val="18"/>
                <w:lang w:val="en-US"/>
              </w:rPr>
              <w:t>Fuel cycle stage</w:t>
            </w:r>
          </w:p>
        </w:tc>
        <w:tc>
          <w:tcPr>
            <w:tcW w:w="1984" w:type="dxa"/>
            <w:tcBorders>
              <w:bottom w:val="single" w:sz="4" w:space="0" w:color="auto"/>
            </w:tcBorders>
          </w:tcPr>
          <w:p w:rsidR="00110E13" w:rsidRPr="002A7F5B" w:rsidRDefault="00343598" w:rsidP="00343598">
            <w:pPr>
              <w:pStyle w:val="12"/>
              <w:widowControl/>
              <w:tabs>
                <w:tab w:val="left" w:pos="-142"/>
              </w:tabs>
              <w:suppressAutoHyphens/>
              <w:spacing w:before="0"/>
              <w:jc w:val="center"/>
              <w:rPr>
                <w:sz w:val="18"/>
                <w:szCs w:val="18"/>
              </w:rPr>
            </w:pPr>
            <w:r w:rsidRPr="002A7F5B">
              <w:rPr>
                <w:sz w:val="18"/>
                <w:szCs w:val="18"/>
                <w:lang w:val="en-US"/>
              </w:rPr>
              <w:t xml:space="preserve">With fertile blanket </w:t>
            </w:r>
          </w:p>
        </w:tc>
        <w:tc>
          <w:tcPr>
            <w:tcW w:w="1771" w:type="dxa"/>
            <w:tcBorders>
              <w:bottom w:val="single" w:sz="4" w:space="0" w:color="auto"/>
            </w:tcBorders>
          </w:tcPr>
          <w:p w:rsidR="00110E13" w:rsidRPr="002A7F5B" w:rsidRDefault="00343598" w:rsidP="00343598">
            <w:pPr>
              <w:pStyle w:val="12"/>
              <w:widowControl/>
              <w:tabs>
                <w:tab w:val="left" w:pos="-142"/>
              </w:tabs>
              <w:suppressAutoHyphens/>
              <w:spacing w:before="0"/>
              <w:jc w:val="center"/>
              <w:rPr>
                <w:sz w:val="18"/>
                <w:szCs w:val="18"/>
              </w:rPr>
            </w:pPr>
            <w:r w:rsidRPr="002A7F5B">
              <w:rPr>
                <w:sz w:val="18"/>
                <w:szCs w:val="18"/>
                <w:lang w:val="en-US"/>
              </w:rPr>
              <w:t xml:space="preserve">With steel blanket </w:t>
            </w:r>
          </w:p>
        </w:tc>
      </w:tr>
      <w:tr w:rsidR="00110E13" w:rsidRPr="002A7F5B" w:rsidTr="000B5A02">
        <w:trPr>
          <w:trHeight w:val="68"/>
          <w:jc w:val="center"/>
        </w:trPr>
        <w:tc>
          <w:tcPr>
            <w:tcW w:w="3191" w:type="dxa"/>
            <w:tcBorders>
              <w:top w:val="nil"/>
              <w:bottom w:val="single" w:sz="4" w:space="0" w:color="auto"/>
              <w:right w:val="nil"/>
            </w:tcBorders>
          </w:tcPr>
          <w:p w:rsidR="00110E13" w:rsidRPr="002A7F5B" w:rsidRDefault="00110E13" w:rsidP="00DE5CD2">
            <w:pPr>
              <w:pStyle w:val="12"/>
              <w:widowControl/>
              <w:tabs>
                <w:tab w:val="left" w:pos="-142"/>
              </w:tabs>
              <w:suppressAutoHyphens/>
              <w:spacing w:before="0"/>
              <w:jc w:val="center"/>
              <w:rPr>
                <w:sz w:val="18"/>
                <w:szCs w:val="18"/>
              </w:rPr>
            </w:pPr>
          </w:p>
        </w:tc>
        <w:tc>
          <w:tcPr>
            <w:tcW w:w="3755" w:type="dxa"/>
            <w:gridSpan w:val="2"/>
            <w:tcBorders>
              <w:top w:val="nil"/>
              <w:left w:val="nil"/>
              <w:bottom w:val="single" w:sz="4" w:space="0" w:color="auto"/>
            </w:tcBorders>
          </w:tcPr>
          <w:p w:rsidR="00110E13" w:rsidRPr="002A7F5B" w:rsidRDefault="00343598" w:rsidP="00343598">
            <w:pPr>
              <w:pStyle w:val="12"/>
              <w:widowControl/>
              <w:tabs>
                <w:tab w:val="left" w:pos="-142"/>
              </w:tabs>
              <w:suppressAutoHyphens/>
              <w:spacing w:before="0"/>
              <w:jc w:val="center"/>
              <w:rPr>
                <w:sz w:val="18"/>
                <w:szCs w:val="18"/>
              </w:rPr>
            </w:pPr>
            <w:r w:rsidRPr="002A7F5B">
              <w:rPr>
                <w:sz w:val="18"/>
                <w:szCs w:val="18"/>
                <w:lang w:val="en-US"/>
              </w:rPr>
              <w:t>Front-end</w:t>
            </w:r>
          </w:p>
        </w:tc>
      </w:tr>
      <w:tr w:rsidR="00110E13" w:rsidRPr="002A7F5B" w:rsidTr="000B5A02">
        <w:trPr>
          <w:jc w:val="center"/>
        </w:trPr>
        <w:tc>
          <w:tcPr>
            <w:tcW w:w="3191" w:type="dxa"/>
            <w:tcBorders>
              <w:top w:val="single" w:sz="4" w:space="0" w:color="auto"/>
              <w:bottom w:val="nil"/>
              <w:right w:val="nil"/>
            </w:tcBorders>
          </w:tcPr>
          <w:p w:rsidR="00110E13" w:rsidRPr="002A7F5B" w:rsidRDefault="00343598" w:rsidP="00343598">
            <w:pPr>
              <w:ind w:firstLine="34"/>
              <w:rPr>
                <w:sz w:val="18"/>
                <w:szCs w:val="18"/>
                <w:lang w:val="en-US"/>
              </w:rPr>
            </w:pPr>
            <w:r w:rsidRPr="002A7F5B">
              <w:rPr>
                <w:sz w:val="18"/>
                <w:szCs w:val="18"/>
                <w:lang w:val="en-US"/>
              </w:rPr>
              <w:t xml:space="preserve">Core FA manufacturing </w:t>
            </w:r>
          </w:p>
        </w:tc>
        <w:tc>
          <w:tcPr>
            <w:tcW w:w="1984" w:type="dxa"/>
            <w:tcBorders>
              <w:top w:val="single" w:sz="4" w:space="0" w:color="auto"/>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5,13</w:t>
            </w:r>
          </w:p>
        </w:tc>
        <w:tc>
          <w:tcPr>
            <w:tcW w:w="1771" w:type="dxa"/>
            <w:tcBorders>
              <w:top w:val="single" w:sz="4" w:space="0" w:color="auto"/>
              <w:left w:val="nil"/>
              <w:bottom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5,13</w:t>
            </w:r>
          </w:p>
        </w:tc>
      </w:tr>
      <w:tr w:rsidR="00110E13" w:rsidRPr="002A7F5B" w:rsidTr="000B5A02">
        <w:trPr>
          <w:jc w:val="center"/>
        </w:trPr>
        <w:tc>
          <w:tcPr>
            <w:tcW w:w="3191" w:type="dxa"/>
            <w:tcBorders>
              <w:top w:val="nil"/>
              <w:bottom w:val="nil"/>
              <w:right w:val="nil"/>
            </w:tcBorders>
          </w:tcPr>
          <w:p w:rsidR="00110E13" w:rsidRPr="002A7F5B" w:rsidRDefault="00343598" w:rsidP="005350FA">
            <w:pPr>
              <w:ind w:firstLine="0"/>
              <w:rPr>
                <w:sz w:val="18"/>
                <w:szCs w:val="18"/>
              </w:rPr>
            </w:pPr>
            <w:r w:rsidRPr="002A7F5B">
              <w:rPr>
                <w:sz w:val="18"/>
                <w:szCs w:val="18"/>
                <w:lang w:val="en-US"/>
              </w:rPr>
              <w:t>R</w:t>
            </w:r>
            <w:r w:rsidR="005350FA" w:rsidRPr="002A7F5B">
              <w:rPr>
                <w:sz w:val="18"/>
                <w:szCs w:val="18"/>
                <w:lang w:val="en-US"/>
              </w:rPr>
              <w:t xml:space="preserve">FB </w:t>
            </w:r>
            <w:r w:rsidRPr="002A7F5B">
              <w:rPr>
                <w:sz w:val="18"/>
                <w:szCs w:val="18"/>
                <w:lang w:val="en-US"/>
              </w:rPr>
              <w:t>FA manufacturing</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0,21</w:t>
            </w:r>
          </w:p>
        </w:tc>
        <w:tc>
          <w:tcPr>
            <w:tcW w:w="1771" w:type="dxa"/>
            <w:tcBorders>
              <w:top w:val="nil"/>
              <w:left w:val="nil"/>
              <w:bottom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w:t>
            </w:r>
          </w:p>
        </w:tc>
      </w:tr>
      <w:tr w:rsidR="00110E13" w:rsidRPr="002A7F5B" w:rsidTr="000B5A02">
        <w:trPr>
          <w:jc w:val="center"/>
        </w:trPr>
        <w:tc>
          <w:tcPr>
            <w:tcW w:w="3191" w:type="dxa"/>
            <w:tcBorders>
              <w:top w:val="nil"/>
              <w:bottom w:val="nil"/>
              <w:right w:val="nil"/>
            </w:tcBorders>
          </w:tcPr>
          <w:p w:rsidR="00110E13" w:rsidRPr="002A7F5B" w:rsidRDefault="00343598" w:rsidP="00343598">
            <w:pPr>
              <w:ind w:firstLine="0"/>
              <w:rPr>
                <w:sz w:val="18"/>
                <w:szCs w:val="18"/>
                <w:lang w:val="en-US"/>
              </w:rPr>
            </w:pPr>
            <w:r w:rsidRPr="002A7F5B">
              <w:rPr>
                <w:sz w:val="18"/>
                <w:szCs w:val="18"/>
                <w:lang w:val="en-US"/>
              </w:rPr>
              <w:t>Fresh core FA transportation to NPP</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0,14</w:t>
            </w:r>
          </w:p>
        </w:tc>
        <w:tc>
          <w:tcPr>
            <w:tcW w:w="1771" w:type="dxa"/>
            <w:tcBorders>
              <w:top w:val="nil"/>
              <w:left w:val="nil"/>
              <w:bottom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0,14</w:t>
            </w:r>
          </w:p>
        </w:tc>
      </w:tr>
      <w:tr w:rsidR="00110E13" w:rsidRPr="002A7F5B" w:rsidTr="000B5A02">
        <w:trPr>
          <w:jc w:val="center"/>
        </w:trPr>
        <w:tc>
          <w:tcPr>
            <w:tcW w:w="3191" w:type="dxa"/>
            <w:tcBorders>
              <w:top w:val="nil"/>
              <w:bottom w:val="nil"/>
              <w:right w:val="nil"/>
            </w:tcBorders>
          </w:tcPr>
          <w:p w:rsidR="00110E13" w:rsidRPr="002A7F5B" w:rsidRDefault="00343598" w:rsidP="005350FA">
            <w:pPr>
              <w:ind w:firstLine="0"/>
              <w:rPr>
                <w:sz w:val="18"/>
                <w:szCs w:val="18"/>
                <w:lang w:val="en-US"/>
              </w:rPr>
            </w:pPr>
            <w:r w:rsidRPr="002A7F5B">
              <w:rPr>
                <w:sz w:val="18"/>
                <w:szCs w:val="18"/>
                <w:lang w:val="en-US"/>
              </w:rPr>
              <w:t xml:space="preserve">Fresh </w:t>
            </w:r>
            <w:r w:rsidR="005350FA" w:rsidRPr="002A7F5B">
              <w:rPr>
                <w:sz w:val="18"/>
                <w:szCs w:val="18"/>
                <w:lang w:val="en-US"/>
              </w:rPr>
              <w:t>RFB</w:t>
            </w:r>
            <w:r w:rsidRPr="002A7F5B">
              <w:rPr>
                <w:sz w:val="18"/>
                <w:szCs w:val="18"/>
                <w:lang w:val="en-US"/>
              </w:rPr>
              <w:t xml:space="preserve"> FA transportation to NP</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0,07</w:t>
            </w:r>
          </w:p>
        </w:tc>
        <w:tc>
          <w:tcPr>
            <w:tcW w:w="1771" w:type="dxa"/>
            <w:tcBorders>
              <w:top w:val="nil"/>
              <w:left w:val="nil"/>
              <w:bottom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w:t>
            </w:r>
          </w:p>
        </w:tc>
      </w:tr>
      <w:tr w:rsidR="00110E13" w:rsidRPr="002A7F5B" w:rsidTr="00D62BA1">
        <w:trPr>
          <w:jc w:val="center"/>
        </w:trPr>
        <w:tc>
          <w:tcPr>
            <w:tcW w:w="3191" w:type="dxa"/>
            <w:tcBorders>
              <w:top w:val="nil"/>
              <w:bottom w:val="nil"/>
              <w:right w:val="nil"/>
            </w:tcBorders>
          </w:tcPr>
          <w:p w:rsidR="00110E13" w:rsidRPr="002A7F5B" w:rsidRDefault="00343598" w:rsidP="00343598">
            <w:pPr>
              <w:ind w:firstLine="0"/>
              <w:rPr>
                <w:sz w:val="18"/>
                <w:szCs w:val="18"/>
                <w:lang w:val="en-US"/>
              </w:rPr>
            </w:pPr>
            <w:r w:rsidRPr="002A7F5B">
              <w:rPr>
                <w:sz w:val="18"/>
                <w:szCs w:val="18"/>
                <w:lang w:val="en-US"/>
              </w:rPr>
              <w:t xml:space="preserve">Total for front-end stages </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5,56</w:t>
            </w:r>
          </w:p>
        </w:tc>
        <w:tc>
          <w:tcPr>
            <w:tcW w:w="1771" w:type="dxa"/>
            <w:tcBorders>
              <w:top w:val="nil"/>
              <w:left w:val="nil"/>
              <w:bottom w:val="nil"/>
            </w:tcBorders>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5,27</w:t>
            </w:r>
          </w:p>
        </w:tc>
      </w:tr>
      <w:tr w:rsidR="00110E13" w:rsidRPr="002A7F5B" w:rsidTr="00D62BA1">
        <w:trPr>
          <w:jc w:val="center"/>
        </w:trPr>
        <w:tc>
          <w:tcPr>
            <w:tcW w:w="3191" w:type="dxa"/>
            <w:tcBorders>
              <w:top w:val="nil"/>
              <w:bottom w:val="single" w:sz="4" w:space="0" w:color="auto"/>
              <w:right w:val="nil"/>
            </w:tcBorders>
          </w:tcPr>
          <w:p w:rsidR="00110E13" w:rsidRPr="002A7F5B" w:rsidRDefault="00110E13" w:rsidP="00DE5CD2">
            <w:pPr>
              <w:pStyle w:val="12"/>
              <w:widowControl/>
              <w:tabs>
                <w:tab w:val="left" w:pos="-142"/>
              </w:tabs>
              <w:suppressAutoHyphens/>
              <w:spacing w:before="0"/>
              <w:jc w:val="center"/>
              <w:rPr>
                <w:sz w:val="18"/>
                <w:szCs w:val="18"/>
              </w:rPr>
            </w:pPr>
          </w:p>
        </w:tc>
        <w:tc>
          <w:tcPr>
            <w:tcW w:w="3755" w:type="dxa"/>
            <w:gridSpan w:val="2"/>
            <w:tcBorders>
              <w:top w:val="nil"/>
              <w:left w:val="nil"/>
              <w:bottom w:val="single" w:sz="4" w:space="0" w:color="auto"/>
            </w:tcBorders>
          </w:tcPr>
          <w:p w:rsidR="00110E13" w:rsidRPr="002A7F5B" w:rsidRDefault="00343598" w:rsidP="0071581C">
            <w:pPr>
              <w:pStyle w:val="12"/>
              <w:widowControl/>
              <w:tabs>
                <w:tab w:val="left" w:pos="-142"/>
              </w:tabs>
              <w:suppressAutoHyphens/>
              <w:spacing w:before="0"/>
              <w:jc w:val="center"/>
              <w:rPr>
                <w:sz w:val="18"/>
                <w:szCs w:val="18"/>
              </w:rPr>
            </w:pPr>
            <w:r w:rsidRPr="002A7F5B">
              <w:rPr>
                <w:sz w:val="18"/>
                <w:szCs w:val="18"/>
                <w:lang w:val="en-US"/>
              </w:rPr>
              <w:t xml:space="preserve">Back-end  </w:t>
            </w:r>
          </w:p>
        </w:tc>
      </w:tr>
      <w:tr w:rsidR="00110E13" w:rsidRPr="002A7F5B" w:rsidTr="00D62BA1">
        <w:trPr>
          <w:jc w:val="center"/>
        </w:trPr>
        <w:tc>
          <w:tcPr>
            <w:tcW w:w="3191" w:type="dxa"/>
            <w:tcBorders>
              <w:top w:val="single" w:sz="4" w:space="0" w:color="auto"/>
              <w:bottom w:val="nil"/>
              <w:right w:val="nil"/>
            </w:tcBorders>
          </w:tcPr>
          <w:p w:rsidR="00110E13" w:rsidRPr="002A7F5B" w:rsidRDefault="0071581C" w:rsidP="0071581C">
            <w:pPr>
              <w:ind w:firstLine="0"/>
              <w:rPr>
                <w:sz w:val="18"/>
                <w:szCs w:val="18"/>
                <w:lang w:val="en-US"/>
              </w:rPr>
            </w:pPr>
            <w:r w:rsidRPr="002A7F5B">
              <w:rPr>
                <w:sz w:val="18"/>
                <w:szCs w:val="18"/>
                <w:lang w:val="en-US"/>
              </w:rPr>
              <w:t xml:space="preserve">Spent core FA transportation to reprocessing </w:t>
            </w:r>
          </w:p>
        </w:tc>
        <w:tc>
          <w:tcPr>
            <w:tcW w:w="1984" w:type="dxa"/>
            <w:tcBorders>
              <w:top w:val="single" w:sz="4" w:space="0" w:color="auto"/>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0,09</w:t>
            </w:r>
          </w:p>
        </w:tc>
        <w:tc>
          <w:tcPr>
            <w:tcW w:w="1771" w:type="dxa"/>
            <w:tcBorders>
              <w:top w:val="single" w:sz="4" w:space="0" w:color="auto"/>
              <w:left w:val="nil"/>
              <w:bottom w:val="nil"/>
            </w:tcBorders>
            <w:vAlign w:val="center"/>
          </w:tcPr>
          <w:p w:rsidR="00110E13" w:rsidRPr="002A7F5B" w:rsidRDefault="00DE5CD2" w:rsidP="00CA2475">
            <w:pPr>
              <w:pStyle w:val="12"/>
              <w:widowControl/>
              <w:tabs>
                <w:tab w:val="left" w:pos="-142"/>
              </w:tabs>
              <w:suppressAutoHyphens/>
              <w:spacing w:before="0"/>
              <w:jc w:val="center"/>
              <w:rPr>
                <w:sz w:val="18"/>
                <w:szCs w:val="18"/>
              </w:rPr>
            </w:pPr>
            <w:r w:rsidRPr="002A7F5B">
              <w:rPr>
                <w:sz w:val="18"/>
                <w:szCs w:val="18"/>
              </w:rPr>
              <w:t>0,09</w:t>
            </w:r>
          </w:p>
        </w:tc>
      </w:tr>
      <w:tr w:rsidR="00110E13" w:rsidRPr="002A7F5B" w:rsidTr="000B5A02">
        <w:trPr>
          <w:jc w:val="center"/>
        </w:trPr>
        <w:tc>
          <w:tcPr>
            <w:tcW w:w="3191" w:type="dxa"/>
            <w:tcBorders>
              <w:top w:val="nil"/>
              <w:bottom w:val="nil"/>
              <w:right w:val="nil"/>
            </w:tcBorders>
          </w:tcPr>
          <w:p w:rsidR="00110E13" w:rsidRPr="002A7F5B" w:rsidRDefault="0071581C" w:rsidP="005350FA">
            <w:pPr>
              <w:ind w:firstLine="0"/>
              <w:rPr>
                <w:sz w:val="18"/>
                <w:szCs w:val="18"/>
                <w:lang w:val="en-US"/>
              </w:rPr>
            </w:pPr>
            <w:r w:rsidRPr="002A7F5B">
              <w:rPr>
                <w:sz w:val="18"/>
                <w:szCs w:val="18"/>
                <w:lang w:val="en-US"/>
              </w:rPr>
              <w:t xml:space="preserve">Spent </w:t>
            </w:r>
            <w:r w:rsidR="005350FA" w:rsidRPr="002A7F5B">
              <w:rPr>
                <w:sz w:val="18"/>
                <w:szCs w:val="18"/>
                <w:lang w:val="en-US"/>
              </w:rPr>
              <w:t>RFB</w:t>
            </w:r>
            <w:r w:rsidRPr="002A7F5B">
              <w:rPr>
                <w:sz w:val="18"/>
                <w:szCs w:val="18"/>
                <w:lang w:val="en-US"/>
              </w:rPr>
              <w:t xml:space="preserve"> FA transportation to reprocessing </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0,04</w:t>
            </w:r>
          </w:p>
        </w:tc>
        <w:tc>
          <w:tcPr>
            <w:tcW w:w="1771" w:type="dxa"/>
            <w:tcBorders>
              <w:top w:val="nil"/>
              <w:left w:val="nil"/>
              <w:bottom w:val="nil"/>
            </w:tcBorders>
            <w:vAlign w:val="center"/>
          </w:tcPr>
          <w:p w:rsidR="00110E13" w:rsidRPr="002A7F5B" w:rsidRDefault="00110E13" w:rsidP="00CA2475">
            <w:pPr>
              <w:pStyle w:val="12"/>
              <w:widowControl/>
              <w:tabs>
                <w:tab w:val="left" w:pos="-142"/>
              </w:tabs>
              <w:suppressAutoHyphens/>
              <w:spacing w:before="0"/>
              <w:jc w:val="center"/>
              <w:rPr>
                <w:sz w:val="18"/>
                <w:szCs w:val="18"/>
              </w:rPr>
            </w:pPr>
            <w:r w:rsidRPr="002A7F5B">
              <w:rPr>
                <w:sz w:val="18"/>
                <w:szCs w:val="18"/>
              </w:rPr>
              <w:t>-</w:t>
            </w:r>
          </w:p>
        </w:tc>
      </w:tr>
      <w:tr w:rsidR="00110E13" w:rsidRPr="002A7F5B" w:rsidTr="000B5A02">
        <w:trPr>
          <w:jc w:val="center"/>
        </w:trPr>
        <w:tc>
          <w:tcPr>
            <w:tcW w:w="3191" w:type="dxa"/>
            <w:tcBorders>
              <w:top w:val="nil"/>
              <w:bottom w:val="nil"/>
              <w:right w:val="nil"/>
            </w:tcBorders>
          </w:tcPr>
          <w:p w:rsidR="00110E13" w:rsidRPr="002A7F5B" w:rsidRDefault="0071581C" w:rsidP="0071581C">
            <w:pPr>
              <w:ind w:firstLine="0"/>
              <w:rPr>
                <w:sz w:val="18"/>
                <w:szCs w:val="18"/>
                <w:lang w:val="en-US"/>
              </w:rPr>
            </w:pPr>
            <w:r w:rsidRPr="002A7F5B">
              <w:rPr>
                <w:sz w:val="18"/>
                <w:szCs w:val="18"/>
                <w:lang w:val="en-US"/>
              </w:rPr>
              <w:t>Intermediate storage of core spent FA</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0,01</w:t>
            </w:r>
          </w:p>
        </w:tc>
        <w:tc>
          <w:tcPr>
            <w:tcW w:w="1771" w:type="dxa"/>
            <w:tcBorders>
              <w:top w:val="nil"/>
              <w:left w:val="nil"/>
              <w:bottom w:val="nil"/>
            </w:tcBorders>
            <w:vAlign w:val="center"/>
          </w:tcPr>
          <w:p w:rsidR="00110E13" w:rsidRPr="002A7F5B" w:rsidRDefault="00DE5CD2" w:rsidP="00CA2475">
            <w:pPr>
              <w:pStyle w:val="12"/>
              <w:widowControl/>
              <w:tabs>
                <w:tab w:val="left" w:pos="-142"/>
              </w:tabs>
              <w:suppressAutoHyphens/>
              <w:spacing w:before="0"/>
              <w:jc w:val="center"/>
              <w:rPr>
                <w:sz w:val="18"/>
                <w:szCs w:val="18"/>
              </w:rPr>
            </w:pPr>
            <w:r w:rsidRPr="002A7F5B">
              <w:rPr>
                <w:sz w:val="18"/>
                <w:szCs w:val="18"/>
              </w:rPr>
              <w:t>0,01</w:t>
            </w:r>
          </w:p>
        </w:tc>
      </w:tr>
      <w:tr w:rsidR="00110E13" w:rsidRPr="002A7F5B" w:rsidTr="000B5A02">
        <w:trPr>
          <w:jc w:val="center"/>
        </w:trPr>
        <w:tc>
          <w:tcPr>
            <w:tcW w:w="3191" w:type="dxa"/>
            <w:tcBorders>
              <w:top w:val="nil"/>
              <w:bottom w:val="nil"/>
              <w:right w:val="nil"/>
            </w:tcBorders>
          </w:tcPr>
          <w:p w:rsidR="00110E13" w:rsidRPr="002A7F5B" w:rsidRDefault="0071581C" w:rsidP="005350FA">
            <w:pPr>
              <w:ind w:firstLine="0"/>
              <w:rPr>
                <w:sz w:val="18"/>
                <w:szCs w:val="18"/>
                <w:lang w:val="en-US"/>
              </w:rPr>
            </w:pPr>
            <w:r w:rsidRPr="002A7F5B">
              <w:rPr>
                <w:sz w:val="18"/>
                <w:szCs w:val="18"/>
                <w:lang w:val="en-US"/>
              </w:rPr>
              <w:t xml:space="preserve">Intermediate storage of </w:t>
            </w:r>
            <w:r w:rsidR="005350FA" w:rsidRPr="002A7F5B">
              <w:rPr>
                <w:sz w:val="18"/>
                <w:szCs w:val="18"/>
                <w:lang w:val="en-US"/>
              </w:rPr>
              <w:t>RFB</w:t>
            </w:r>
            <w:r w:rsidRPr="002A7F5B">
              <w:rPr>
                <w:sz w:val="18"/>
                <w:szCs w:val="18"/>
                <w:lang w:val="en-US"/>
              </w:rPr>
              <w:t xml:space="preserve"> spent FA</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0,01</w:t>
            </w:r>
          </w:p>
        </w:tc>
        <w:tc>
          <w:tcPr>
            <w:tcW w:w="1771" w:type="dxa"/>
            <w:tcBorders>
              <w:top w:val="nil"/>
              <w:left w:val="nil"/>
              <w:bottom w:val="nil"/>
            </w:tcBorders>
            <w:vAlign w:val="center"/>
          </w:tcPr>
          <w:p w:rsidR="00110E13" w:rsidRPr="002A7F5B" w:rsidRDefault="00DE5CD2" w:rsidP="00CA2475">
            <w:pPr>
              <w:pStyle w:val="12"/>
              <w:widowControl/>
              <w:tabs>
                <w:tab w:val="left" w:pos="-142"/>
              </w:tabs>
              <w:suppressAutoHyphens/>
              <w:spacing w:before="0"/>
              <w:jc w:val="center"/>
              <w:rPr>
                <w:sz w:val="18"/>
                <w:szCs w:val="18"/>
              </w:rPr>
            </w:pPr>
            <w:r w:rsidRPr="002A7F5B">
              <w:rPr>
                <w:sz w:val="18"/>
                <w:szCs w:val="18"/>
              </w:rPr>
              <w:t>-</w:t>
            </w:r>
          </w:p>
        </w:tc>
      </w:tr>
      <w:tr w:rsidR="00110E13" w:rsidRPr="002A7F5B" w:rsidTr="000B5A02">
        <w:trPr>
          <w:jc w:val="center"/>
        </w:trPr>
        <w:tc>
          <w:tcPr>
            <w:tcW w:w="3191" w:type="dxa"/>
            <w:tcBorders>
              <w:top w:val="nil"/>
              <w:bottom w:val="nil"/>
              <w:right w:val="nil"/>
            </w:tcBorders>
          </w:tcPr>
          <w:p w:rsidR="00110E13" w:rsidRPr="002A7F5B" w:rsidRDefault="0071581C" w:rsidP="0071581C">
            <w:pPr>
              <w:ind w:firstLine="0"/>
              <w:rPr>
                <w:sz w:val="18"/>
                <w:szCs w:val="18"/>
              </w:rPr>
            </w:pPr>
            <w:r w:rsidRPr="002A7F5B">
              <w:rPr>
                <w:sz w:val="18"/>
                <w:szCs w:val="18"/>
                <w:lang w:val="en-US"/>
              </w:rPr>
              <w:t>Core spent FA reprocessing</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0,67</w:t>
            </w:r>
          </w:p>
        </w:tc>
        <w:tc>
          <w:tcPr>
            <w:tcW w:w="1771" w:type="dxa"/>
            <w:tcBorders>
              <w:top w:val="nil"/>
              <w:left w:val="nil"/>
              <w:bottom w:val="nil"/>
            </w:tcBorders>
            <w:vAlign w:val="center"/>
          </w:tcPr>
          <w:p w:rsidR="00110E13" w:rsidRPr="002A7F5B" w:rsidRDefault="00DE5CD2" w:rsidP="00CA2475">
            <w:pPr>
              <w:pStyle w:val="12"/>
              <w:widowControl/>
              <w:tabs>
                <w:tab w:val="left" w:pos="-142"/>
              </w:tabs>
              <w:suppressAutoHyphens/>
              <w:spacing w:before="0"/>
              <w:jc w:val="center"/>
              <w:rPr>
                <w:sz w:val="18"/>
                <w:szCs w:val="18"/>
              </w:rPr>
            </w:pPr>
            <w:r w:rsidRPr="002A7F5B">
              <w:rPr>
                <w:sz w:val="18"/>
                <w:szCs w:val="18"/>
              </w:rPr>
              <w:t>-</w:t>
            </w:r>
          </w:p>
        </w:tc>
      </w:tr>
      <w:tr w:rsidR="00110E13" w:rsidRPr="002A7F5B" w:rsidTr="000B5A02">
        <w:trPr>
          <w:jc w:val="center"/>
        </w:trPr>
        <w:tc>
          <w:tcPr>
            <w:tcW w:w="3191" w:type="dxa"/>
            <w:tcBorders>
              <w:top w:val="nil"/>
              <w:bottom w:val="nil"/>
              <w:right w:val="nil"/>
            </w:tcBorders>
          </w:tcPr>
          <w:p w:rsidR="00110E13" w:rsidRPr="002A7F5B" w:rsidRDefault="005350FA" w:rsidP="005350FA">
            <w:pPr>
              <w:ind w:firstLine="0"/>
              <w:rPr>
                <w:sz w:val="18"/>
                <w:szCs w:val="18"/>
                <w:lang w:val="en-US"/>
              </w:rPr>
            </w:pPr>
            <w:r w:rsidRPr="002A7F5B">
              <w:rPr>
                <w:sz w:val="18"/>
                <w:szCs w:val="18"/>
                <w:lang w:val="en-US"/>
              </w:rPr>
              <w:t>RFB</w:t>
            </w:r>
            <w:r w:rsidR="0071581C" w:rsidRPr="002A7F5B">
              <w:rPr>
                <w:sz w:val="18"/>
                <w:szCs w:val="18"/>
                <w:lang w:val="en-US"/>
              </w:rPr>
              <w:t xml:space="preserve"> FA reprocessing</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0,30</w:t>
            </w:r>
          </w:p>
        </w:tc>
        <w:tc>
          <w:tcPr>
            <w:tcW w:w="1771" w:type="dxa"/>
            <w:tcBorders>
              <w:top w:val="nil"/>
              <w:left w:val="nil"/>
              <w:bottom w:val="nil"/>
            </w:tcBorders>
            <w:vAlign w:val="center"/>
          </w:tcPr>
          <w:p w:rsidR="00110E13" w:rsidRPr="002A7F5B" w:rsidRDefault="00DE5CD2" w:rsidP="00CA2475">
            <w:pPr>
              <w:pStyle w:val="12"/>
              <w:widowControl/>
              <w:tabs>
                <w:tab w:val="left" w:pos="-142"/>
              </w:tabs>
              <w:suppressAutoHyphens/>
              <w:spacing w:before="0"/>
              <w:jc w:val="center"/>
              <w:rPr>
                <w:sz w:val="18"/>
                <w:szCs w:val="18"/>
              </w:rPr>
            </w:pPr>
            <w:r w:rsidRPr="002A7F5B">
              <w:rPr>
                <w:sz w:val="18"/>
                <w:szCs w:val="18"/>
              </w:rPr>
              <w:t>-</w:t>
            </w:r>
          </w:p>
        </w:tc>
      </w:tr>
      <w:tr w:rsidR="00110E13" w:rsidRPr="002A7F5B" w:rsidTr="000B5A02">
        <w:trPr>
          <w:jc w:val="center"/>
        </w:trPr>
        <w:tc>
          <w:tcPr>
            <w:tcW w:w="3191" w:type="dxa"/>
            <w:tcBorders>
              <w:top w:val="nil"/>
              <w:bottom w:val="nil"/>
              <w:right w:val="nil"/>
            </w:tcBorders>
          </w:tcPr>
          <w:p w:rsidR="00110E13" w:rsidRPr="002A7F5B" w:rsidRDefault="0071581C" w:rsidP="006B21C7">
            <w:pPr>
              <w:ind w:firstLine="0"/>
              <w:rPr>
                <w:sz w:val="18"/>
                <w:szCs w:val="18"/>
              </w:rPr>
            </w:pPr>
            <w:r w:rsidRPr="002A7F5B">
              <w:rPr>
                <w:sz w:val="18"/>
                <w:szCs w:val="18"/>
                <w:lang w:val="en-US"/>
              </w:rPr>
              <w:t xml:space="preserve">RW </w:t>
            </w:r>
            <w:r w:rsidR="006B21C7" w:rsidRPr="002A7F5B">
              <w:rPr>
                <w:sz w:val="18"/>
                <w:szCs w:val="18"/>
                <w:lang w:val="en-US"/>
              </w:rPr>
              <w:t xml:space="preserve">final isolation </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0,10</w:t>
            </w:r>
          </w:p>
        </w:tc>
        <w:tc>
          <w:tcPr>
            <w:tcW w:w="1771" w:type="dxa"/>
            <w:tcBorders>
              <w:top w:val="nil"/>
              <w:left w:val="nil"/>
              <w:bottom w:val="nil"/>
            </w:tcBorders>
            <w:vAlign w:val="center"/>
          </w:tcPr>
          <w:p w:rsidR="00110E13" w:rsidRPr="002A7F5B" w:rsidRDefault="00DE5CD2" w:rsidP="00CA2475">
            <w:pPr>
              <w:pStyle w:val="12"/>
              <w:widowControl/>
              <w:tabs>
                <w:tab w:val="left" w:pos="-142"/>
              </w:tabs>
              <w:suppressAutoHyphens/>
              <w:spacing w:before="0"/>
              <w:jc w:val="center"/>
              <w:rPr>
                <w:sz w:val="18"/>
                <w:szCs w:val="18"/>
              </w:rPr>
            </w:pPr>
            <w:r w:rsidRPr="002A7F5B">
              <w:rPr>
                <w:sz w:val="18"/>
                <w:szCs w:val="18"/>
              </w:rPr>
              <w:t>-</w:t>
            </w:r>
          </w:p>
        </w:tc>
      </w:tr>
      <w:tr w:rsidR="00110E13" w:rsidRPr="002A7F5B" w:rsidTr="000B5A02">
        <w:trPr>
          <w:jc w:val="center"/>
        </w:trPr>
        <w:tc>
          <w:tcPr>
            <w:tcW w:w="3191" w:type="dxa"/>
            <w:tcBorders>
              <w:top w:val="nil"/>
              <w:bottom w:val="nil"/>
              <w:right w:val="nil"/>
            </w:tcBorders>
          </w:tcPr>
          <w:p w:rsidR="00110E13" w:rsidRPr="002A7F5B" w:rsidRDefault="006B21C7" w:rsidP="006B21C7">
            <w:pPr>
              <w:ind w:firstLine="0"/>
              <w:rPr>
                <w:sz w:val="18"/>
                <w:szCs w:val="18"/>
              </w:rPr>
            </w:pPr>
            <w:r w:rsidRPr="002A7F5B">
              <w:rPr>
                <w:sz w:val="18"/>
                <w:szCs w:val="18"/>
                <w:lang w:val="en-US"/>
              </w:rPr>
              <w:t>Total for back-end</w:t>
            </w:r>
          </w:p>
        </w:tc>
        <w:tc>
          <w:tcPr>
            <w:tcW w:w="1984" w:type="dxa"/>
            <w:tcBorders>
              <w:top w:val="nil"/>
              <w:left w:val="nil"/>
              <w:bottom w:val="nil"/>
              <w:right w:val="nil"/>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1,22</w:t>
            </w:r>
          </w:p>
        </w:tc>
        <w:tc>
          <w:tcPr>
            <w:tcW w:w="1771" w:type="dxa"/>
            <w:tcBorders>
              <w:top w:val="nil"/>
              <w:left w:val="nil"/>
              <w:bottom w:val="nil"/>
            </w:tcBorders>
            <w:vAlign w:val="center"/>
          </w:tcPr>
          <w:p w:rsidR="00110E13" w:rsidRPr="002A7F5B" w:rsidRDefault="00DE5CD2" w:rsidP="00CA2475">
            <w:pPr>
              <w:pStyle w:val="12"/>
              <w:widowControl/>
              <w:tabs>
                <w:tab w:val="left" w:pos="-142"/>
              </w:tabs>
              <w:suppressAutoHyphens/>
              <w:spacing w:before="0"/>
              <w:jc w:val="center"/>
              <w:rPr>
                <w:sz w:val="18"/>
                <w:szCs w:val="18"/>
              </w:rPr>
            </w:pPr>
            <w:r w:rsidRPr="002A7F5B">
              <w:rPr>
                <w:sz w:val="18"/>
                <w:szCs w:val="18"/>
              </w:rPr>
              <w:t>0,10</w:t>
            </w:r>
          </w:p>
        </w:tc>
      </w:tr>
      <w:tr w:rsidR="00110E13" w:rsidRPr="002A7F5B" w:rsidTr="000B5A02">
        <w:trPr>
          <w:jc w:val="center"/>
        </w:trPr>
        <w:tc>
          <w:tcPr>
            <w:tcW w:w="3191" w:type="dxa"/>
            <w:tcBorders>
              <w:top w:val="nil"/>
              <w:bottom w:val="single" w:sz="4" w:space="0" w:color="auto"/>
              <w:right w:val="nil"/>
            </w:tcBorders>
          </w:tcPr>
          <w:p w:rsidR="00110E13" w:rsidRPr="002A7F5B" w:rsidRDefault="00110E13" w:rsidP="00DE5CD2">
            <w:pPr>
              <w:pStyle w:val="12"/>
              <w:widowControl/>
              <w:tabs>
                <w:tab w:val="left" w:pos="-142"/>
              </w:tabs>
              <w:suppressAutoHyphens/>
              <w:spacing w:before="0"/>
              <w:jc w:val="center"/>
              <w:rPr>
                <w:sz w:val="18"/>
                <w:szCs w:val="18"/>
              </w:rPr>
            </w:pPr>
          </w:p>
        </w:tc>
        <w:tc>
          <w:tcPr>
            <w:tcW w:w="3755" w:type="dxa"/>
            <w:gridSpan w:val="2"/>
            <w:tcBorders>
              <w:top w:val="nil"/>
              <w:left w:val="nil"/>
              <w:bottom w:val="single" w:sz="4" w:space="0" w:color="auto"/>
            </w:tcBorders>
            <w:vAlign w:val="center"/>
          </w:tcPr>
          <w:p w:rsidR="00110E13" w:rsidRPr="002A7F5B" w:rsidRDefault="006B21C7" w:rsidP="006B21C7">
            <w:pPr>
              <w:pStyle w:val="12"/>
              <w:widowControl/>
              <w:tabs>
                <w:tab w:val="left" w:pos="-142"/>
              </w:tabs>
              <w:suppressAutoHyphens/>
              <w:spacing w:before="0"/>
              <w:jc w:val="center"/>
              <w:rPr>
                <w:sz w:val="18"/>
                <w:szCs w:val="18"/>
              </w:rPr>
            </w:pPr>
            <w:r w:rsidRPr="002A7F5B">
              <w:rPr>
                <w:sz w:val="18"/>
                <w:szCs w:val="18"/>
                <w:lang w:val="en-US"/>
              </w:rPr>
              <w:t>Total cost</w:t>
            </w:r>
          </w:p>
        </w:tc>
      </w:tr>
      <w:tr w:rsidR="00110E13" w:rsidRPr="002A7F5B" w:rsidTr="000B5A02">
        <w:trPr>
          <w:jc w:val="center"/>
        </w:trPr>
        <w:tc>
          <w:tcPr>
            <w:tcW w:w="3191" w:type="dxa"/>
            <w:tcBorders>
              <w:top w:val="single" w:sz="4" w:space="0" w:color="auto"/>
            </w:tcBorders>
          </w:tcPr>
          <w:p w:rsidR="00110E13" w:rsidRPr="002A7F5B" w:rsidRDefault="006B21C7" w:rsidP="006B21C7">
            <w:pPr>
              <w:rPr>
                <w:sz w:val="18"/>
                <w:szCs w:val="18"/>
              </w:rPr>
            </w:pPr>
            <w:r w:rsidRPr="002A7F5B">
              <w:rPr>
                <w:sz w:val="18"/>
                <w:szCs w:val="18"/>
                <w:lang w:val="en-US"/>
              </w:rPr>
              <w:t>Total cost</w:t>
            </w:r>
            <w:r w:rsidR="00110E13" w:rsidRPr="002A7F5B">
              <w:rPr>
                <w:sz w:val="18"/>
                <w:szCs w:val="18"/>
              </w:rPr>
              <w:t xml:space="preserve"> </w:t>
            </w:r>
          </w:p>
        </w:tc>
        <w:tc>
          <w:tcPr>
            <w:tcW w:w="1984" w:type="dxa"/>
            <w:tcBorders>
              <w:top w:val="single" w:sz="4" w:space="0" w:color="auto"/>
            </w:tcBorders>
            <w:vAlign w:val="center"/>
          </w:tcPr>
          <w:p w:rsidR="00110E13" w:rsidRPr="002A7F5B" w:rsidRDefault="00110E13" w:rsidP="00DE5CD2">
            <w:pPr>
              <w:pStyle w:val="12"/>
              <w:widowControl/>
              <w:tabs>
                <w:tab w:val="left" w:pos="-142"/>
              </w:tabs>
              <w:suppressAutoHyphens/>
              <w:spacing w:before="0"/>
              <w:jc w:val="center"/>
              <w:rPr>
                <w:sz w:val="18"/>
                <w:szCs w:val="18"/>
              </w:rPr>
            </w:pPr>
            <w:r w:rsidRPr="002A7F5B">
              <w:rPr>
                <w:sz w:val="18"/>
                <w:szCs w:val="18"/>
              </w:rPr>
              <w:t>6,78</w:t>
            </w:r>
          </w:p>
        </w:tc>
        <w:tc>
          <w:tcPr>
            <w:tcW w:w="1771" w:type="dxa"/>
            <w:tcBorders>
              <w:top w:val="single" w:sz="4" w:space="0" w:color="auto"/>
            </w:tcBorders>
            <w:vAlign w:val="center"/>
          </w:tcPr>
          <w:p w:rsidR="00110E13" w:rsidRPr="002A7F5B" w:rsidRDefault="00DE5CD2" w:rsidP="00CA2475">
            <w:pPr>
              <w:pStyle w:val="12"/>
              <w:widowControl/>
              <w:tabs>
                <w:tab w:val="left" w:pos="-142"/>
              </w:tabs>
              <w:suppressAutoHyphens/>
              <w:spacing w:before="0"/>
              <w:jc w:val="center"/>
              <w:rPr>
                <w:sz w:val="18"/>
                <w:szCs w:val="18"/>
              </w:rPr>
            </w:pPr>
            <w:r w:rsidRPr="002A7F5B">
              <w:rPr>
                <w:sz w:val="18"/>
                <w:szCs w:val="18"/>
              </w:rPr>
              <w:t>5,37</w:t>
            </w:r>
          </w:p>
        </w:tc>
      </w:tr>
    </w:tbl>
    <w:p w:rsidR="00DE040B" w:rsidRPr="003E3FC4" w:rsidRDefault="00DE040B" w:rsidP="00F54881">
      <w:pPr>
        <w:ind w:firstLine="680"/>
        <w:rPr>
          <w:rFonts w:eastAsia="Times New Roman" w:cs="Times New Roman"/>
          <w:color w:val="auto"/>
          <w:sz w:val="20"/>
          <w:szCs w:val="20"/>
          <w:lang w:eastAsia="ru-RU"/>
        </w:rPr>
      </w:pPr>
    </w:p>
    <w:p w:rsidR="007455F2" w:rsidRPr="000A029E" w:rsidRDefault="007455F2" w:rsidP="002A7F5B">
      <w:pPr>
        <w:spacing w:line="260" w:lineRule="atLeast"/>
        <w:ind w:firstLine="0"/>
        <w:rPr>
          <w:sz w:val="20"/>
          <w:szCs w:val="20"/>
          <w:lang w:val="en-US"/>
        </w:rPr>
      </w:pPr>
      <w:r w:rsidRPr="000A029E">
        <w:rPr>
          <w:rStyle w:val="jlqj4b"/>
          <w:sz w:val="20"/>
          <w:szCs w:val="20"/>
          <w:lang w:val="en-US"/>
        </w:rPr>
        <w:t>from US$ 6.8/MWh to US$ 5.4/MWh, or by 26%, and the overwhelming part (21%) of the decrease is due precisely to the refusal to reprocess spent nuclear fuel.</w:t>
      </w:r>
      <w:r w:rsidRPr="000A029E">
        <w:rPr>
          <w:rStyle w:val="viiyi"/>
          <w:sz w:val="20"/>
          <w:szCs w:val="20"/>
          <w:lang w:val="en-US"/>
        </w:rPr>
        <w:t xml:space="preserve"> </w:t>
      </w:r>
      <w:r w:rsidRPr="000A029E">
        <w:rPr>
          <w:rStyle w:val="jlqj4b"/>
          <w:sz w:val="20"/>
          <w:szCs w:val="20"/>
          <w:lang w:val="en-US"/>
        </w:rPr>
        <w:t xml:space="preserve">Taking into account that the fuel cost for fast reactors usually amounts to about 15 - 20% of the total cost, we find that the refusal to reprocess </w:t>
      </w:r>
      <w:r w:rsidR="00AE1042" w:rsidRPr="000A029E">
        <w:rPr>
          <w:rStyle w:val="jlqj4b"/>
          <w:sz w:val="20"/>
          <w:szCs w:val="20"/>
          <w:lang w:val="en-US"/>
        </w:rPr>
        <w:t>SNF</w:t>
      </w:r>
      <w:r w:rsidRPr="000A029E">
        <w:rPr>
          <w:rStyle w:val="jlqj4b"/>
          <w:sz w:val="20"/>
          <w:szCs w:val="20"/>
          <w:lang w:val="en-US"/>
        </w:rPr>
        <w:t xml:space="preserve"> leads to a decrease in the total cost by about 4-5%.</w:t>
      </w:r>
    </w:p>
    <w:p w:rsidR="007455F2" w:rsidRPr="000A029E" w:rsidRDefault="007455F2" w:rsidP="002A7F5B">
      <w:pPr>
        <w:spacing w:line="260" w:lineRule="atLeast"/>
        <w:ind w:firstLine="680"/>
        <w:rPr>
          <w:rFonts w:eastAsia="Times New Roman" w:cs="Times New Roman"/>
          <w:color w:val="auto"/>
          <w:sz w:val="20"/>
          <w:szCs w:val="20"/>
          <w:lang w:val="en-US" w:eastAsia="ru-RU"/>
        </w:rPr>
      </w:pPr>
      <w:r w:rsidRPr="000A029E">
        <w:rPr>
          <w:rStyle w:val="jlqj4b"/>
          <w:sz w:val="20"/>
          <w:szCs w:val="20"/>
          <w:lang w:val="en-US"/>
        </w:rPr>
        <w:t xml:space="preserve">At the same time, in order to </w:t>
      </w:r>
      <w:r w:rsidR="006C65CF">
        <w:rPr>
          <w:rStyle w:val="jlqj4b"/>
          <w:sz w:val="20"/>
          <w:szCs w:val="20"/>
          <w:lang w:val="en-US"/>
        </w:rPr>
        <w:t>eleminate</w:t>
      </w:r>
      <w:r w:rsidRPr="000A029E">
        <w:rPr>
          <w:rStyle w:val="jlqj4b"/>
          <w:sz w:val="20"/>
          <w:szCs w:val="20"/>
          <w:lang w:val="en-US"/>
        </w:rPr>
        <w:t xml:space="preserve"> a possible shortage of plutonium for launching new fast reactors in the long term, as well as in order to improve the</w:t>
      </w:r>
      <w:r w:rsidR="00E3415B" w:rsidRPr="000A029E">
        <w:rPr>
          <w:rStyle w:val="jlqj4b"/>
          <w:sz w:val="20"/>
          <w:szCs w:val="20"/>
          <w:lang w:val="en-US"/>
        </w:rPr>
        <w:t xml:space="preserve"> p</w:t>
      </w:r>
      <w:r w:rsidRPr="000A029E">
        <w:rPr>
          <w:rStyle w:val="jlqj4b"/>
          <w:sz w:val="20"/>
          <w:szCs w:val="20"/>
          <w:lang w:val="en-US"/>
        </w:rPr>
        <w:t>lutonium</w:t>
      </w:r>
      <w:r w:rsidR="00E3415B" w:rsidRPr="000A029E">
        <w:rPr>
          <w:rStyle w:val="jlqj4b"/>
          <w:sz w:val="20"/>
          <w:szCs w:val="20"/>
          <w:lang w:val="en-US"/>
        </w:rPr>
        <w:t xml:space="preserve"> vector</w:t>
      </w:r>
      <w:r w:rsidRPr="000A029E">
        <w:rPr>
          <w:rStyle w:val="jlqj4b"/>
          <w:sz w:val="20"/>
          <w:szCs w:val="20"/>
          <w:lang w:val="en-US"/>
        </w:rPr>
        <w:t xml:space="preserve"> from </w:t>
      </w:r>
      <w:r w:rsidR="00E3415B" w:rsidRPr="000A029E">
        <w:rPr>
          <w:rStyle w:val="jlqj4b"/>
          <w:sz w:val="20"/>
          <w:szCs w:val="20"/>
          <w:lang w:val="en-US"/>
        </w:rPr>
        <w:t>MOX fuelled thermal reactor</w:t>
      </w:r>
      <w:r w:rsidRPr="000A029E">
        <w:rPr>
          <w:rStyle w:val="jlqj4b"/>
          <w:sz w:val="20"/>
          <w:szCs w:val="20"/>
          <w:lang w:val="en-US"/>
        </w:rPr>
        <w:t xml:space="preserve"> [2, 3], it is </w:t>
      </w:r>
      <w:r w:rsidR="00E3415B" w:rsidRPr="000A029E">
        <w:rPr>
          <w:rStyle w:val="jlqj4b"/>
          <w:sz w:val="20"/>
          <w:szCs w:val="20"/>
          <w:lang w:val="en-US"/>
        </w:rPr>
        <w:t xml:space="preserve">worthwhile </w:t>
      </w:r>
      <w:r w:rsidRPr="000A029E">
        <w:rPr>
          <w:rStyle w:val="jlqj4b"/>
          <w:sz w:val="20"/>
          <w:szCs w:val="20"/>
          <w:lang w:val="en-US"/>
        </w:rPr>
        <w:t xml:space="preserve">to provide for the possibility of returning a </w:t>
      </w:r>
      <w:r w:rsidR="00E3415B" w:rsidRPr="000A029E">
        <w:rPr>
          <w:rStyle w:val="jlqj4b"/>
          <w:sz w:val="20"/>
          <w:szCs w:val="20"/>
          <w:lang w:val="en-US"/>
        </w:rPr>
        <w:t>radial</w:t>
      </w:r>
      <w:r w:rsidRPr="000A029E">
        <w:rPr>
          <w:rStyle w:val="jlqj4b"/>
          <w:sz w:val="20"/>
          <w:szCs w:val="20"/>
          <w:lang w:val="en-US"/>
        </w:rPr>
        <w:t xml:space="preserve"> fertile blanket during reactor</w:t>
      </w:r>
      <w:r w:rsidR="00E3415B" w:rsidRPr="000A029E">
        <w:rPr>
          <w:rStyle w:val="jlqj4b"/>
          <w:sz w:val="20"/>
          <w:szCs w:val="20"/>
          <w:lang w:val="en-US"/>
        </w:rPr>
        <w:t xml:space="preserve"> operation</w:t>
      </w:r>
      <w:r w:rsidRPr="000A029E">
        <w:rPr>
          <w:rStyle w:val="jlqj4b"/>
          <w:sz w:val="20"/>
          <w:szCs w:val="20"/>
          <w:lang w:val="en-US"/>
        </w:rPr>
        <w:t xml:space="preserve">. On the other hand, an excess of plutonium associated with the reprocessing </w:t>
      </w:r>
      <w:r w:rsidR="005D12DA" w:rsidRPr="000A029E">
        <w:rPr>
          <w:rStyle w:val="jlqj4b"/>
          <w:sz w:val="20"/>
          <w:szCs w:val="20"/>
          <w:lang w:val="en-US"/>
        </w:rPr>
        <w:t xml:space="preserve">of </w:t>
      </w:r>
      <w:r w:rsidRPr="000A029E">
        <w:rPr>
          <w:rStyle w:val="jlqj4b"/>
          <w:sz w:val="20"/>
          <w:szCs w:val="20"/>
          <w:lang w:val="en-US"/>
        </w:rPr>
        <w:t>foreign SNF from thermal reactors or RBMK reactors is not ruled out in the future. In this regard, proposals for a BN-type reactor with controlled plutonium breeding become relevant [5].</w:t>
      </w:r>
    </w:p>
    <w:p w:rsidR="005F72EF" w:rsidRPr="000A029E" w:rsidRDefault="00E3415B" w:rsidP="002A7F5B">
      <w:pPr>
        <w:spacing w:line="260" w:lineRule="atLeast"/>
        <w:ind w:firstLine="680"/>
        <w:rPr>
          <w:rFonts w:eastAsia="Times New Roman" w:cs="Times New Roman"/>
          <w:color w:val="auto"/>
          <w:sz w:val="20"/>
          <w:szCs w:val="20"/>
          <w:lang w:val="en-US" w:eastAsia="ru-RU"/>
        </w:rPr>
      </w:pPr>
      <w:r w:rsidRPr="000A029E">
        <w:rPr>
          <w:rStyle w:val="jlqj4b"/>
          <w:sz w:val="20"/>
          <w:szCs w:val="20"/>
          <w:lang w:val="en-US"/>
        </w:rPr>
        <w:t xml:space="preserve">Thus, at the initial stage of the transition to a two-component nuclear power </w:t>
      </w:r>
      <w:r w:rsidR="00BF28FA" w:rsidRPr="000A029E">
        <w:rPr>
          <w:rStyle w:val="jlqj4b"/>
          <w:sz w:val="20"/>
          <w:szCs w:val="20"/>
          <w:lang w:val="en-US"/>
        </w:rPr>
        <w:t xml:space="preserve">system </w:t>
      </w:r>
      <w:r w:rsidRPr="000A029E">
        <w:rPr>
          <w:rStyle w:val="jlqj4b"/>
          <w:sz w:val="20"/>
          <w:szCs w:val="20"/>
          <w:lang w:val="en-US"/>
        </w:rPr>
        <w:t xml:space="preserve"> with a closed fuel cycle, the duration of which is determined by </w:t>
      </w:r>
      <w:r w:rsidR="00BF28FA" w:rsidRPr="000A029E">
        <w:rPr>
          <w:rStyle w:val="jlqj4b"/>
          <w:sz w:val="20"/>
          <w:szCs w:val="20"/>
          <w:lang w:val="en-US"/>
        </w:rPr>
        <w:t xml:space="preserve">the rate of commissioning of BN and VVER reactors and </w:t>
      </w:r>
      <w:r w:rsidRPr="000A029E">
        <w:rPr>
          <w:rStyle w:val="jlqj4b"/>
          <w:sz w:val="20"/>
          <w:szCs w:val="20"/>
          <w:lang w:val="en-US"/>
        </w:rPr>
        <w:t xml:space="preserve">the plutonium stockpile , fresh fuel for initial loading and regular loading is made on the basis of plutonium separated from VVER SNF. </w:t>
      </w:r>
      <w:r w:rsidR="00BF28FA" w:rsidRPr="000A029E">
        <w:rPr>
          <w:rStyle w:val="jlqj4b"/>
          <w:sz w:val="20"/>
          <w:szCs w:val="20"/>
          <w:lang w:val="en-US"/>
        </w:rPr>
        <w:t>In doing so</w:t>
      </w:r>
      <w:r w:rsidR="00B17FB6" w:rsidRPr="000A029E">
        <w:rPr>
          <w:rStyle w:val="jlqj4b"/>
          <w:sz w:val="20"/>
          <w:szCs w:val="20"/>
          <w:lang w:val="en-US"/>
        </w:rPr>
        <w:t>,</w:t>
      </w:r>
      <w:r w:rsidRPr="000A029E">
        <w:rPr>
          <w:rStyle w:val="jlqj4b"/>
          <w:sz w:val="20"/>
          <w:szCs w:val="20"/>
          <w:lang w:val="en-US"/>
        </w:rPr>
        <w:t xml:space="preserve"> there </w:t>
      </w:r>
      <w:r w:rsidR="00BF28FA" w:rsidRPr="000A029E">
        <w:rPr>
          <w:rStyle w:val="jlqj4b"/>
          <w:sz w:val="20"/>
          <w:szCs w:val="20"/>
          <w:lang w:val="en-US"/>
        </w:rPr>
        <w:t>are</w:t>
      </w:r>
      <w:r w:rsidRPr="000A029E">
        <w:rPr>
          <w:rStyle w:val="jlqj4b"/>
          <w:sz w:val="20"/>
          <w:szCs w:val="20"/>
          <w:lang w:val="en-US"/>
        </w:rPr>
        <w:t xml:space="preserve"> a rapid decrease in the amount of th</w:t>
      </w:r>
      <w:r w:rsidR="00B17FB6" w:rsidRPr="000A029E">
        <w:rPr>
          <w:rStyle w:val="jlqj4b"/>
          <w:sz w:val="20"/>
          <w:szCs w:val="20"/>
          <w:lang w:val="en-US"/>
        </w:rPr>
        <w:t xml:space="preserve">e </w:t>
      </w:r>
      <w:r w:rsidRPr="000A029E">
        <w:rPr>
          <w:rStyle w:val="jlqj4b"/>
          <w:sz w:val="20"/>
          <w:szCs w:val="20"/>
          <w:lang w:val="en-US"/>
        </w:rPr>
        <w:t xml:space="preserve">SNF and its conversion into a more concentrated form of plutonium fuel for fast reactors. As the plutonium reserves are depleted and the </w:t>
      </w:r>
      <w:r w:rsidR="00B17FB6" w:rsidRPr="000A029E">
        <w:rPr>
          <w:rStyle w:val="jlqj4b"/>
          <w:sz w:val="20"/>
          <w:szCs w:val="20"/>
          <w:lang w:val="en-US"/>
        </w:rPr>
        <w:t xml:space="preserve">SNF </w:t>
      </w:r>
      <w:r w:rsidRPr="000A029E">
        <w:rPr>
          <w:rStyle w:val="jlqj4b"/>
          <w:sz w:val="20"/>
          <w:szCs w:val="20"/>
          <w:lang w:val="en-US"/>
        </w:rPr>
        <w:t xml:space="preserve">from thermal reactors is reduced, plutonium from the spent nuclear fuel of VVER reactors is replaced by plutonium from the </w:t>
      </w:r>
      <w:r w:rsidR="00B17FB6" w:rsidRPr="000A029E">
        <w:rPr>
          <w:rStyle w:val="jlqj4b"/>
          <w:sz w:val="20"/>
          <w:szCs w:val="20"/>
          <w:lang w:val="en-US"/>
        </w:rPr>
        <w:t xml:space="preserve">BN reactor </w:t>
      </w:r>
      <w:r w:rsidRPr="000A029E">
        <w:rPr>
          <w:rStyle w:val="jlqj4b"/>
          <w:sz w:val="20"/>
          <w:szCs w:val="20"/>
          <w:lang w:val="en-US"/>
        </w:rPr>
        <w:t xml:space="preserve">spent nuclear fuel. If by this time the number of BN units in operation will noticeably increase, reprocessing their spent nuclear fuel (as well as manufacturing fresh MOX fuel) will become significantly cheaper, then closing the fuel cycle will become more economically justified. Preliminary estimates show that the transition to a large-scale </w:t>
      </w:r>
      <w:r w:rsidR="00BF28FA" w:rsidRPr="000A029E">
        <w:rPr>
          <w:rStyle w:val="jlqj4b"/>
          <w:sz w:val="20"/>
          <w:szCs w:val="20"/>
          <w:lang w:val="en-US"/>
        </w:rPr>
        <w:t>NP</w:t>
      </w:r>
      <w:r w:rsidRPr="000A029E">
        <w:rPr>
          <w:rStyle w:val="jlqj4b"/>
          <w:sz w:val="20"/>
          <w:szCs w:val="20"/>
          <w:lang w:val="en-US"/>
        </w:rPr>
        <w:t xml:space="preserve"> based on fast reactors, but with</w:t>
      </w:r>
      <w:r w:rsidR="00B17FB6" w:rsidRPr="000A029E">
        <w:rPr>
          <w:rStyle w:val="jlqj4b"/>
          <w:sz w:val="20"/>
          <w:szCs w:val="20"/>
          <w:lang w:val="en-US"/>
        </w:rPr>
        <w:t xml:space="preserve"> </w:t>
      </w:r>
      <w:r w:rsidRPr="000A029E">
        <w:rPr>
          <w:rStyle w:val="jlqj4b"/>
          <w:sz w:val="20"/>
          <w:szCs w:val="20"/>
          <w:lang w:val="en-US"/>
        </w:rPr>
        <w:t xml:space="preserve">SNF reprocessing, can lead to a decrease in </w:t>
      </w:r>
      <w:r w:rsidR="009406E3" w:rsidRPr="000A029E">
        <w:rPr>
          <w:rStyle w:val="jlqj4b"/>
          <w:sz w:val="20"/>
          <w:szCs w:val="20"/>
          <w:lang w:val="en-US"/>
        </w:rPr>
        <w:t>LUFC</w:t>
      </w:r>
      <w:r w:rsidRPr="000A029E">
        <w:rPr>
          <w:rStyle w:val="jlqj4b"/>
          <w:sz w:val="20"/>
          <w:szCs w:val="20"/>
          <w:lang w:val="en-US"/>
        </w:rPr>
        <w:t xml:space="preserve"> to values ​​of about 4 US$/MWh, which will lead to a decrease in the </w:t>
      </w:r>
      <w:r w:rsidR="00941BF6">
        <w:rPr>
          <w:rStyle w:val="jlqj4b"/>
          <w:sz w:val="20"/>
          <w:szCs w:val="20"/>
          <w:lang w:val="en-US"/>
        </w:rPr>
        <w:t xml:space="preserve"> levelized unit electricity cost</w:t>
      </w:r>
      <w:r w:rsidRPr="000A029E">
        <w:rPr>
          <w:rStyle w:val="jlqj4b"/>
          <w:sz w:val="20"/>
          <w:szCs w:val="20"/>
          <w:lang w:val="en-US"/>
        </w:rPr>
        <w:t xml:space="preserve"> by 8-11% .</w:t>
      </w:r>
      <w:r w:rsidRPr="000A029E">
        <w:rPr>
          <w:sz w:val="20"/>
          <w:szCs w:val="20"/>
          <w:lang w:val="en-US"/>
        </w:rPr>
        <w:t xml:space="preserve"> </w:t>
      </w:r>
      <w:r w:rsidR="005F72EF" w:rsidRPr="000A029E">
        <w:rPr>
          <w:sz w:val="20"/>
          <w:szCs w:val="20"/>
          <w:lang w:val="en-US"/>
        </w:rPr>
        <w:t xml:space="preserve"> </w:t>
      </w:r>
    </w:p>
    <w:p w:rsidR="009406E3" w:rsidRPr="00C273BD" w:rsidRDefault="009406E3" w:rsidP="00C273BD">
      <w:pPr>
        <w:spacing w:before="100" w:beforeAutospacing="1" w:after="100" w:afterAutospacing="1" w:line="260" w:lineRule="atLeast"/>
        <w:ind w:firstLine="0"/>
        <w:jc w:val="center"/>
        <w:rPr>
          <w:rFonts w:eastAsia="Times New Roman" w:cs="Times New Roman"/>
          <w:b/>
          <w:caps/>
          <w:color w:val="auto"/>
          <w:sz w:val="20"/>
          <w:szCs w:val="20"/>
          <w:lang w:val="en-US" w:eastAsia="ru-RU"/>
        </w:rPr>
      </w:pPr>
      <w:r w:rsidRPr="00C273BD">
        <w:rPr>
          <w:rFonts w:eastAsia="Times New Roman" w:cs="Times New Roman"/>
          <w:b/>
          <w:caps/>
          <w:color w:val="auto"/>
          <w:sz w:val="20"/>
          <w:szCs w:val="20"/>
          <w:lang w:val="en-US" w:eastAsia="ru-RU"/>
        </w:rPr>
        <w:t>References</w:t>
      </w:r>
    </w:p>
    <w:p w:rsidR="009406E3" w:rsidRPr="00B33A5F" w:rsidRDefault="007A1167" w:rsidP="00B86EDD">
      <w:pPr>
        <w:pStyle w:val="a6"/>
        <w:numPr>
          <w:ilvl w:val="0"/>
          <w:numId w:val="9"/>
        </w:numPr>
        <w:spacing w:line="260" w:lineRule="atLeast"/>
        <w:ind w:left="851" w:hanging="425"/>
        <w:rPr>
          <w:rFonts w:eastAsia="Times New Roman" w:cs="Times New Roman"/>
          <w:color w:val="auto"/>
          <w:sz w:val="18"/>
          <w:szCs w:val="18"/>
          <w:lang w:val="en-US" w:eastAsia="ru-RU"/>
        </w:rPr>
      </w:pPr>
      <w:r w:rsidRPr="00B33A5F">
        <w:rPr>
          <w:rFonts w:eastAsia="Times New Roman" w:cs="Times New Roman"/>
          <w:color w:val="auto"/>
          <w:sz w:val="18"/>
          <w:szCs w:val="18"/>
          <w:lang w:val="en-US" w:eastAsia="ru-RU"/>
        </w:rPr>
        <w:t>ALEKSEEV P.N., GAGARINSKY A.YU., KALUGIN M.A</w:t>
      </w:r>
      <w:r w:rsidR="009406E3" w:rsidRPr="00B33A5F">
        <w:rPr>
          <w:rFonts w:eastAsia="Times New Roman" w:cs="Times New Roman"/>
          <w:color w:val="auto"/>
          <w:sz w:val="18"/>
          <w:szCs w:val="18"/>
          <w:lang w:val="en-US" w:eastAsia="ru-RU"/>
        </w:rPr>
        <w:t>. and others. Towards a strategy for the development of nuclear power in Russia,  Atomic Energy, vol. 126, no. 4, p. 183-187, 2019.</w:t>
      </w:r>
    </w:p>
    <w:p w:rsidR="009406E3" w:rsidRPr="00B33A5F" w:rsidRDefault="009406E3" w:rsidP="00B86EDD">
      <w:pPr>
        <w:pStyle w:val="a6"/>
        <w:numPr>
          <w:ilvl w:val="0"/>
          <w:numId w:val="9"/>
        </w:numPr>
        <w:spacing w:line="260" w:lineRule="atLeast"/>
        <w:ind w:left="851" w:hanging="425"/>
        <w:rPr>
          <w:rFonts w:eastAsia="Times New Roman" w:cs="Times New Roman"/>
          <w:color w:val="auto"/>
          <w:sz w:val="18"/>
          <w:szCs w:val="18"/>
          <w:lang w:val="en-US" w:eastAsia="ru-RU"/>
        </w:rPr>
      </w:pPr>
      <w:r w:rsidRPr="00B33A5F">
        <w:rPr>
          <w:rFonts w:eastAsia="Times New Roman" w:cs="Times New Roman"/>
          <w:color w:val="auto"/>
          <w:sz w:val="18"/>
          <w:szCs w:val="18"/>
          <w:lang w:val="en-US" w:eastAsia="ru-RU"/>
        </w:rPr>
        <w:t xml:space="preserve">Two-component nuclear power system with thermal and fast reactors in a closed nuclear fuel cycle. Edited by Academician of the Russian Academy of Sciences Ponomarev-Stepniy N.N., Technosphere - Moscow, 2016. </w:t>
      </w:r>
    </w:p>
    <w:p w:rsidR="009406E3" w:rsidRPr="00B33A5F" w:rsidRDefault="007A1167" w:rsidP="00B86EDD">
      <w:pPr>
        <w:pStyle w:val="a6"/>
        <w:numPr>
          <w:ilvl w:val="0"/>
          <w:numId w:val="9"/>
        </w:numPr>
        <w:spacing w:line="260" w:lineRule="atLeast"/>
        <w:ind w:left="851" w:hanging="425"/>
        <w:rPr>
          <w:rFonts w:eastAsia="Times New Roman" w:cs="Times New Roman"/>
          <w:color w:val="auto"/>
          <w:sz w:val="18"/>
          <w:szCs w:val="18"/>
          <w:lang w:val="en-US" w:eastAsia="ru-RU"/>
        </w:rPr>
      </w:pPr>
      <w:r w:rsidRPr="00B33A5F">
        <w:rPr>
          <w:rFonts w:eastAsia="Times New Roman" w:cs="Times New Roman"/>
          <w:color w:val="auto"/>
          <w:sz w:val="18"/>
          <w:szCs w:val="18"/>
          <w:lang w:val="en-US" w:eastAsia="ru-RU"/>
        </w:rPr>
        <w:t>ELISEEV</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V.</w:t>
      </w:r>
      <w:r w:rsidR="000B0B8F">
        <w:rPr>
          <w:rFonts w:eastAsia="Times New Roman" w:cs="Times New Roman"/>
          <w:color w:val="auto"/>
          <w:sz w:val="18"/>
          <w:szCs w:val="18"/>
          <w:lang w:val="en-US" w:eastAsia="ru-RU"/>
        </w:rPr>
        <w:t>V</w:t>
      </w:r>
      <w:r w:rsidRPr="00B33A5F">
        <w:rPr>
          <w:rFonts w:eastAsia="Times New Roman" w:cs="Times New Roman"/>
          <w:color w:val="auto"/>
          <w:sz w:val="18"/>
          <w:szCs w:val="18"/>
          <w:lang w:val="en-US" w:eastAsia="ru-RU"/>
        </w:rPr>
        <w:t>, KLINOV</w:t>
      </w:r>
      <w:r w:rsid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D.</w:t>
      </w:r>
      <w:r w:rsidR="000B0B8F">
        <w:rPr>
          <w:rFonts w:eastAsia="Times New Roman" w:cs="Times New Roman"/>
          <w:color w:val="auto"/>
          <w:sz w:val="18"/>
          <w:szCs w:val="18"/>
          <w:lang w:val="en-US" w:eastAsia="ru-RU"/>
        </w:rPr>
        <w:t>A</w:t>
      </w:r>
      <w:r w:rsidR="000B0B8F" w:rsidRPr="000B0B8F">
        <w:rPr>
          <w:rFonts w:eastAsia="Times New Roman" w:cs="Times New Roman"/>
          <w:color w:val="auto"/>
          <w:sz w:val="18"/>
          <w:szCs w:val="18"/>
          <w:lang w:val="en-US" w:eastAsia="ru-RU"/>
        </w:rPr>
        <w:t>.</w:t>
      </w:r>
      <w:r w:rsidRPr="00B33A5F">
        <w:rPr>
          <w:rFonts w:eastAsia="Times New Roman" w:cs="Times New Roman"/>
          <w:color w:val="auto"/>
          <w:sz w:val="18"/>
          <w:szCs w:val="18"/>
          <w:lang w:val="en-US" w:eastAsia="ru-RU"/>
        </w:rPr>
        <w:t>, CAMARCAT</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N.</w:t>
      </w:r>
      <w:r w:rsidRPr="00B33A5F">
        <w:rPr>
          <w:rFonts w:eastAsia="Times New Roman" w:cs="Times New Roman"/>
          <w:color w:val="auto"/>
          <w:sz w:val="18"/>
          <w:szCs w:val="18"/>
          <w:lang w:val="en-US" w:eastAsia="ru-RU"/>
        </w:rPr>
        <w:t>, LEMASSON</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D.</w:t>
      </w:r>
      <w:r w:rsidRPr="00B33A5F">
        <w:rPr>
          <w:rFonts w:eastAsia="Times New Roman" w:cs="Times New Roman"/>
          <w:color w:val="auto"/>
          <w:sz w:val="18"/>
          <w:szCs w:val="18"/>
          <w:lang w:val="en-US" w:eastAsia="ru-RU"/>
        </w:rPr>
        <w:t>, MÉRIOT</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C.</w:t>
      </w:r>
      <w:r w:rsidRPr="00B33A5F">
        <w:rPr>
          <w:rFonts w:eastAsia="Times New Roman" w:cs="Times New Roman"/>
          <w:color w:val="auto"/>
          <w:sz w:val="18"/>
          <w:szCs w:val="18"/>
          <w:lang w:val="en-US" w:eastAsia="ru-RU"/>
        </w:rPr>
        <w:t>, PERSHUKOV</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V.</w:t>
      </w:r>
      <w:r w:rsidRPr="00B33A5F">
        <w:rPr>
          <w:rFonts w:eastAsia="Times New Roman" w:cs="Times New Roman"/>
          <w:color w:val="auto"/>
          <w:sz w:val="18"/>
          <w:szCs w:val="18"/>
          <w:lang w:val="en-US" w:eastAsia="ru-RU"/>
        </w:rPr>
        <w:t>, TROYANOV</w:t>
      </w:r>
      <w:r w:rsidR="00994958">
        <w:rPr>
          <w:rFonts w:eastAsia="Times New Roman" w:cs="Times New Roman"/>
          <w:color w:val="auto"/>
          <w:sz w:val="18"/>
          <w:szCs w:val="18"/>
          <w:lang w:val="en-US" w:eastAsia="ru-RU"/>
        </w:rPr>
        <w:t xml:space="preserve"> </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V.</w:t>
      </w:r>
      <w:r w:rsidRPr="00B33A5F">
        <w:rPr>
          <w:rFonts w:eastAsia="Times New Roman" w:cs="Times New Roman"/>
          <w:color w:val="auto"/>
          <w:sz w:val="18"/>
          <w:szCs w:val="18"/>
          <w:lang w:val="en-US" w:eastAsia="ru-RU"/>
        </w:rPr>
        <w:t>, VELARDO</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H.</w:t>
      </w:r>
      <w:r w:rsidR="009406E3" w:rsidRPr="00B33A5F">
        <w:rPr>
          <w:rFonts w:eastAsia="Times New Roman" w:cs="Times New Roman"/>
          <w:color w:val="auto"/>
          <w:sz w:val="18"/>
          <w:szCs w:val="18"/>
          <w:lang w:val="en-US" w:eastAsia="ru-RU"/>
        </w:rPr>
        <w:t>. On the possibility to improve mixed uranium-plutonium fuel in fast reactors. Nuclear Energy and Technology, 6 (2): 131-135 (25 Jun 2020)</w:t>
      </w:r>
      <w:r w:rsidR="000B5A02" w:rsidRPr="00B33A5F">
        <w:rPr>
          <w:rFonts w:eastAsia="Times New Roman" w:cs="Times New Roman"/>
          <w:color w:val="auto"/>
          <w:sz w:val="18"/>
          <w:szCs w:val="18"/>
          <w:lang w:val="en-US" w:eastAsia="ru-RU"/>
        </w:rPr>
        <w:t>.– URL:</w:t>
      </w:r>
      <w:r w:rsidR="009406E3" w:rsidRPr="00B33A5F">
        <w:rPr>
          <w:rFonts w:eastAsia="Times New Roman" w:cs="Times New Roman"/>
          <w:color w:val="auto"/>
          <w:sz w:val="18"/>
          <w:szCs w:val="18"/>
          <w:lang w:val="en-US" w:eastAsia="ru-RU"/>
        </w:rPr>
        <w:t xml:space="preserve"> </w:t>
      </w:r>
      <w:hyperlink r:id="rId10" w:history="1">
        <w:r w:rsidR="009406E3" w:rsidRPr="00B33A5F">
          <w:rPr>
            <w:color w:val="auto"/>
            <w:sz w:val="18"/>
            <w:szCs w:val="18"/>
            <w:lang w:val="en-US" w:eastAsia="ru-RU"/>
          </w:rPr>
          <w:t>https://nucet.pensoft.net/issue/2955/</w:t>
        </w:r>
      </w:hyperlink>
      <w:r w:rsidR="009406E3" w:rsidRPr="00B33A5F">
        <w:rPr>
          <w:rFonts w:eastAsia="Times New Roman" w:cs="Times New Roman"/>
          <w:color w:val="auto"/>
          <w:sz w:val="18"/>
          <w:szCs w:val="18"/>
          <w:lang w:val="en-US" w:eastAsia="ru-RU"/>
        </w:rPr>
        <w:t xml:space="preserve"> </w:t>
      </w:r>
    </w:p>
    <w:p w:rsidR="009406E3" w:rsidRPr="001866F3" w:rsidRDefault="007A1167" w:rsidP="00B86EDD">
      <w:pPr>
        <w:pStyle w:val="a6"/>
        <w:numPr>
          <w:ilvl w:val="0"/>
          <w:numId w:val="9"/>
        </w:numPr>
        <w:spacing w:line="260" w:lineRule="atLeast"/>
        <w:ind w:left="851" w:hanging="425"/>
        <w:rPr>
          <w:rFonts w:eastAsia="Times New Roman" w:cs="Times New Roman"/>
          <w:color w:val="auto"/>
          <w:sz w:val="18"/>
          <w:szCs w:val="18"/>
          <w:lang w:val="en-US" w:eastAsia="ru-RU"/>
        </w:rPr>
      </w:pPr>
      <w:r w:rsidRPr="00B33A5F">
        <w:rPr>
          <w:rFonts w:eastAsia="Times New Roman" w:cs="Times New Roman"/>
          <w:color w:val="auto"/>
          <w:sz w:val="18"/>
          <w:szCs w:val="18"/>
          <w:lang w:val="en-US" w:eastAsia="ru-RU"/>
        </w:rPr>
        <w:t>DEKUSAR</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V.M.</w:t>
      </w:r>
      <w:r w:rsidRPr="00B33A5F">
        <w:rPr>
          <w:rFonts w:eastAsia="Times New Roman" w:cs="Times New Roman"/>
          <w:color w:val="auto"/>
          <w:sz w:val="18"/>
          <w:szCs w:val="18"/>
          <w:lang w:val="en-US" w:eastAsia="ru-RU"/>
        </w:rPr>
        <w:t>,</w:t>
      </w:r>
      <w:r w:rsidR="000B0B8F" w:rsidRPr="000B0B8F">
        <w:rPr>
          <w:rFonts w:eastAsia="Times New Roman" w:cs="Times New Roman"/>
          <w:color w:val="auto"/>
          <w:sz w:val="18"/>
          <w:szCs w:val="18"/>
          <w:lang w:val="en-US" w:eastAsia="ru-RU"/>
        </w:rPr>
        <w:t xml:space="preserve"> </w:t>
      </w:r>
      <w:r w:rsidRPr="00B33A5F">
        <w:rPr>
          <w:rFonts w:eastAsia="Times New Roman" w:cs="Times New Roman"/>
          <w:color w:val="auto"/>
          <w:sz w:val="18"/>
          <w:szCs w:val="18"/>
          <w:lang w:val="en-US" w:eastAsia="ru-RU"/>
        </w:rPr>
        <w:t>KOLESNIKOVA</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M.S.</w:t>
      </w:r>
      <w:r w:rsidRPr="00B33A5F">
        <w:rPr>
          <w:rFonts w:eastAsia="Times New Roman" w:cs="Times New Roman"/>
          <w:color w:val="auto"/>
          <w:sz w:val="18"/>
          <w:szCs w:val="18"/>
          <w:lang w:val="en-US" w:eastAsia="ru-RU"/>
        </w:rPr>
        <w:t>, CHIZHIKOVA</w:t>
      </w:r>
      <w:r w:rsidR="000B0B8F" w:rsidRPr="000B0B8F">
        <w:rPr>
          <w:rFonts w:eastAsia="Times New Roman" w:cs="Times New Roman"/>
          <w:color w:val="auto"/>
          <w:sz w:val="18"/>
          <w:szCs w:val="18"/>
          <w:lang w:val="en-US" w:eastAsia="ru-RU"/>
        </w:rPr>
        <w:t xml:space="preserve"> </w:t>
      </w:r>
      <w:r w:rsidR="000B0B8F" w:rsidRPr="00B33A5F">
        <w:rPr>
          <w:rFonts w:eastAsia="Times New Roman" w:cs="Times New Roman"/>
          <w:color w:val="auto"/>
          <w:sz w:val="18"/>
          <w:szCs w:val="18"/>
          <w:lang w:val="en-US" w:eastAsia="ru-RU"/>
        </w:rPr>
        <w:t>Z.N.</w:t>
      </w:r>
      <w:r w:rsidR="007C4E7A" w:rsidRPr="00B33A5F">
        <w:rPr>
          <w:rFonts w:eastAsia="Times New Roman" w:cs="Times New Roman"/>
          <w:color w:val="auto"/>
          <w:sz w:val="18"/>
          <w:szCs w:val="18"/>
          <w:lang w:val="en-US" w:eastAsia="ru-RU"/>
        </w:rPr>
        <w:t xml:space="preserve"> </w:t>
      </w:r>
      <w:r w:rsidR="009406E3" w:rsidRPr="00B33A5F">
        <w:rPr>
          <w:rFonts w:eastAsia="Times New Roman" w:cs="Times New Roman"/>
          <w:color w:val="auto"/>
          <w:sz w:val="18"/>
          <w:szCs w:val="18"/>
          <w:lang w:val="en-US" w:eastAsia="ru-RU"/>
        </w:rPr>
        <w:t xml:space="preserve"> Methodology and </w:t>
      </w:r>
      <w:r w:rsidR="007C4E7A" w:rsidRPr="00B33A5F">
        <w:rPr>
          <w:rFonts w:eastAsia="Times New Roman" w:cs="Times New Roman"/>
          <w:color w:val="auto"/>
          <w:sz w:val="18"/>
          <w:szCs w:val="18"/>
          <w:lang w:val="en-US" w:eastAsia="ru-RU"/>
        </w:rPr>
        <w:t xml:space="preserve">the code </w:t>
      </w:r>
      <w:r w:rsidR="009406E3" w:rsidRPr="00B33A5F">
        <w:rPr>
          <w:rFonts w:eastAsia="Times New Roman" w:cs="Times New Roman"/>
          <w:color w:val="auto"/>
          <w:sz w:val="18"/>
          <w:szCs w:val="18"/>
          <w:lang w:val="en-US" w:eastAsia="ru-RU"/>
        </w:rPr>
        <w:t xml:space="preserve">for calculating the fuel cost of electricity production at nuclear power plants with thermal and fast reactors. </w:t>
      </w:r>
      <w:r w:rsidR="009406E3" w:rsidRPr="001866F3">
        <w:rPr>
          <w:rFonts w:eastAsia="Times New Roman" w:cs="Times New Roman"/>
          <w:color w:val="auto"/>
          <w:sz w:val="18"/>
          <w:szCs w:val="18"/>
          <w:lang w:val="en-US" w:eastAsia="ru-RU"/>
        </w:rPr>
        <w:t xml:space="preserve">Preprint IPPE, FEI-3243, Obninsk, 2014. </w:t>
      </w:r>
    </w:p>
    <w:p w:rsidR="009406E3" w:rsidRPr="000A029E" w:rsidRDefault="007A1167" w:rsidP="00B86EDD">
      <w:pPr>
        <w:pStyle w:val="a6"/>
        <w:numPr>
          <w:ilvl w:val="0"/>
          <w:numId w:val="9"/>
        </w:numPr>
        <w:spacing w:line="260" w:lineRule="atLeast"/>
        <w:ind w:left="851" w:hanging="425"/>
        <w:rPr>
          <w:rFonts w:eastAsia="Times New Roman" w:cs="Times New Roman"/>
          <w:color w:val="auto"/>
          <w:sz w:val="20"/>
          <w:szCs w:val="20"/>
          <w:lang w:val="en-US" w:eastAsia="ru-RU"/>
        </w:rPr>
      </w:pPr>
      <w:r w:rsidRPr="001866F3">
        <w:rPr>
          <w:rFonts w:eastAsia="Times New Roman" w:cs="Times New Roman"/>
          <w:color w:val="auto"/>
          <w:sz w:val="18"/>
          <w:szCs w:val="18"/>
          <w:lang w:val="en-US" w:eastAsia="ru-RU"/>
        </w:rPr>
        <w:t>MOSEEV</w:t>
      </w:r>
      <w:r w:rsidR="000B0B8F" w:rsidRPr="001866F3">
        <w:rPr>
          <w:rFonts w:eastAsia="Times New Roman" w:cs="Times New Roman"/>
          <w:color w:val="auto"/>
          <w:sz w:val="18"/>
          <w:szCs w:val="18"/>
          <w:lang w:val="en-US" w:eastAsia="ru-RU"/>
        </w:rPr>
        <w:t xml:space="preserve"> A.L.</w:t>
      </w:r>
      <w:r w:rsidRPr="001866F3">
        <w:rPr>
          <w:rFonts w:eastAsia="Times New Roman" w:cs="Times New Roman"/>
          <w:color w:val="auto"/>
          <w:sz w:val="18"/>
          <w:szCs w:val="18"/>
          <w:lang w:val="en-US" w:eastAsia="ru-RU"/>
        </w:rPr>
        <w:t>, DEKUSAR</w:t>
      </w:r>
      <w:r w:rsidR="000B0B8F" w:rsidRPr="001866F3">
        <w:rPr>
          <w:rFonts w:eastAsia="Times New Roman" w:cs="Times New Roman"/>
          <w:color w:val="auto"/>
          <w:sz w:val="18"/>
          <w:szCs w:val="18"/>
          <w:lang w:val="en-US" w:eastAsia="ru-RU"/>
        </w:rPr>
        <w:t xml:space="preserve"> V.M.</w:t>
      </w:r>
      <w:r w:rsidRPr="001866F3">
        <w:rPr>
          <w:rFonts w:eastAsia="Times New Roman" w:cs="Times New Roman"/>
          <w:color w:val="auto"/>
          <w:sz w:val="18"/>
          <w:szCs w:val="18"/>
          <w:lang w:val="en-US" w:eastAsia="ru-RU"/>
        </w:rPr>
        <w:t>, KOROBEINIKOV</w:t>
      </w:r>
      <w:r w:rsidR="000B0B8F" w:rsidRPr="001866F3">
        <w:rPr>
          <w:rFonts w:eastAsia="Times New Roman" w:cs="Times New Roman"/>
          <w:color w:val="auto"/>
          <w:sz w:val="18"/>
          <w:szCs w:val="18"/>
          <w:lang w:val="en-US" w:eastAsia="ru-RU"/>
        </w:rPr>
        <w:t xml:space="preserve"> V.V.</w:t>
      </w:r>
      <w:r w:rsidRPr="001866F3">
        <w:rPr>
          <w:rFonts w:eastAsia="Times New Roman" w:cs="Times New Roman"/>
          <w:color w:val="auto"/>
          <w:sz w:val="18"/>
          <w:szCs w:val="18"/>
          <w:lang w:val="en-US" w:eastAsia="ru-RU"/>
        </w:rPr>
        <w:t>, ELISEEV</w:t>
      </w:r>
      <w:r w:rsidR="000B0B8F" w:rsidRPr="001866F3">
        <w:rPr>
          <w:rFonts w:eastAsia="Times New Roman" w:cs="Times New Roman"/>
          <w:color w:val="auto"/>
          <w:sz w:val="18"/>
          <w:szCs w:val="18"/>
          <w:lang w:val="en-US" w:eastAsia="ru-RU"/>
        </w:rPr>
        <w:t xml:space="preserve"> V.A.</w:t>
      </w:r>
      <w:r w:rsidR="009406E3" w:rsidRPr="001866F3">
        <w:rPr>
          <w:rFonts w:eastAsia="Times New Roman" w:cs="Times New Roman"/>
          <w:color w:val="auto"/>
          <w:sz w:val="18"/>
          <w:szCs w:val="18"/>
          <w:lang w:val="en-US" w:eastAsia="ru-RU"/>
        </w:rPr>
        <w:t xml:space="preserve"> </w:t>
      </w:r>
      <w:r w:rsidR="009406E3" w:rsidRPr="00B33A5F">
        <w:rPr>
          <w:rFonts w:eastAsia="Times New Roman" w:cs="Times New Roman"/>
          <w:color w:val="auto"/>
          <w:sz w:val="18"/>
          <w:szCs w:val="18"/>
          <w:lang w:val="en-US" w:eastAsia="ru-RU"/>
        </w:rPr>
        <w:t>Investigations of the potential of a two-component nuclear power system under different conditions of its development VANT, Series Nuclear-reactor constants, Issue 2, 2019, pp. 195-21</w:t>
      </w:r>
      <w:r w:rsidR="009406E3" w:rsidRPr="000A029E">
        <w:rPr>
          <w:rFonts w:eastAsia="Times New Roman" w:cs="Times New Roman"/>
          <w:color w:val="auto"/>
          <w:sz w:val="20"/>
          <w:szCs w:val="20"/>
          <w:lang w:val="en-US" w:eastAsia="ru-RU"/>
        </w:rPr>
        <w:t xml:space="preserve"> </w:t>
      </w:r>
    </w:p>
    <w:p w:rsidR="00D62BA1" w:rsidRPr="00D62BA1" w:rsidRDefault="00D62BA1" w:rsidP="00D62BA1">
      <w:pPr>
        <w:spacing w:line="260" w:lineRule="atLeast"/>
        <w:ind w:firstLine="0"/>
        <w:jc w:val="left"/>
        <w:rPr>
          <w:rFonts w:eastAsia="Times New Roman" w:cs="Times New Roman"/>
          <w:color w:val="auto"/>
          <w:sz w:val="20"/>
          <w:szCs w:val="20"/>
          <w:lang w:val="en-US" w:eastAsia="ru-RU"/>
        </w:rPr>
      </w:pPr>
    </w:p>
    <w:sectPr w:rsidR="00D62BA1" w:rsidRPr="00D62BA1" w:rsidSect="00C913F4">
      <w:headerReference w:type="even" r:id="rId11"/>
      <w:headerReference w:type="default" r:id="rId12"/>
      <w:footerReference w:type="even" r:id="rId13"/>
      <w:footerReference w:type="default" r:id="rId14"/>
      <w:headerReference w:type="first" r:id="rId1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84" w:rsidRDefault="00935E84" w:rsidP="00C0739D">
      <w:r>
        <w:separator/>
      </w:r>
    </w:p>
  </w:endnote>
  <w:endnote w:type="continuationSeparator" w:id="0">
    <w:p w:rsidR="00935E84" w:rsidRDefault="00935E84" w:rsidP="00C07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049888"/>
      <w:docPartObj>
        <w:docPartGallery w:val="Page Numbers (Bottom of Page)"/>
        <w:docPartUnique/>
      </w:docPartObj>
    </w:sdtPr>
    <w:sdtContent>
      <w:p w:rsidR="00D43BA6" w:rsidRDefault="00EB62DC">
        <w:pPr>
          <w:pStyle w:val="af"/>
          <w:jc w:val="right"/>
        </w:pPr>
        <w:r w:rsidRPr="00847B8F">
          <w:rPr>
            <w:sz w:val="20"/>
            <w:szCs w:val="20"/>
          </w:rPr>
          <w:fldChar w:fldCharType="begin"/>
        </w:r>
        <w:r w:rsidR="00D43BA6" w:rsidRPr="00847B8F">
          <w:rPr>
            <w:sz w:val="20"/>
            <w:szCs w:val="20"/>
          </w:rPr>
          <w:instrText>PAGE   \* MERGEFORMAT</w:instrText>
        </w:r>
        <w:r w:rsidRPr="00847B8F">
          <w:rPr>
            <w:sz w:val="20"/>
            <w:szCs w:val="20"/>
          </w:rPr>
          <w:fldChar w:fldCharType="separate"/>
        </w:r>
        <w:r w:rsidR="006C65CF">
          <w:rPr>
            <w:noProof/>
            <w:sz w:val="20"/>
            <w:szCs w:val="20"/>
          </w:rPr>
          <w:t>2</w:t>
        </w:r>
        <w:r w:rsidRPr="00847B8F">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17924573"/>
      <w:docPartObj>
        <w:docPartGallery w:val="Page Numbers (Bottom of Page)"/>
        <w:docPartUnique/>
      </w:docPartObj>
    </w:sdtPr>
    <w:sdtContent>
      <w:p w:rsidR="00EC3F73" w:rsidRPr="00EC3F73" w:rsidRDefault="00EB62DC">
        <w:pPr>
          <w:pStyle w:val="af"/>
          <w:jc w:val="right"/>
          <w:rPr>
            <w:sz w:val="20"/>
            <w:szCs w:val="20"/>
          </w:rPr>
        </w:pPr>
        <w:r w:rsidRPr="00EC3F73">
          <w:rPr>
            <w:sz w:val="20"/>
            <w:szCs w:val="20"/>
          </w:rPr>
          <w:fldChar w:fldCharType="begin"/>
        </w:r>
        <w:r w:rsidR="00EC3F73" w:rsidRPr="00EC3F73">
          <w:rPr>
            <w:sz w:val="20"/>
            <w:szCs w:val="20"/>
          </w:rPr>
          <w:instrText>PAGE   \* MERGEFORMAT</w:instrText>
        </w:r>
        <w:r w:rsidRPr="00EC3F73">
          <w:rPr>
            <w:sz w:val="20"/>
            <w:szCs w:val="20"/>
          </w:rPr>
          <w:fldChar w:fldCharType="separate"/>
        </w:r>
        <w:r w:rsidR="00935E84">
          <w:rPr>
            <w:noProof/>
            <w:sz w:val="20"/>
            <w:szCs w:val="20"/>
          </w:rPr>
          <w:t>1</w:t>
        </w:r>
        <w:r w:rsidRPr="00EC3F73">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84" w:rsidRDefault="00935E84" w:rsidP="00C0739D">
      <w:r>
        <w:separator/>
      </w:r>
    </w:p>
  </w:footnote>
  <w:footnote w:type="continuationSeparator" w:id="0">
    <w:p w:rsidR="00935E84" w:rsidRDefault="00935E84" w:rsidP="00C07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C5" w:rsidRPr="00342C69" w:rsidRDefault="00342C69" w:rsidP="00342C69">
    <w:pPr>
      <w:pStyle w:val="ad"/>
      <w:ind w:firstLine="0"/>
      <w:jc w:val="center"/>
      <w:rPr>
        <w:rFonts w:asciiTheme="minorHAnsi" w:eastAsia="Calibri" w:hAnsiTheme="minorHAnsi" w:cstheme="minorHAnsi"/>
        <w:b/>
        <w:color w:val="auto"/>
        <w:sz w:val="16"/>
        <w:szCs w:val="16"/>
        <w:lang w:val="en-US"/>
      </w:rPr>
    </w:pPr>
    <w:r w:rsidRPr="00342C69">
      <w:rPr>
        <w:rFonts w:asciiTheme="minorHAnsi" w:eastAsia="Calibri" w:hAnsiTheme="minorHAnsi" w:cstheme="minorHAnsi"/>
        <w:color w:val="auto"/>
        <w:sz w:val="16"/>
        <w:szCs w:val="16"/>
        <w:lang w:val="en-US"/>
      </w:rPr>
      <w:t xml:space="preserve"> </w:t>
    </w:r>
    <w:r w:rsidRPr="00342C69">
      <w:rPr>
        <w:rFonts w:asciiTheme="minorHAnsi" w:eastAsia="Calibri" w:hAnsiTheme="minorHAnsi" w:cstheme="minorHAnsi"/>
        <w:b/>
        <w:color w:val="auto"/>
        <w:sz w:val="16"/>
        <w:szCs w:val="16"/>
        <w:lang w:val="en-US"/>
      </w:rPr>
      <w:t>FR22: IAEA-CN-291/28</w:t>
    </w:r>
  </w:p>
  <w:p w:rsidR="00EC3F73" w:rsidRPr="007A12C5" w:rsidRDefault="00EC3F73" w:rsidP="00EC3F73">
    <w:pPr>
      <w:pStyle w:val="ad"/>
      <w:ind w:firstLine="0"/>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73" w:rsidRPr="00342C69" w:rsidRDefault="00342C69" w:rsidP="00C913F4">
    <w:pPr>
      <w:pStyle w:val="ad"/>
      <w:ind w:firstLine="0"/>
      <w:jc w:val="center"/>
      <w:rPr>
        <w:rFonts w:asciiTheme="minorHAnsi" w:hAnsiTheme="minorHAnsi" w:cstheme="minorHAnsi"/>
        <w:lang w:val="en-US"/>
      </w:rPr>
    </w:pPr>
    <w:r w:rsidRPr="00342C69">
      <w:rPr>
        <w:rFonts w:asciiTheme="minorHAnsi" w:eastAsia="Calibri" w:hAnsiTheme="minorHAnsi" w:cstheme="minorHAnsi"/>
        <w:b/>
        <w:color w:val="auto"/>
        <w:sz w:val="16"/>
        <w:szCs w:val="16"/>
        <w:lang w:val="en-US"/>
      </w:rPr>
      <w:t xml:space="preserve">   </w:t>
    </w:r>
    <w:r w:rsidRPr="00342C69">
      <w:rPr>
        <w:rFonts w:eastAsia="Times New Roman" w:cs="Times New Roman"/>
        <w:b/>
        <w:color w:val="auto"/>
        <w:sz w:val="16"/>
        <w:szCs w:val="16"/>
        <w:lang w:val="en-US" w:eastAsia="ru-RU"/>
      </w:rPr>
      <w:t>DEKUSAR V. M</w:t>
    </w:r>
    <w:r w:rsidRPr="00342C69">
      <w:rPr>
        <w:rFonts w:eastAsia="Times New Roman" w:cs="Times New Roman"/>
        <w:b/>
        <w:color w:val="auto"/>
        <w:sz w:val="20"/>
        <w:szCs w:val="20"/>
        <w:lang w:val="en-US" w:eastAsia="ru-RU"/>
      </w:rPr>
      <w:t>.</w:t>
    </w:r>
    <w:r w:rsidRPr="00342C69">
      <w:rPr>
        <w:rFonts w:asciiTheme="minorHAnsi" w:eastAsia="Calibri" w:hAnsiTheme="minorHAnsi" w:cstheme="minorHAnsi"/>
        <w:b/>
        <w:color w:val="auto"/>
        <w:sz w:val="16"/>
        <w:szCs w:val="16"/>
        <w:lang w:val="en-US"/>
      </w:rPr>
      <w:t xml:space="preserve"> et al</w:t>
    </w:r>
    <w:r w:rsidRPr="00342C69">
      <w:rPr>
        <w:rFonts w:asciiTheme="minorHAnsi" w:eastAsia="Calibri" w:hAnsiTheme="minorHAnsi" w:cstheme="minorHAnsi"/>
        <w:color w:val="auto"/>
        <w:sz w:val="16"/>
        <w:szCs w:val="16"/>
        <w:lang w:val="en-US"/>
      </w:rPr>
      <w:t>.</w:t>
    </w:r>
    <w:r w:rsidRPr="00C913F4">
      <w:rPr>
        <w:rFonts w:asciiTheme="minorHAnsi" w:eastAsia="Calibri" w:hAnsiTheme="minorHAnsi" w:cstheme="minorHAnsi"/>
        <w:color w:val="auto"/>
        <w:sz w:val="16"/>
        <w:szCs w:val="16"/>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73" w:rsidRPr="007A12C5" w:rsidRDefault="00C913F4" w:rsidP="007A12C5">
    <w:pPr>
      <w:pStyle w:val="ad"/>
      <w:ind w:firstLine="0"/>
      <w:jc w:val="center"/>
    </w:pPr>
    <w:r w:rsidRPr="00C913F4">
      <w:rPr>
        <w:rFonts w:ascii="Calibri" w:eastAsia="Calibri" w:hAnsi="Calibri" w:cs="Times New Roman"/>
        <w:b/>
        <w:color w:val="auto"/>
        <w:sz w:val="16"/>
        <w:szCs w:val="16"/>
        <w:lang w:val="en-US"/>
      </w:rPr>
      <w:t>FR22: IAEA-CN-291/…..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5A80"/>
    <w:multiLevelType w:val="hybridMultilevel"/>
    <w:tmpl w:val="29FC1814"/>
    <w:lvl w:ilvl="0" w:tplc="2AAA2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3F664B"/>
    <w:multiLevelType w:val="hybridMultilevel"/>
    <w:tmpl w:val="20025BFE"/>
    <w:lvl w:ilvl="0" w:tplc="0419000F">
      <w:start w:val="1"/>
      <w:numFmt w:val="bullet"/>
      <w:lvlText w:val="–"/>
      <w:lvlJc w:val="left"/>
      <w:pPr>
        <w:tabs>
          <w:tab w:val="num" w:pos="1854"/>
        </w:tabs>
        <w:ind w:left="1854" w:hanging="454"/>
      </w:pPr>
      <w:rPr>
        <w:rFonts w:ascii="Palatino Linotype" w:hAnsi="Palatino Linotype" w:cs="Palatino Linotyp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A07DDB"/>
    <w:multiLevelType w:val="hybridMultilevel"/>
    <w:tmpl w:val="C9844EBC"/>
    <w:lvl w:ilvl="0" w:tplc="2C620952">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2F0F0BDF"/>
    <w:multiLevelType w:val="hybridMultilevel"/>
    <w:tmpl w:val="42AAEF8E"/>
    <w:lvl w:ilvl="0" w:tplc="29A04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3679B"/>
    <w:multiLevelType w:val="hybridMultilevel"/>
    <w:tmpl w:val="DFE0215A"/>
    <w:lvl w:ilvl="0" w:tplc="29A04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DA4660"/>
    <w:multiLevelType w:val="hybridMultilevel"/>
    <w:tmpl w:val="19B8EA38"/>
    <w:lvl w:ilvl="0" w:tplc="EEB429B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3690C"/>
    <w:multiLevelType w:val="hybridMultilevel"/>
    <w:tmpl w:val="F04AFC24"/>
    <w:lvl w:ilvl="0" w:tplc="136C71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2E9511E"/>
    <w:multiLevelType w:val="hybridMultilevel"/>
    <w:tmpl w:val="748C7C28"/>
    <w:lvl w:ilvl="0" w:tplc="2140E47A">
      <w:start w:val="1"/>
      <w:numFmt w:val="decimal"/>
      <w:lvlText w:val="%1"/>
      <w:lvlJc w:val="left"/>
      <w:pPr>
        <w:tabs>
          <w:tab w:val="num" w:pos="226"/>
        </w:tabs>
        <w:ind w:left="226" w:firstLine="494"/>
      </w:pPr>
      <w:rPr>
        <w:rFonts w:hint="default"/>
        <w:color w:val="auto"/>
      </w:rPr>
    </w:lvl>
    <w:lvl w:ilvl="1" w:tplc="04190019" w:tentative="1">
      <w:start w:val="1"/>
      <w:numFmt w:val="lowerLetter"/>
      <w:lvlText w:val="%2."/>
      <w:lvlJc w:val="left"/>
      <w:pPr>
        <w:tabs>
          <w:tab w:val="num" w:pos="1489"/>
        </w:tabs>
        <w:ind w:left="1489" w:hanging="360"/>
      </w:pPr>
    </w:lvl>
    <w:lvl w:ilvl="2" w:tplc="0419001B" w:tentative="1">
      <w:start w:val="1"/>
      <w:numFmt w:val="lowerRoman"/>
      <w:lvlText w:val="%3."/>
      <w:lvlJc w:val="right"/>
      <w:pPr>
        <w:tabs>
          <w:tab w:val="num" w:pos="2209"/>
        </w:tabs>
        <w:ind w:left="2209" w:hanging="180"/>
      </w:pPr>
    </w:lvl>
    <w:lvl w:ilvl="3" w:tplc="0419000F" w:tentative="1">
      <w:start w:val="1"/>
      <w:numFmt w:val="decimal"/>
      <w:lvlText w:val="%4."/>
      <w:lvlJc w:val="left"/>
      <w:pPr>
        <w:tabs>
          <w:tab w:val="num" w:pos="2929"/>
        </w:tabs>
        <w:ind w:left="2929" w:hanging="360"/>
      </w:pPr>
    </w:lvl>
    <w:lvl w:ilvl="4" w:tplc="04190019" w:tentative="1">
      <w:start w:val="1"/>
      <w:numFmt w:val="lowerLetter"/>
      <w:lvlText w:val="%5."/>
      <w:lvlJc w:val="left"/>
      <w:pPr>
        <w:tabs>
          <w:tab w:val="num" w:pos="3649"/>
        </w:tabs>
        <w:ind w:left="3649" w:hanging="360"/>
      </w:pPr>
    </w:lvl>
    <w:lvl w:ilvl="5" w:tplc="0419001B" w:tentative="1">
      <w:start w:val="1"/>
      <w:numFmt w:val="lowerRoman"/>
      <w:lvlText w:val="%6."/>
      <w:lvlJc w:val="right"/>
      <w:pPr>
        <w:tabs>
          <w:tab w:val="num" w:pos="4369"/>
        </w:tabs>
        <w:ind w:left="4369" w:hanging="180"/>
      </w:pPr>
    </w:lvl>
    <w:lvl w:ilvl="6" w:tplc="0419000F" w:tentative="1">
      <w:start w:val="1"/>
      <w:numFmt w:val="decimal"/>
      <w:lvlText w:val="%7."/>
      <w:lvlJc w:val="left"/>
      <w:pPr>
        <w:tabs>
          <w:tab w:val="num" w:pos="5089"/>
        </w:tabs>
        <w:ind w:left="5089" w:hanging="360"/>
      </w:pPr>
    </w:lvl>
    <w:lvl w:ilvl="7" w:tplc="04190019" w:tentative="1">
      <w:start w:val="1"/>
      <w:numFmt w:val="lowerLetter"/>
      <w:lvlText w:val="%8."/>
      <w:lvlJc w:val="left"/>
      <w:pPr>
        <w:tabs>
          <w:tab w:val="num" w:pos="5809"/>
        </w:tabs>
        <w:ind w:left="5809" w:hanging="360"/>
      </w:pPr>
    </w:lvl>
    <w:lvl w:ilvl="8" w:tplc="0419001B" w:tentative="1">
      <w:start w:val="1"/>
      <w:numFmt w:val="lowerRoman"/>
      <w:lvlText w:val="%9."/>
      <w:lvlJc w:val="right"/>
      <w:pPr>
        <w:tabs>
          <w:tab w:val="num" w:pos="6529"/>
        </w:tabs>
        <w:ind w:left="6529" w:hanging="180"/>
      </w:pPr>
    </w:lvl>
  </w:abstractNum>
  <w:num w:numId="1">
    <w:abstractNumId w:val="0"/>
  </w:num>
  <w:num w:numId="2">
    <w:abstractNumId w:val="7"/>
  </w:num>
  <w:num w:numId="3">
    <w:abstractNumId w:val="8"/>
  </w:num>
  <w:num w:numId="4">
    <w:abstractNumId w:val="5"/>
  </w:num>
  <w:num w:numId="5">
    <w:abstractNumId w:val="1"/>
  </w:num>
  <w:num w:numId="6">
    <w:abstractNumId w:val="4"/>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characterSpacingControl w:val="doNotCompress"/>
  <w:savePreviewPicture/>
  <w:hdrShapeDefaults>
    <o:shapedefaults v:ext="edit" spidmax="7170"/>
  </w:hdrShapeDefaults>
  <w:footnotePr>
    <w:footnote w:id="-1"/>
    <w:footnote w:id="0"/>
  </w:footnotePr>
  <w:endnotePr>
    <w:endnote w:id="-1"/>
    <w:endnote w:id="0"/>
  </w:endnotePr>
  <w:compat/>
  <w:rsids>
    <w:rsidRoot w:val="006B28D7"/>
    <w:rsid w:val="00014D4C"/>
    <w:rsid w:val="0004061C"/>
    <w:rsid w:val="000607F6"/>
    <w:rsid w:val="00071F22"/>
    <w:rsid w:val="0008796E"/>
    <w:rsid w:val="000A029E"/>
    <w:rsid w:val="000B0B8F"/>
    <w:rsid w:val="000B46B5"/>
    <w:rsid w:val="000B5A02"/>
    <w:rsid w:val="000C4F71"/>
    <w:rsid w:val="000E1ABD"/>
    <w:rsid w:val="000F5C5B"/>
    <w:rsid w:val="0010600F"/>
    <w:rsid w:val="00110E13"/>
    <w:rsid w:val="00112089"/>
    <w:rsid w:val="001320CE"/>
    <w:rsid w:val="0013309A"/>
    <w:rsid w:val="00151857"/>
    <w:rsid w:val="00160135"/>
    <w:rsid w:val="001866F3"/>
    <w:rsid w:val="00196168"/>
    <w:rsid w:val="001A57B3"/>
    <w:rsid w:val="001C5DA4"/>
    <w:rsid w:val="001D6BF9"/>
    <w:rsid w:val="00202E48"/>
    <w:rsid w:val="0023240F"/>
    <w:rsid w:val="00240106"/>
    <w:rsid w:val="00243EE0"/>
    <w:rsid w:val="00252A54"/>
    <w:rsid w:val="0025670D"/>
    <w:rsid w:val="00265D62"/>
    <w:rsid w:val="00290D0F"/>
    <w:rsid w:val="002A7F5B"/>
    <w:rsid w:val="002B0837"/>
    <w:rsid w:val="002B1C22"/>
    <w:rsid w:val="002B7922"/>
    <w:rsid w:val="002C10F7"/>
    <w:rsid w:val="002C209B"/>
    <w:rsid w:val="003159DE"/>
    <w:rsid w:val="00342C69"/>
    <w:rsid w:val="00343598"/>
    <w:rsid w:val="00350B11"/>
    <w:rsid w:val="00375961"/>
    <w:rsid w:val="00383F9A"/>
    <w:rsid w:val="003A3916"/>
    <w:rsid w:val="003C1E2D"/>
    <w:rsid w:val="003D07D5"/>
    <w:rsid w:val="003D36CB"/>
    <w:rsid w:val="003E328B"/>
    <w:rsid w:val="003E3FC4"/>
    <w:rsid w:val="003F160C"/>
    <w:rsid w:val="004001EF"/>
    <w:rsid w:val="00442558"/>
    <w:rsid w:val="00456EF5"/>
    <w:rsid w:val="00462309"/>
    <w:rsid w:val="004652C7"/>
    <w:rsid w:val="004700A3"/>
    <w:rsid w:val="00475F81"/>
    <w:rsid w:val="00477FBC"/>
    <w:rsid w:val="00491C41"/>
    <w:rsid w:val="0049305B"/>
    <w:rsid w:val="004B2C02"/>
    <w:rsid w:val="004B44F5"/>
    <w:rsid w:val="004E7516"/>
    <w:rsid w:val="004F17F0"/>
    <w:rsid w:val="004F62D1"/>
    <w:rsid w:val="0050519C"/>
    <w:rsid w:val="00512A0B"/>
    <w:rsid w:val="0051633C"/>
    <w:rsid w:val="00532728"/>
    <w:rsid w:val="00533E71"/>
    <w:rsid w:val="005350FA"/>
    <w:rsid w:val="00562CE5"/>
    <w:rsid w:val="0056662C"/>
    <w:rsid w:val="005708BC"/>
    <w:rsid w:val="0058463C"/>
    <w:rsid w:val="005A2D26"/>
    <w:rsid w:val="005B5545"/>
    <w:rsid w:val="005B6189"/>
    <w:rsid w:val="005D12DA"/>
    <w:rsid w:val="005D151E"/>
    <w:rsid w:val="005E0AEF"/>
    <w:rsid w:val="005F1EC0"/>
    <w:rsid w:val="005F72EF"/>
    <w:rsid w:val="00621507"/>
    <w:rsid w:val="0062289F"/>
    <w:rsid w:val="00630006"/>
    <w:rsid w:val="00631EE8"/>
    <w:rsid w:val="006325F8"/>
    <w:rsid w:val="006527DD"/>
    <w:rsid w:val="006637D4"/>
    <w:rsid w:val="0067000F"/>
    <w:rsid w:val="00686FF6"/>
    <w:rsid w:val="006B21C7"/>
    <w:rsid w:val="006B28D7"/>
    <w:rsid w:val="006C65CF"/>
    <w:rsid w:val="006C7CC8"/>
    <w:rsid w:val="006D5CF0"/>
    <w:rsid w:val="006F076D"/>
    <w:rsid w:val="006F51D4"/>
    <w:rsid w:val="006F6D76"/>
    <w:rsid w:val="00707C71"/>
    <w:rsid w:val="0071581C"/>
    <w:rsid w:val="007217B5"/>
    <w:rsid w:val="00724999"/>
    <w:rsid w:val="00744636"/>
    <w:rsid w:val="00744657"/>
    <w:rsid w:val="00744C74"/>
    <w:rsid w:val="007455F2"/>
    <w:rsid w:val="0074566C"/>
    <w:rsid w:val="0075243F"/>
    <w:rsid w:val="007A1167"/>
    <w:rsid w:val="007A12C5"/>
    <w:rsid w:val="007C0B69"/>
    <w:rsid w:val="007C279B"/>
    <w:rsid w:val="007C4E7A"/>
    <w:rsid w:val="007D5E6E"/>
    <w:rsid w:val="007E052A"/>
    <w:rsid w:val="00803F60"/>
    <w:rsid w:val="00810FFF"/>
    <w:rsid w:val="00814F24"/>
    <w:rsid w:val="0082697E"/>
    <w:rsid w:val="0083232C"/>
    <w:rsid w:val="00836AD0"/>
    <w:rsid w:val="00847B8F"/>
    <w:rsid w:val="008531DB"/>
    <w:rsid w:val="00861340"/>
    <w:rsid w:val="00864B40"/>
    <w:rsid w:val="0088620A"/>
    <w:rsid w:val="00886647"/>
    <w:rsid w:val="00891AF7"/>
    <w:rsid w:val="008E63CD"/>
    <w:rsid w:val="008F4023"/>
    <w:rsid w:val="008F7FF0"/>
    <w:rsid w:val="00917230"/>
    <w:rsid w:val="009339A2"/>
    <w:rsid w:val="009342C8"/>
    <w:rsid w:val="00935E84"/>
    <w:rsid w:val="009406E3"/>
    <w:rsid w:val="00941BF6"/>
    <w:rsid w:val="00944859"/>
    <w:rsid w:val="00946344"/>
    <w:rsid w:val="00946E92"/>
    <w:rsid w:val="0097045A"/>
    <w:rsid w:val="00985BD8"/>
    <w:rsid w:val="00990F77"/>
    <w:rsid w:val="00994958"/>
    <w:rsid w:val="009B4A80"/>
    <w:rsid w:val="009B71CB"/>
    <w:rsid w:val="009E5802"/>
    <w:rsid w:val="00A10F2F"/>
    <w:rsid w:val="00A2395F"/>
    <w:rsid w:val="00A25B3F"/>
    <w:rsid w:val="00A414F1"/>
    <w:rsid w:val="00A64548"/>
    <w:rsid w:val="00AC33CF"/>
    <w:rsid w:val="00AE1042"/>
    <w:rsid w:val="00AE1152"/>
    <w:rsid w:val="00AE25D3"/>
    <w:rsid w:val="00B07280"/>
    <w:rsid w:val="00B17FB6"/>
    <w:rsid w:val="00B23434"/>
    <w:rsid w:val="00B27386"/>
    <w:rsid w:val="00B33A5F"/>
    <w:rsid w:val="00B416CD"/>
    <w:rsid w:val="00B57BD9"/>
    <w:rsid w:val="00B842CF"/>
    <w:rsid w:val="00B86D28"/>
    <w:rsid w:val="00B86EDD"/>
    <w:rsid w:val="00B90C7E"/>
    <w:rsid w:val="00B92781"/>
    <w:rsid w:val="00BE6942"/>
    <w:rsid w:val="00BF28FA"/>
    <w:rsid w:val="00BF4D18"/>
    <w:rsid w:val="00C0739D"/>
    <w:rsid w:val="00C273BD"/>
    <w:rsid w:val="00C34067"/>
    <w:rsid w:val="00C370F4"/>
    <w:rsid w:val="00C372DD"/>
    <w:rsid w:val="00C454B5"/>
    <w:rsid w:val="00C60D61"/>
    <w:rsid w:val="00C64A2C"/>
    <w:rsid w:val="00C64C0A"/>
    <w:rsid w:val="00C6590A"/>
    <w:rsid w:val="00C72200"/>
    <w:rsid w:val="00C749BC"/>
    <w:rsid w:val="00C80694"/>
    <w:rsid w:val="00C84AC7"/>
    <w:rsid w:val="00C8668D"/>
    <w:rsid w:val="00C913F4"/>
    <w:rsid w:val="00C973B7"/>
    <w:rsid w:val="00CA2475"/>
    <w:rsid w:val="00CA3B74"/>
    <w:rsid w:val="00CA3D36"/>
    <w:rsid w:val="00CC01E0"/>
    <w:rsid w:val="00CC2790"/>
    <w:rsid w:val="00CC3A50"/>
    <w:rsid w:val="00CF114A"/>
    <w:rsid w:val="00CF2DE6"/>
    <w:rsid w:val="00CF45D1"/>
    <w:rsid w:val="00D27110"/>
    <w:rsid w:val="00D31389"/>
    <w:rsid w:val="00D31A21"/>
    <w:rsid w:val="00D41A98"/>
    <w:rsid w:val="00D43BA6"/>
    <w:rsid w:val="00D62BA1"/>
    <w:rsid w:val="00D63FB9"/>
    <w:rsid w:val="00D65E13"/>
    <w:rsid w:val="00D769F9"/>
    <w:rsid w:val="00D80E4D"/>
    <w:rsid w:val="00D828F7"/>
    <w:rsid w:val="00D863DD"/>
    <w:rsid w:val="00DA7D15"/>
    <w:rsid w:val="00DB46AF"/>
    <w:rsid w:val="00DB7A9C"/>
    <w:rsid w:val="00DD3C18"/>
    <w:rsid w:val="00DE040B"/>
    <w:rsid w:val="00DE5CD2"/>
    <w:rsid w:val="00DE7236"/>
    <w:rsid w:val="00DF5149"/>
    <w:rsid w:val="00E05730"/>
    <w:rsid w:val="00E20DD4"/>
    <w:rsid w:val="00E20EBD"/>
    <w:rsid w:val="00E225E9"/>
    <w:rsid w:val="00E3415B"/>
    <w:rsid w:val="00E61818"/>
    <w:rsid w:val="00E7224E"/>
    <w:rsid w:val="00E96535"/>
    <w:rsid w:val="00EA3081"/>
    <w:rsid w:val="00EA3923"/>
    <w:rsid w:val="00EA7D25"/>
    <w:rsid w:val="00EB62DC"/>
    <w:rsid w:val="00EC17FF"/>
    <w:rsid w:val="00EC1EDB"/>
    <w:rsid w:val="00EC3F73"/>
    <w:rsid w:val="00EE5957"/>
    <w:rsid w:val="00F26BCC"/>
    <w:rsid w:val="00F27542"/>
    <w:rsid w:val="00F349CB"/>
    <w:rsid w:val="00F44E56"/>
    <w:rsid w:val="00F46C68"/>
    <w:rsid w:val="00F508E3"/>
    <w:rsid w:val="00F50D3E"/>
    <w:rsid w:val="00F54881"/>
    <w:rsid w:val="00F573E9"/>
    <w:rsid w:val="00F704F8"/>
    <w:rsid w:val="00F7764F"/>
    <w:rsid w:val="00F80BFE"/>
    <w:rsid w:val="00F8135A"/>
    <w:rsid w:val="00F82C17"/>
    <w:rsid w:val="00F87EF7"/>
    <w:rsid w:val="00F904C8"/>
    <w:rsid w:val="00FB3773"/>
    <w:rsid w:val="00FB4521"/>
    <w:rsid w:val="00FB7AAE"/>
    <w:rsid w:val="00FC6812"/>
    <w:rsid w:val="00FD5B3C"/>
    <w:rsid w:val="00FE4328"/>
    <w:rsid w:val="00FF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40"/>
    <w:pPr>
      <w:spacing w:after="0" w:line="240" w:lineRule="auto"/>
      <w:ind w:firstLine="709"/>
      <w:jc w:val="both"/>
    </w:pPr>
    <w:rPr>
      <w:rFonts w:ascii="Times New Roman" w:hAnsi="Times New Roman"/>
      <w:color w:val="000000" w:themeColor="text1"/>
      <w:sz w:val="24"/>
    </w:rPr>
  </w:style>
  <w:style w:type="paragraph" w:styleId="1">
    <w:name w:val="heading 1"/>
    <w:basedOn w:val="a"/>
    <w:next w:val="a"/>
    <w:link w:val="10"/>
    <w:uiPriority w:val="9"/>
    <w:qFormat/>
    <w:rsid w:val="00864B40"/>
    <w:pPr>
      <w:keepNext/>
      <w:keepLines/>
      <w:outlineLvl w:val="0"/>
    </w:pPr>
    <w:rPr>
      <w:rFonts w:eastAsiaTheme="majorEastAsia" w:cstheme="majorBidi"/>
      <w:b/>
      <w:bCs/>
      <w:color w:val="auto"/>
      <w:szCs w:val="28"/>
    </w:rPr>
  </w:style>
  <w:style w:type="paragraph" w:styleId="2">
    <w:name w:val="heading 2"/>
    <w:basedOn w:val="a"/>
    <w:next w:val="a"/>
    <w:link w:val="20"/>
    <w:uiPriority w:val="9"/>
    <w:unhideWhenUsed/>
    <w:qFormat/>
    <w:rsid w:val="00864B40"/>
    <w:pPr>
      <w:keepNext/>
      <w:keepLines/>
      <w:outlineLvl w:val="1"/>
    </w:pPr>
    <w:rPr>
      <w:rFonts w:eastAsiaTheme="majorEastAsia" w:cstheme="majorBidi"/>
      <w:bCs/>
      <w:szCs w:val="26"/>
    </w:rPr>
  </w:style>
  <w:style w:type="paragraph" w:styleId="3">
    <w:name w:val="heading 3"/>
    <w:basedOn w:val="a"/>
    <w:next w:val="a"/>
    <w:link w:val="30"/>
    <w:unhideWhenUsed/>
    <w:qFormat/>
    <w:rsid w:val="00864B40"/>
    <w:pPr>
      <w:keepNext/>
      <w:keepLines/>
      <w:outlineLvl w:val="2"/>
    </w:pPr>
    <w:rPr>
      <w:rFonts w:eastAsiaTheme="majorEastAsia" w:cstheme="majorBidi"/>
      <w:bCs/>
      <w:sz w:val="28"/>
    </w:rPr>
  </w:style>
  <w:style w:type="paragraph" w:styleId="4">
    <w:name w:val="heading 4"/>
    <w:basedOn w:val="a"/>
    <w:next w:val="a"/>
    <w:link w:val="40"/>
    <w:uiPriority w:val="9"/>
    <w:unhideWhenUsed/>
    <w:qFormat/>
    <w:rsid w:val="00864B40"/>
    <w:pPr>
      <w:keepNext/>
      <w:keepLines/>
      <w:outlineLvl w:val="3"/>
    </w:pPr>
    <w:rPr>
      <w:rFonts w:eastAsiaTheme="majorEastAsia" w:cstheme="majorBidi"/>
      <w:bCs/>
      <w:iCs/>
      <w:color w:val="auto"/>
    </w:rPr>
  </w:style>
  <w:style w:type="paragraph" w:styleId="5">
    <w:name w:val="heading 5"/>
    <w:basedOn w:val="a"/>
    <w:next w:val="a"/>
    <w:link w:val="50"/>
    <w:uiPriority w:val="9"/>
    <w:unhideWhenUsed/>
    <w:qFormat/>
    <w:rsid w:val="00864B40"/>
    <w:pPr>
      <w:keepNext/>
      <w:keepLines/>
      <w:outlineLvl w:val="4"/>
    </w:pPr>
    <w:rPr>
      <w:rFonts w:eastAsiaTheme="majorEastAsia" w:cstheme="majorBidi"/>
      <w:color w:val="auto"/>
    </w:rPr>
  </w:style>
  <w:style w:type="paragraph" w:styleId="6">
    <w:name w:val="heading 6"/>
    <w:basedOn w:val="a"/>
    <w:next w:val="a"/>
    <w:link w:val="60"/>
    <w:uiPriority w:val="9"/>
    <w:unhideWhenUsed/>
    <w:qFormat/>
    <w:rsid w:val="00864B40"/>
    <w:pPr>
      <w:keepNext/>
      <w:keepLines/>
      <w:spacing w:before="40"/>
      <w:outlineLvl w:val="5"/>
    </w:pPr>
    <w:rPr>
      <w:rFonts w:eastAsiaTheme="majorEastAsia" w:cstheme="majorBidi"/>
      <w:color w:val="auto"/>
      <w:u w:val="single"/>
    </w:rPr>
  </w:style>
  <w:style w:type="paragraph" w:styleId="7">
    <w:name w:val="heading 7"/>
    <w:basedOn w:val="a"/>
    <w:next w:val="a"/>
    <w:link w:val="70"/>
    <w:uiPriority w:val="9"/>
    <w:unhideWhenUsed/>
    <w:qFormat/>
    <w:rsid w:val="00864B40"/>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64B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864B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B40"/>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864B40"/>
    <w:rPr>
      <w:rFonts w:ascii="Times New Roman" w:eastAsiaTheme="majorEastAsia" w:hAnsi="Times New Roman" w:cstheme="majorBidi"/>
      <w:bCs/>
      <w:color w:val="000000" w:themeColor="text1"/>
      <w:sz w:val="24"/>
      <w:szCs w:val="26"/>
    </w:rPr>
  </w:style>
  <w:style w:type="character" w:customStyle="1" w:styleId="30">
    <w:name w:val="Заголовок 3 Знак"/>
    <w:basedOn w:val="a0"/>
    <w:link w:val="3"/>
    <w:rsid w:val="00864B40"/>
    <w:rPr>
      <w:rFonts w:ascii="Times New Roman" w:eastAsiaTheme="majorEastAsia" w:hAnsi="Times New Roman" w:cstheme="majorBidi"/>
      <w:bCs/>
      <w:color w:val="000000" w:themeColor="text1"/>
      <w:sz w:val="28"/>
    </w:rPr>
  </w:style>
  <w:style w:type="character" w:customStyle="1" w:styleId="40">
    <w:name w:val="Заголовок 4 Знак"/>
    <w:basedOn w:val="a0"/>
    <w:link w:val="4"/>
    <w:uiPriority w:val="9"/>
    <w:rsid w:val="00864B40"/>
    <w:rPr>
      <w:rFonts w:ascii="Times New Roman" w:eastAsiaTheme="majorEastAsia" w:hAnsi="Times New Roman" w:cstheme="majorBidi"/>
      <w:bCs/>
      <w:iCs/>
      <w:sz w:val="24"/>
    </w:rPr>
  </w:style>
  <w:style w:type="character" w:customStyle="1" w:styleId="50">
    <w:name w:val="Заголовок 5 Знак"/>
    <w:basedOn w:val="a0"/>
    <w:link w:val="5"/>
    <w:uiPriority w:val="9"/>
    <w:rsid w:val="00864B40"/>
    <w:rPr>
      <w:rFonts w:ascii="Times New Roman" w:eastAsiaTheme="majorEastAsia" w:hAnsi="Times New Roman" w:cstheme="majorBidi"/>
      <w:sz w:val="24"/>
    </w:rPr>
  </w:style>
  <w:style w:type="character" w:customStyle="1" w:styleId="60">
    <w:name w:val="Заголовок 6 Знак"/>
    <w:basedOn w:val="a0"/>
    <w:link w:val="6"/>
    <w:uiPriority w:val="9"/>
    <w:rsid w:val="00864B40"/>
    <w:rPr>
      <w:rFonts w:ascii="Times New Roman" w:eastAsiaTheme="majorEastAsia" w:hAnsi="Times New Roman" w:cstheme="majorBidi"/>
      <w:sz w:val="24"/>
      <w:u w:val="single"/>
    </w:rPr>
  </w:style>
  <w:style w:type="character" w:customStyle="1" w:styleId="70">
    <w:name w:val="Заголовок 7 Знак"/>
    <w:basedOn w:val="a0"/>
    <w:link w:val="7"/>
    <w:uiPriority w:val="9"/>
    <w:rsid w:val="00864B40"/>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864B4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864B40"/>
    <w:rPr>
      <w:rFonts w:asciiTheme="majorHAnsi" w:eastAsiaTheme="majorEastAsia" w:hAnsiTheme="majorHAnsi" w:cstheme="majorBidi"/>
      <w:i/>
      <w:iCs/>
      <w:color w:val="272727" w:themeColor="text1" w:themeTint="D8"/>
      <w:sz w:val="21"/>
      <w:szCs w:val="21"/>
    </w:rPr>
  </w:style>
  <w:style w:type="character" w:styleId="a3">
    <w:name w:val="Strong"/>
    <w:basedOn w:val="a0"/>
    <w:uiPriority w:val="22"/>
    <w:qFormat/>
    <w:rsid w:val="00864B40"/>
    <w:rPr>
      <w:b/>
      <w:bCs/>
    </w:rPr>
  </w:style>
  <w:style w:type="character" w:styleId="a4">
    <w:name w:val="Emphasis"/>
    <w:basedOn w:val="a0"/>
    <w:uiPriority w:val="20"/>
    <w:qFormat/>
    <w:rsid w:val="00864B40"/>
    <w:rPr>
      <w:i/>
      <w:iCs/>
    </w:rPr>
  </w:style>
  <w:style w:type="paragraph" w:styleId="a5">
    <w:name w:val="No Spacing"/>
    <w:uiPriority w:val="1"/>
    <w:qFormat/>
    <w:rsid w:val="00864B40"/>
    <w:pPr>
      <w:spacing w:after="0" w:line="240" w:lineRule="auto"/>
    </w:pPr>
  </w:style>
  <w:style w:type="paragraph" w:styleId="a6">
    <w:name w:val="List Paragraph"/>
    <w:aliases w:val="ПАРАГРАФ,Подпись рисунка,Заголовок_3,Абзац списка5"/>
    <w:basedOn w:val="a"/>
    <w:link w:val="a7"/>
    <w:uiPriority w:val="34"/>
    <w:qFormat/>
    <w:rsid w:val="00864B40"/>
    <w:pPr>
      <w:ind w:left="720"/>
      <w:contextualSpacing/>
    </w:pPr>
  </w:style>
  <w:style w:type="character" w:customStyle="1" w:styleId="a7">
    <w:name w:val="Абзац списка Знак"/>
    <w:aliases w:val="ПАРАГРАФ Знак,Подпись рисунка Знак,Заголовок_3 Знак,Абзац списка5 Знак"/>
    <w:link w:val="a6"/>
    <w:uiPriority w:val="34"/>
    <w:locked/>
    <w:rsid w:val="00864B40"/>
    <w:rPr>
      <w:rFonts w:ascii="Times New Roman" w:hAnsi="Times New Roman"/>
      <w:color w:val="000000" w:themeColor="text1"/>
      <w:sz w:val="24"/>
    </w:rPr>
  </w:style>
  <w:style w:type="paragraph" w:customStyle="1" w:styleId="a8">
    <w:name w:val="Текст отчета"/>
    <w:basedOn w:val="a"/>
    <w:qFormat/>
    <w:rsid w:val="00864B40"/>
    <w:pPr>
      <w:widowControl w:val="0"/>
      <w:autoSpaceDE w:val="0"/>
      <w:autoSpaceDN w:val="0"/>
      <w:adjustRightInd w:val="0"/>
      <w:ind w:firstLine="851"/>
    </w:pPr>
    <w:rPr>
      <w:rFonts w:eastAsia="Times New Roman" w:cs="Times New Roman"/>
      <w:color w:val="auto"/>
      <w:szCs w:val="24"/>
      <w:lang w:eastAsia="ru-RU"/>
    </w:rPr>
  </w:style>
  <w:style w:type="paragraph" w:styleId="a9">
    <w:name w:val="Balloon Text"/>
    <w:basedOn w:val="a"/>
    <w:link w:val="aa"/>
    <w:uiPriority w:val="99"/>
    <w:semiHidden/>
    <w:unhideWhenUsed/>
    <w:rsid w:val="0074566C"/>
    <w:rPr>
      <w:rFonts w:ascii="Tahoma" w:hAnsi="Tahoma" w:cs="Tahoma"/>
      <w:sz w:val="16"/>
      <w:szCs w:val="16"/>
    </w:rPr>
  </w:style>
  <w:style w:type="character" w:customStyle="1" w:styleId="aa">
    <w:name w:val="Текст выноски Знак"/>
    <w:basedOn w:val="a0"/>
    <w:link w:val="a9"/>
    <w:uiPriority w:val="99"/>
    <w:semiHidden/>
    <w:rsid w:val="0074566C"/>
    <w:rPr>
      <w:rFonts w:ascii="Tahoma" w:hAnsi="Tahoma" w:cs="Tahoma"/>
      <w:color w:val="000000" w:themeColor="text1"/>
      <w:sz w:val="16"/>
      <w:szCs w:val="16"/>
    </w:rPr>
  </w:style>
  <w:style w:type="paragraph" w:styleId="ab">
    <w:name w:val="Title"/>
    <w:basedOn w:val="a"/>
    <w:link w:val="ac"/>
    <w:qFormat/>
    <w:rsid w:val="008531DB"/>
    <w:pPr>
      <w:keepNext/>
      <w:spacing w:after="240"/>
      <w:ind w:firstLine="0"/>
      <w:jc w:val="center"/>
    </w:pPr>
    <w:rPr>
      <w:rFonts w:ascii="Times New (W1)" w:eastAsia="Times New Roman" w:hAnsi="Times New (W1)" w:cs="Times New Roman"/>
      <w:b/>
      <w:bCs/>
      <w:caps/>
      <w:color w:val="auto"/>
      <w:szCs w:val="24"/>
      <w:lang w:eastAsia="ru-RU"/>
    </w:rPr>
  </w:style>
  <w:style w:type="character" w:customStyle="1" w:styleId="ac">
    <w:name w:val="Название Знак"/>
    <w:basedOn w:val="a0"/>
    <w:link w:val="ab"/>
    <w:rsid w:val="008531DB"/>
    <w:rPr>
      <w:rFonts w:ascii="Times New (W1)" w:eastAsia="Times New Roman" w:hAnsi="Times New (W1)" w:cs="Times New Roman"/>
      <w:b/>
      <w:bCs/>
      <w:caps/>
      <w:sz w:val="24"/>
      <w:szCs w:val="24"/>
      <w:lang w:eastAsia="ru-RU"/>
    </w:rPr>
  </w:style>
  <w:style w:type="paragraph" w:styleId="ad">
    <w:name w:val="header"/>
    <w:basedOn w:val="a"/>
    <w:link w:val="ae"/>
    <w:uiPriority w:val="99"/>
    <w:unhideWhenUsed/>
    <w:rsid w:val="00C0739D"/>
    <w:pPr>
      <w:tabs>
        <w:tab w:val="center" w:pos="4677"/>
        <w:tab w:val="right" w:pos="9355"/>
      </w:tabs>
    </w:pPr>
  </w:style>
  <w:style w:type="character" w:customStyle="1" w:styleId="ae">
    <w:name w:val="Верхний колонтитул Знак"/>
    <w:basedOn w:val="a0"/>
    <w:link w:val="ad"/>
    <w:uiPriority w:val="99"/>
    <w:rsid w:val="00C0739D"/>
    <w:rPr>
      <w:rFonts w:ascii="Times New Roman" w:hAnsi="Times New Roman"/>
      <w:color w:val="000000" w:themeColor="text1"/>
      <w:sz w:val="24"/>
    </w:rPr>
  </w:style>
  <w:style w:type="paragraph" w:styleId="af">
    <w:name w:val="footer"/>
    <w:basedOn w:val="a"/>
    <w:link w:val="af0"/>
    <w:uiPriority w:val="99"/>
    <w:unhideWhenUsed/>
    <w:rsid w:val="00C0739D"/>
    <w:pPr>
      <w:tabs>
        <w:tab w:val="center" w:pos="4677"/>
        <w:tab w:val="right" w:pos="9355"/>
      </w:tabs>
    </w:pPr>
  </w:style>
  <w:style w:type="character" w:customStyle="1" w:styleId="af0">
    <w:name w:val="Нижний колонтитул Знак"/>
    <w:basedOn w:val="a0"/>
    <w:link w:val="af"/>
    <w:uiPriority w:val="99"/>
    <w:rsid w:val="00C0739D"/>
    <w:rPr>
      <w:rFonts w:ascii="Times New Roman" w:hAnsi="Times New Roman"/>
      <w:color w:val="000000" w:themeColor="text1"/>
      <w:sz w:val="24"/>
    </w:rPr>
  </w:style>
  <w:style w:type="paragraph" w:customStyle="1" w:styleId="12">
    <w:name w:val="Основной12&lt;="/>
    <w:basedOn w:val="a"/>
    <w:rsid w:val="00DE040B"/>
    <w:pPr>
      <w:widowControl w:val="0"/>
      <w:spacing w:before="180"/>
      <w:ind w:firstLine="0"/>
    </w:pPr>
    <w:rPr>
      <w:rFonts w:eastAsia="Calibri" w:cs="Times New Roman"/>
      <w:color w:val="000000"/>
      <w:szCs w:val="28"/>
      <w:lang w:eastAsia="ru-RU"/>
    </w:rPr>
  </w:style>
  <w:style w:type="paragraph" w:customStyle="1" w:styleId="Referencelist">
    <w:name w:val="Reference list"/>
    <w:basedOn w:val="af1"/>
    <w:link w:val="ReferencelistChar"/>
    <w:uiPriority w:val="49"/>
    <w:qFormat/>
    <w:rsid w:val="0050519C"/>
    <w:pPr>
      <w:numPr>
        <w:numId w:val="4"/>
      </w:numPr>
      <w:spacing w:after="0" w:line="260" w:lineRule="atLeast"/>
      <w:contextualSpacing/>
    </w:pPr>
    <w:rPr>
      <w:rFonts w:eastAsia="Times New Roman" w:cs="Times New Roman"/>
      <w:color w:val="auto"/>
      <w:sz w:val="18"/>
      <w:szCs w:val="18"/>
      <w:lang w:val="en-GB"/>
    </w:rPr>
  </w:style>
  <w:style w:type="character" w:customStyle="1" w:styleId="ReferencelistChar">
    <w:name w:val="Reference list Char"/>
    <w:basedOn w:val="af2"/>
    <w:link w:val="Referencelist"/>
    <w:uiPriority w:val="49"/>
    <w:rsid w:val="0050519C"/>
    <w:rPr>
      <w:rFonts w:ascii="Times New Roman" w:eastAsia="Times New Roman" w:hAnsi="Times New Roman" w:cs="Times New Roman"/>
      <w:color w:val="000000" w:themeColor="text1"/>
      <w:sz w:val="18"/>
      <w:szCs w:val="18"/>
      <w:lang w:val="en-GB"/>
    </w:rPr>
  </w:style>
  <w:style w:type="paragraph" w:styleId="af1">
    <w:name w:val="Body Text"/>
    <w:basedOn w:val="a"/>
    <w:link w:val="af2"/>
    <w:uiPriority w:val="99"/>
    <w:semiHidden/>
    <w:unhideWhenUsed/>
    <w:rsid w:val="0050519C"/>
    <w:pPr>
      <w:spacing w:after="120"/>
    </w:pPr>
  </w:style>
  <w:style w:type="character" w:customStyle="1" w:styleId="af2">
    <w:name w:val="Основной текст Знак"/>
    <w:basedOn w:val="a0"/>
    <w:link w:val="af1"/>
    <w:uiPriority w:val="99"/>
    <w:semiHidden/>
    <w:rsid w:val="0050519C"/>
    <w:rPr>
      <w:rFonts w:ascii="Times New Roman" w:hAnsi="Times New Roman"/>
      <w:color w:val="000000" w:themeColor="text1"/>
      <w:sz w:val="24"/>
    </w:rPr>
  </w:style>
  <w:style w:type="paragraph" w:styleId="HTML">
    <w:name w:val="HTML Preformatted"/>
    <w:basedOn w:val="a"/>
    <w:link w:val="HTML0"/>
    <w:uiPriority w:val="99"/>
    <w:semiHidden/>
    <w:unhideWhenUsed/>
    <w:rsid w:val="00C9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semiHidden/>
    <w:rsid w:val="00C973B7"/>
    <w:rPr>
      <w:rFonts w:ascii="Courier New" w:eastAsia="Times New Roman" w:hAnsi="Courier New" w:cs="Courier New"/>
      <w:sz w:val="20"/>
      <w:szCs w:val="20"/>
      <w:lang w:eastAsia="ru-RU"/>
    </w:rPr>
  </w:style>
  <w:style w:type="character" w:styleId="af3">
    <w:name w:val="Hyperlink"/>
    <w:basedOn w:val="a0"/>
    <w:uiPriority w:val="99"/>
    <w:unhideWhenUsed/>
    <w:rsid w:val="00C973B7"/>
    <w:rPr>
      <w:color w:val="0000FF"/>
      <w:u w:val="single"/>
    </w:rPr>
  </w:style>
  <w:style w:type="character" w:customStyle="1" w:styleId="jlqj4b">
    <w:name w:val="jlqj4b"/>
    <w:basedOn w:val="a0"/>
    <w:rsid w:val="00CF2DE6"/>
  </w:style>
  <w:style w:type="character" w:customStyle="1" w:styleId="viiyi">
    <w:name w:val="viiyi"/>
    <w:basedOn w:val="a0"/>
    <w:rsid w:val="007D5E6E"/>
  </w:style>
  <w:style w:type="character" w:styleId="af4">
    <w:name w:val="annotation reference"/>
    <w:basedOn w:val="a0"/>
    <w:uiPriority w:val="99"/>
    <w:semiHidden/>
    <w:unhideWhenUsed/>
    <w:rsid w:val="00EC3F73"/>
    <w:rPr>
      <w:sz w:val="16"/>
      <w:szCs w:val="16"/>
    </w:rPr>
  </w:style>
  <w:style w:type="paragraph" w:styleId="af5">
    <w:name w:val="annotation text"/>
    <w:basedOn w:val="a"/>
    <w:link w:val="af6"/>
    <w:uiPriority w:val="99"/>
    <w:semiHidden/>
    <w:unhideWhenUsed/>
    <w:rsid w:val="00EC3F73"/>
    <w:rPr>
      <w:sz w:val="20"/>
      <w:szCs w:val="20"/>
    </w:rPr>
  </w:style>
  <w:style w:type="character" w:customStyle="1" w:styleId="af6">
    <w:name w:val="Текст примечания Знак"/>
    <w:basedOn w:val="a0"/>
    <w:link w:val="af5"/>
    <w:uiPriority w:val="99"/>
    <w:semiHidden/>
    <w:rsid w:val="00EC3F73"/>
    <w:rPr>
      <w:rFonts w:ascii="Times New Roman" w:hAnsi="Times New Roman"/>
      <w:color w:val="000000" w:themeColor="text1"/>
      <w:sz w:val="20"/>
      <w:szCs w:val="20"/>
    </w:rPr>
  </w:style>
  <w:style w:type="paragraph" w:styleId="af7">
    <w:name w:val="annotation subject"/>
    <w:basedOn w:val="af5"/>
    <w:next w:val="af5"/>
    <w:link w:val="af8"/>
    <w:uiPriority w:val="99"/>
    <w:semiHidden/>
    <w:unhideWhenUsed/>
    <w:rsid w:val="00EC3F73"/>
    <w:rPr>
      <w:b/>
      <w:bCs/>
    </w:rPr>
  </w:style>
  <w:style w:type="character" w:customStyle="1" w:styleId="af8">
    <w:name w:val="Тема примечания Знак"/>
    <w:basedOn w:val="af6"/>
    <w:link w:val="af7"/>
    <w:uiPriority w:val="99"/>
    <w:semiHidden/>
    <w:rsid w:val="00EC3F73"/>
    <w:rPr>
      <w:rFonts w:ascii="Times New Roman" w:hAnsi="Times New Roman"/>
      <w:b/>
      <w:bCs/>
      <w:color w:val="000000" w:themeColor="text1"/>
      <w:sz w:val="20"/>
      <w:szCs w:val="20"/>
    </w:rPr>
  </w:style>
  <w:style w:type="paragraph" w:styleId="af9">
    <w:name w:val="Revision"/>
    <w:hidden/>
    <w:uiPriority w:val="99"/>
    <w:semiHidden/>
    <w:rsid w:val="00EC3F73"/>
    <w:pPr>
      <w:spacing w:after="0" w:line="240" w:lineRule="auto"/>
    </w:pPr>
    <w:rPr>
      <w:rFonts w:ascii="Times New Roman" w:hAnsi="Times New Roman"/>
      <w:color w:val="000000" w:themeColor="text1"/>
      <w:sz w:val="24"/>
    </w:rPr>
  </w:style>
</w:styles>
</file>

<file path=word/webSettings.xml><?xml version="1.0" encoding="utf-8"?>
<w:webSettings xmlns:r="http://schemas.openxmlformats.org/officeDocument/2006/relationships" xmlns:w="http://schemas.openxmlformats.org/wordprocessingml/2006/main">
  <w:divs>
    <w:div w:id="444617752">
      <w:bodyDiv w:val="1"/>
      <w:marLeft w:val="0"/>
      <w:marRight w:val="0"/>
      <w:marTop w:val="0"/>
      <w:marBottom w:val="0"/>
      <w:divBdr>
        <w:top w:val="none" w:sz="0" w:space="0" w:color="auto"/>
        <w:left w:val="none" w:sz="0" w:space="0" w:color="auto"/>
        <w:bottom w:val="none" w:sz="0" w:space="0" w:color="auto"/>
        <w:right w:val="none" w:sz="0" w:space="0" w:color="auto"/>
      </w:divBdr>
    </w:div>
    <w:div w:id="552741780">
      <w:bodyDiv w:val="1"/>
      <w:marLeft w:val="0"/>
      <w:marRight w:val="0"/>
      <w:marTop w:val="0"/>
      <w:marBottom w:val="0"/>
      <w:divBdr>
        <w:top w:val="none" w:sz="0" w:space="0" w:color="auto"/>
        <w:left w:val="none" w:sz="0" w:space="0" w:color="auto"/>
        <w:bottom w:val="none" w:sz="0" w:space="0" w:color="auto"/>
        <w:right w:val="none" w:sz="0" w:space="0" w:color="auto"/>
      </w:divBdr>
    </w:div>
    <w:div w:id="1584535672">
      <w:bodyDiv w:val="1"/>
      <w:marLeft w:val="0"/>
      <w:marRight w:val="0"/>
      <w:marTop w:val="0"/>
      <w:marBottom w:val="0"/>
      <w:divBdr>
        <w:top w:val="none" w:sz="0" w:space="0" w:color="auto"/>
        <w:left w:val="none" w:sz="0" w:space="0" w:color="auto"/>
        <w:bottom w:val="none" w:sz="0" w:space="0" w:color="auto"/>
        <w:right w:val="none" w:sz="0" w:space="0" w:color="auto"/>
      </w:divBdr>
      <w:divsChild>
        <w:div w:id="119334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ucet.pensoft.net/issue/295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3728-B62E-4495-B2D3-CA3A0FF3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ВМ</dc:creator>
  <cp:lastModifiedBy>ВМ</cp:lastModifiedBy>
  <cp:revision>4</cp:revision>
  <cp:lastPrinted>2021-04-28T05:44:00Z</cp:lastPrinted>
  <dcterms:created xsi:type="dcterms:W3CDTF">2022-04-08T13:01:00Z</dcterms:created>
  <dcterms:modified xsi:type="dcterms:W3CDTF">2022-04-08T13:49:00Z</dcterms:modified>
</cp:coreProperties>
</file>