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589FB220" w:rsidR="00E20E70" w:rsidRPr="00C73D35" w:rsidRDefault="0093387B" w:rsidP="00537496">
      <w:pPr>
        <w:pStyle w:val="Heading1"/>
        <w:rPr>
          <w:color w:val="000000" w:themeColor="text1"/>
        </w:rPr>
      </w:pPr>
      <w:r w:rsidRPr="00C73D35">
        <w:rPr>
          <w:color w:val="000000" w:themeColor="text1"/>
        </w:rPr>
        <w:t>SAFETY ANALYSIS OF THE ARC-100</w:t>
      </w:r>
      <w:r w:rsidRPr="00C73D35">
        <w:rPr>
          <w:color w:val="000000" w:themeColor="text1"/>
        </w:rPr>
        <w:br/>
        <w:t>SODIUM-COOLED FAST REACTOR</w:t>
      </w:r>
    </w:p>
    <w:p w14:paraId="433FE03F" w14:textId="77777777" w:rsidR="00802381" w:rsidRPr="00C73D35" w:rsidRDefault="00802381" w:rsidP="00537496">
      <w:pPr>
        <w:pStyle w:val="Authornameandaffiliation"/>
        <w:rPr>
          <w:color w:val="000000" w:themeColor="text1"/>
        </w:rPr>
      </w:pPr>
    </w:p>
    <w:p w14:paraId="33AB0B7D" w14:textId="77777777" w:rsidR="0093387B" w:rsidRPr="00C06C29" w:rsidRDefault="0093387B" w:rsidP="0093387B">
      <w:pPr>
        <w:pStyle w:val="Authornameandaffiliation"/>
        <w:rPr>
          <w:color w:val="000000" w:themeColor="text1"/>
          <w:lang w:val="it-IT"/>
        </w:rPr>
      </w:pPr>
      <w:r w:rsidRPr="00C06C29">
        <w:rPr>
          <w:color w:val="000000" w:themeColor="text1"/>
          <w:lang w:val="it-IT"/>
        </w:rPr>
        <w:t>T. SUMNER</w:t>
      </w:r>
    </w:p>
    <w:p w14:paraId="43E47FDE" w14:textId="77777777" w:rsidR="0093387B" w:rsidRPr="00C06C29" w:rsidRDefault="0093387B" w:rsidP="0093387B">
      <w:pPr>
        <w:pStyle w:val="Authornameandaffiliation"/>
        <w:rPr>
          <w:color w:val="000000" w:themeColor="text1"/>
          <w:lang w:val="it-IT"/>
        </w:rPr>
      </w:pPr>
      <w:r w:rsidRPr="00C06C29">
        <w:rPr>
          <w:color w:val="000000" w:themeColor="text1"/>
          <w:lang w:val="it-IT"/>
        </w:rPr>
        <w:t>Argonne National Laboratory</w:t>
      </w:r>
    </w:p>
    <w:p w14:paraId="300A501A" w14:textId="77777777" w:rsidR="0093387B" w:rsidRPr="00C06C29" w:rsidRDefault="0093387B" w:rsidP="0093387B">
      <w:pPr>
        <w:pStyle w:val="Authornameandaffiliation"/>
        <w:rPr>
          <w:color w:val="000000" w:themeColor="text1"/>
          <w:lang w:val="it-IT"/>
        </w:rPr>
      </w:pPr>
      <w:r w:rsidRPr="00C06C29">
        <w:rPr>
          <w:color w:val="000000" w:themeColor="text1"/>
          <w:lang w:val="it-IT"/>
        </w:rPr>
        <w:t>Argonne, IL, USA</w:t>
      </w:r>
    </w:p>
    <w:p w14:paraId="16AFB0DE" w14:textId="77777777" w:rsidR="0093387B" w:rsidRPr="00C73D35" w:rsidRDefault="0093387B" w:rsidP="0093387B">
      <w:pPr>
        <w:pStyle w:val="Authornameandaffiliation"/>
        <w:rPr>
          <w:color w:val="000000" w:themeColor="text1"/>
        </w:rPr>
      </w:pPr>
      <w:r w:rsidRPr="00C73D35">
        <w:rPr>
          <w:color w:val="000000" w:themeColor="text1"/>
        </w:rPr>
        <w:t>Email: tsumner@anl.gov</w:t>
      </w:r>
    </w:p>
    <w:p w14:paraId="6D20E9B2" w14:textId="77777777" w:rsidR="0093387B" w:rsidRPr="00C73D35" w:rsidRDefault="0093387B" w:rsidP="0093387B">
      <w:pPr>
        <w:pStyle w:val="Authornameandaffiliation"/>
        <w:rPr>
          <w:color w:val="000000" w:themeColor="text1"/>
        </w:rPr>
      </w:pPr>
    </w:p>
    <w:p w14:paraId="22B24295" w14:textId="052D914B" w:rsidR="0093387B" w:rsidRPr="00C73D35" w:rsidRDefault="000F0E11" w:rsidP="000F0E11">
      <w:pPr>
        <w:pStyle w:val="Authornameandaffiliation"/>
        <w:rPr>
          <w:color w:val="000000" w:themeColor="text1"/>
        </w:rPr>
      </w:pPr>
      <w:r>
        <w:rPr>
          <w:color w:val="000000" w:themeColor="text1"/>
        </w:rPr>
        <w:t xml:space="preserve">A. </w:t>
      </w:r>
      <w:r w:rsidR="0093387B" w:rsidRPr="00C73D35">
        <w:rPr>
          <w:color w:val="000000" w:themeColor="text1"/>
        </w:rPr>
        <w:t>MOISSEYTSEV</w:t>
      </w:r>
    </w:p>
    <w:p w14:paraId="2BB11DC7" w14:textId="77777777" w:rsidR="0093387B" w:rsidRPr="00C73D35" w:rsidRDefault="0093387B" w:rsidP="0093387B">
      <w:pPr>
        <w:pStyle w:val="Authornameandaffiliation"/>
        <w:rPr>
          <w:color w:val="000000" w:themeColor="text1"/>
        </w:rPr>
      </w:pPr>
      <w:r w:rsidRPr="00C73D35">
        <w:rPr>
          <w:color w:val="000000" w:themeColor="text1"/>
        </w:rPr>
        <w:t>Argonne National Laboratory</w:t>
      </w:r>
    </w:p>
    <w:p w14:paraId="44D0385B" w14:textId="77777777" w:rsidR="0093387B" w:rsidRPr="00C73D35" w:rsidRDefault="0093387B" w:rsidP="0093387B">
      <w:pPr>
        <w:pStyle w:val="Authornameandaffiliation"/>
        <w:rPr>
          <w:color w:val="000000" w:themeColor="text1"/>
        </w:rPr>
      </w:pPr>
      <w:r w:rsidRPr="00C73D35">
        <w:rPr>
          <w:color w:val="000000" w:themeColor="text1"/>
        </w:rPr>
        <w:t>Argonne, IL, USA</w:t>
      </w:r>
    </w:p>
    <w:p w14:paraId="433FE048" w14:textId="77777777" w:rsidR="00FF386F" w:rsidRPr="00C73D35" w:rsidRDefault="00FF386F" w:rsidP="00537496">
      <w:pPr>
        <w:pStyle w:val="Authornameandaffiliation"/>
        <w:rPr>
          <w:color w:val="000000" w:themeColor="text1"/>
        </w:rPr>
      </w:pPr>
    </w:p>
    <w:p w14:paraId="433FE049" w14:textId="77777777" w:rsidR="00647F33" w:rsidRPr="00C73D35" w:rsidRDefault="00647F33" w:rsidP="00537496">
      <w:pPr>
        <w:pStyle w:val="Authornameandaffiliation"/>
        <w:rPr>
          <w:b/>
          <w:color w:val="000000" w:themeColor="text1"/>
        </w:rPr>
      </w:pPr>
      <w:r w:rsidRPr="00C73D35">
        <w:rPr>
          <w:b/>
          <w:color w:val="000000" w:themeColor="text1"/>
        </w:rPr>
        <w:t>Abstract</w:t>
      </w:r>
    </w:p>
    <w:p w14:paraId="433FE04A" w14:textId="77777777" w:rsidR="00647F33" w:rsidRPr="00C73D35" w:rsidRDefault="00647F33" w:rsidP="00537496">
      <w:pPr>
        <w:pStyle w:val="Authornameandaffiliation"/>
        <w:rPr>
          <w:color w:val="000000" w:themeColor="text1"/>
        </w:rPr>
      </w:pPr>
    </w:p>
    <w:p w14:paraId="433FE04B" w14:textId="20A286DE" w:rsidR="00647F33" w:rsidRPr="00C73D35" w:rsidRDefault="007B2395" w:rsidP="007B2395">
      <w:pPr>
        <w:pStyle w:val="Abstracttext"/>
        <w:jc w:val="both"/>
        <w:rPr>
          <w:color w:val="000000" w:themeColor="text1"/>
        </w:rPr>
      </w:pPr>
      <w:r w:rsidRPr="00C73D35">
        <w:rPr>
          <w:color w:val="000000" w:themeColor="text1"/>
        </w:rPr>
        <w:t>The ARC-100 is an innovative 100 MW</w:t>
      </w:r>
      <w:r w:rsidR="00327B78" w:rsidRPr="00C73D35">
        <w:rPr>
          <w:color w:val="000000" w:themeColor="text1"/>
        </w:rPr>
        <w:t>(e)</w:t>
      </w:r>
      <w:r w:rsidRPr="00C73D35">
        <w:rPr>
          <w:color w:val="000000" w:themeColor="text1"/>
        </w:rPr>
        <w:t xml:space="preserve"> sodium cooled fast reactor design being developed by Advanced Reactor Concepts, LLC. The safety design philosophy of the ARC-100 relies on passive safety, leveraging the safety characteristics of the metallic-fueled fast spectrum core, pool-type configuration with sodium coolant at atmospheric pressure, passive redundant decay heat removal by DRACS and RVACS, and engineering features such as the limited free bow core restraint system. To demonstrate and characterize the safety performance of the ARC-100 reactor, extremely low probability but potentially severe unprotected transients have been analyzed using the SAS4A/SASSYS-1 fast reactor safety analysis code. In all </w:t>
      </w:r>
      <w:r w:rsidR="00C204F9">
        <w:rPr>
          <w:color w:val="000000" w:themeColor="text1"/>
        </w:rPr>
        <w:t xml:space="preserve">considered </w:t>
      </w:r>
      <w:r w:rsidRPr="00C73D35">
        <w:rPr>
          <w:color w:val="000000" w:themeColor="text1"/>
        </w:rPr>
        <w:t>transients, it is assumed that the reactor protection system fails to respond to an initiating event, such that reactor power control is achieved by inherent reactivity feedbacks only. The results for all transients show that due to the passive characteristics of the ARC-100 reactor, large safety margins are maintained during these severe accidents, even without the support of the reactor protection system.</w:t>
      </w:r>
    </w:p>
    <w:p w14:paraId="433FE04C" w14:textId="77777777" w:rsidR="00647F33" w:rsidRPr="00C73D35" w:rsidRDefault="00F523CA" w:rsidP="00537496">
      <w:pPr>
        <w:pStyle w:val="Heading2"/>
        <w:numPr>
          <w:ilvl w:val="1"/>
          <w:numId w:val="10"/>
        </w:numPr>
        <w:rPr>
          <w:color w:val="000000" w:themeColor="text1"/>
        </w:rPr>
      </w:pPr>
      <w:r w:rsidRPr="00C73D35">
        <w:rPr>
          <w:color w:val="000000" w:themeColor="text1"/>
        </w:rPr>
        <w:t>INTRODUCTION</w:t>
      </w:r>
    </w:p>
    <w:p w14:paraId="1B3DBDC4" w14:textId="481BCC79" w:rsidR="004650A0" w:rsidRPr="00C73D35" w:rsidRDefault="007B2395" w:rsidP="007D5C60">
      <w:pPr>
        <w:pStyle w:val="BodyText"/>
        <w:tabs>
          <w:tab w:val="left" w:pos="1170"/>
        </w:tabs>
        <w:rPr>
          <w:color w:val="000000" w:themeColor="text1"/>
        </w:rPr>
      </w:pPr>
      <w:r w:rsidRPr="00C73D35">
        <w:rPr>
          <w:color w:val="000000" w:themeColor="text1"/>
        </w:rPr>
        <w:t>The ARC-100 is an innovative 100 MW</w:t>
      </w:r>
      <w:r w:rsidR="00327B78" w:rsidRPr="00C73D35">
        <w:rPr>
          <w:color w:val="000000" w:themeColor="text1"/>
        </w:rPr>
        <w:t>(</w:t>
      </w:r>
      <w:r w:rsidRPr="00C73D35">
        <w:rPr>
          <w:color w:val="000000" w:themeColor="text1"/>
        </w:rPr>
        <w:t>e</w:t>
      </w:r>
      <w:r w:rsidR="00327B78" w:rsidRPr="00C73D35">
        <w:rPr>
          <w:color w:val="000000" w:themeColor="text1"/>
        </w:rPr>
        <w:t>)</w:t>
      </w:r>
      <w:r w:rsidRPr="00C73D35">
        <w:rPr>
          <w:color w:val="000000" w:themeColor="text1"/>
        </w:rPr>
        <w:t xml:space="preserve"> sodium cooled fast reactor design being developed by Advanced Reactor Concepts (ARC), LLC</w:t>
      </w:r>
      <w:r w:rsidR="001177A8">
        <w:rPr>
          <w:color w:val="000000" w:themeColor="text1"/>
        </w:rPr>
        <w:t xml:space="preserve"> [1]</w:t>
      </w:r>
      <w:r w:rsidRPr="00C73D35">
        <w:rPr>
          <w:color w:val="000000" w:themeColor="text1"/>
        </w:rPr>
        <w:t xml:space="preserve">. The reactor employs a long-lived metallic-fueled core with low burnup reactivity swing, which facilitates citing in remote locations and/or small grids with minimal reactor maintenance during its lifetime. The safety design philosophy of the ARC-100 relies on passive safety, leveraging the safety characteristics of the metallic-fueled fast spectrum core, pool-type configuration with sodium coolant at atmospheric pressure, passive redundant decay heat removal by </w:t>
      </w:r>
      <w:r w:rsidR="005464E4" w:rsidRPr="00C73D35">
        <w:rPr>
          <w:color w:val="000000" w:themeColor="text1"/>
        </w:rPr>
        <w:t>direct reactor auxiliary cooling system (</w:t>
      </w:r>
      <w:r w:rsidRPr="00C73D35">
        <w:rPr>
          <w:color w:val="000000" w:themeColor="text1"/>
        </w:rPr>
        <w:t>DRACS</w:t>
      </w:r>
      <w:r w:rsidR="005464E4" w:rsidRPr="00C73D35">
        <w:rPr>
          <w:color w:val="000000" w:themeColor="text1"/>
        </w:rPr>
        <w:t>)</w:t>
      </w:r>
      <w:r w:rsidRPr="00C73D35">
        <w:rPr>
          <w:color w:val="000000" w:themeColor="text1"/>
        </w:rPr>
        <w:t xml:space="preserve"> and </w:t>
      </w:r>
      <w:r w:rsidR="005464E4" w:rsidRPr="00C73D35">
        <w:rPr>
          <w:color w:val="000000" w:themeColor="text1"/>
        </w:rPr>
        <w:t>reactor vessel auxiliary cooling system (</w:t>
      </w:r>
      <w:r w:rsidRPr="00C73D35">
        <w:rPr>
          <w:color w:val="000000" w:themeColor="text1"/>
        </w:rPr>
        <w:t>RVACS</w:t>
      </w:r>
      <w:r w:rsidR="005464E4" w:rsidRPr="00C73D35">
        <w:rPr>
          <w:color w:val="000000" w:themeColor="text1"/>
        </w:rPr>
        <w:t>)</w:t>
      </w:r>
      <w:r w:rsidRPr="00C73D35">
        <w:rPr>
          <w:color w:val="000000" w:themeColor="text1"/>
        </w:rPr>
        <w:t>, and engineering features such as the limited free bow core restraint system. The pool-type reactor configuration with a guard vessel, low-pressure coolant, and no penetrations in the reactor vessel below the vessel head precludes the entire class of loss-of-</w:t>
      </w:r>
      <w:r w:rsidR="00C204F9">
        <w:rPr>
          <w:color w:val="000000" w:themeColor="text1"/>
        </w:rPr>
        <w:t>primary-coolant</w:t>
      </w:r>
      <w:r w:rsidRPr="00C73D35">
        <w:rPr>
          <w:color w:val="000000" w:themeColor="text1"/>
        </w:rPr>
        <w:t xml:space="preserve"> accidents. </w:t>
      </w:r>
    </w:p>
    <w:p w14:paraId="596EC330" w14:textId="439A2570" w:rsidR="004650A0" w:rsidRPr="00C73D35" w:rsidRDefault="007B2395" w:rsidP="00537496">
      <w:pPr>
        <w:pStyle w:val="BodyText"/>
        <w:rPr>
          <w:color w:val="000000" w:themeColor="text1"/>
        </w:rPr>
      </w:pPr>
      <w:r w:rsidRPr="00C73D35">
        <w:rPr>
          <w:color w:val="000000" w:themeColor="text1"/>
        </w:rPr>
        <w:t xml:space="preserve">To demonstrate and characterize the safety performance of the ARC-100 reactor, extremely low probability but potentially severe unprotected transients </w:t>
      </w:r>
      <w:r w:rsidR="004650A0" w:rsidRPr="00C73D35">
        <w:rPr>
          <w:color w:val="000000" w:themeColor="text1"/>
        </w:rPr>
        <w:t>have been analyzed</w:t>
      </w:r>
      <w:r w:rsidRPr="00C73D35">
        <w:rPr>
          <w:color w:val="000000" w:themeColor="text1"/>
        </w:rPr>
        <w:t>. The work was performed using the SAS4A/SASSYS-1 safety analysis code for transient simulation of liquid metal-cooled fast reactors</w:t>
      </w:r>
      <w:r w:rsidR="004650A0" w:rsidRPr="00C73D35">
        <w:rPr>
          <w:color w:val="000000" w:themeColor="text1"/>
        </w:rPr>
        <w:t xml:space="preserve"> [</w:t>
      </w:r>
      <w:r w:rsidR="001177A8">
        <w:rPr>
          <w:color w:val="000000" w:themeColor="text1"/>
        </w:rPr>
        <w:t>2</w:t>
      </w:r>
      <w:r w:rsidR="004650A0" w:rsidRPr="00C73D35">
        <w:rPr>
          <w:color w:val="000000" w:themeColor="text1"/>
        </w:rPr>
        <w:t>]</w:t>
      </w:r>
      <w:r w:rsidRPr="00C73D35">
        <w:rPr>
          <w:color w:val="000000" w:themeColor="text1"/>
        </w:rPr>
        <w:t>. The paper presents the results and analysis of severe unprotected transients, including unprotected station blackout (USBO) with loss of power to all pumps,</w:t>
      </w:r>
      <w:r w:rsidR="0066439B" w:rsidRPr="00C73D35">
        <w:rPr>
          <w:color w:val="000000" w:themeColor="text1"/>
        </w:rPr>
        <w:t xml:space="preserve"> unprotected withdrawal of the most reactive control rod (transient overpower, UTOP), </w:t>
      </w:r>
      <w:r w:rsidRPr="00C73D35">
        <w:rPr>
          <w:color w:val="000000" w:themeColor="text1"/>
        </w:rPr>
        <w:t xml:space="preserve">and unprotected loss of heat sink (ULOHS) with a complete loss of heat removal by the balance-of-plant. </w:t>
      </w:r>
    </w:p>
    <w:p w14:paraId="2BE21F06" w14:textId="5B8D6235" w:rsidR="008B11C9" w:rsidRDefault="007B2395" w:rsidP="00C204F9">
      <w:pPr>
        <w:pStyle w:val="BodyText"/>
        <w:rPr>
          <w:color w:val="000000" w:themeColor="text1"/>
        </w:rPr>
      </w:pPr>
      <w:r w:rsidRPr="00C73D35">
        <w:rPr>
          <w:color w:val="000000" w:themeColor="text1"/>
        </w:rPr>
        <w:t>In all transients</w:t>
      </w:r>
      <w:r w:rsidR="00C204F9">
        <w:rPr>
          <w:color w:val="000000" w:themeColor="text1"/>
        </w:rPr>
        <w:t xml:space="preserve"> considered below</w:t>
      </w:r>
      <w:r w:rsidRPr="00C73D35">
        <w:rPr>
          <w:color w:val="000000" w:themeColor="text1"/>
        </w:rPr>
        <w:t>, it is assumed that the reactor protection system</w:t>
      </w:r>
      <w:r w:rsidR="00082782">
        <w:rPr>
          <w:color w:val="000000" w:themeColor="text1"/>
        </w:rPr>
        <w:t xml:space="preserve"> </w:t>
      </w:r>
      <w:r w:rsidRPr="00C73D35">
        <w:rPr>
          <w:color w:val="000000" w:themeColor="text1"/>
        </w:rPr>
        <w:t xml:space="preserve">fails to respond to an initiating event, such that reactor power control is achieved by inherent reactivity feedbacks only. </w:t>
      </w:r>
      <w:r w:rsidR="00082782">
        <w:rPr>
          <w:color w:val="000000" w:themeColor="text1"/>
        </w:rPr>
        <w:t xml:space="preserve">The reactor protection system is a highly reliable safety grade system and its assumed failure results in a very low expected frequency of occurrence. </w:t>
      </w:r>
    </w:p>
    <w:p w14:paraId="44CC10E5" w14:textId="77777777" w:rsidR="00327B78" w:rsidRPr="00C73D35" w:rsidRDefault="00327B78" w:rsidP="00327B78">
      <w:pPr>
        <w:pStyle w:val="Heading2"/>
        <w:numPr>
          <w:ilvl w:val="1"/>
          <w:numId w:val="10"/>
        </w:numPr>
        <w:rPr>
          <w:color w:val="000000" w:themeColor="text1"/>
        </w:rPr>
      </w:pPr>
      <w:r w:rsidRPr="00C73D35">
        <w:rPr>
          <w:color w:val="000000" w:themeColor="text1"/>
        </w:rPr>
        <w:t>Model Description</w:t>
      </w:r>
    </w:p>
    <w:p w14:paraId="63B0FCD4" w14:textId="778D363E" w:rsidR="00327B78" w:rsidRPr="00C73D35" w:rsidRDefault="00327B78" w:rsidP="00327B78">
      <w:pPr>
        <w:pStyle w:val="BodyText"/>
        <w:rPr>
          <w:color w:val="000000" w:themeColor="text1"/>
        </w:rPr>
      </w:pPr>
      <w:r w:rsidRPr="00C73D35">
        <w:rPr>
          <w:color w:val="000000" w:themeColor="text1"/>
        </w:rPr>
        <w:t xml:space="preserve">Transient simulations for the safety analyses were performed using the fast reactor safety analysis code SAS4A/SASSYS-1, Version 5.3. Table 1 summarizes the model </w:t>
      </w:r>
      <w:r w:rsidR="006F3832">
        <w:rPr>
          <w:color w:val="000000" w:themeColor="text1"/>
        </w:rPr>
        <w:t>conditions</w:t>
      </w:r>
      <w:r w:rsidRPr="00C73D35">
        <w:rPr>
          <w:color w:val="000000" w:themeColor="text1"/>
        </w:rPr>
        <w:t xml:space="preserve"> at steady-state for </w:t>
      </w:r>
      <w:r w:rsidR="00A524BF" w:rsidRPr="00C73D35">
        <w:rPr>
          <w:color w:val="000000" w:themeColor="text1"/>
        </w:rPr>
        <w:t>beginning- (BOL), middle- (MOL), and end-of-life</w:t>
      </w:r>
      <w:r w:rsidRPr="00C73D35">
        <w:rPr>
          <w:color w:val="000000" w:themeColor="text1"/>
        </w:rPr>
        <w:t xml:space="preserve"> </w:t>
      </w:r>
      <w:r w:rsidR="00A524BF" w:rsidRPr="00C73D35">
        <w:rPr>
          <w:color w:val="000000" w:themeColor="text1"/>
        </w:rPr>
        <w:t xml:space="preserve">(EOL) </w:t>
      </w:r>
      <w:r w:rsidRPr="00C73D35">
        <w:rPr>
          <w:color w:val="000000" w:themeColor="text1"/>
        </w:rPr>
        <w:t>conditions. The SAS4A/SASSYS-1 model of the ARC-100 core, primary and intermediate heat transport systems, and DRACS and RVACS decay heat removal systems is presented below.</w:t>
      </w:r>
    </w:p>
    <w:p w14:paraId="0DEB9DFF" w14:textId="77777777" w:rsidR="00327B78" w:rsidRPr="00C73D35" w:rsidRDefault="00327B78" w:rsidP="00327B78">
      <w:pPr>
        <w:pStyle w:val="BodyText"/>
        <w:rPr>
          <w:color w:val="000000" w:themeColor="text1"/>
        </w:rPr>
      </w:pPr>
    </w:p>
    <w:p w14:paraId="0EFA557F" w14:textId="1417EC5B" w:rsidR="00327B78" w:rsidRPr="00C73D35" w:rsidRDefault="00327B78" w:rsidP="00327B78">
      <w:pPr>
        <w:pStyle w:val="BodyText"/>
        <w:ind w:firstLine="0"/>
        <w:rPr>
          <w:color w:val="000000" w:themeColor="text1"/>
        </w:rPr>
      </w:pPr>
      <w:r w:rsidRPr="00C73D35">
        <w:rPr>
          <w:color w:val="000000" w:themeColor="text1"/>
        </w:rPr>
        <w:lastRenderedPageBreak/>
        <w:t>TABLE 1.</w:t>
      </w:r>
      <w:r w:rsidRPr="00C73D35">
        <w:rPr>
          <w:color w:val="000000" w:themeColor="text1"/>
        </w:rPr>
        <w:tab/>
        <w:t xml:space="preserve">NOMINAL STEADY-STATE MODEL </w:t>
      </w:r>
      <w:r w:rsidR="006F3832">
        <w:rPr>
          <w:color w:val="000000" w:themeColor="text1"/>
        </w:rPr>
        <w:t>CONDITIONS</w:t>
      </w:r>
      <w:r w:rsidRPr="00C73D35">
        <w:rPr>
          <w:color w:val="000000" w:themeColor="text1"/>
        </w:rPr>
        <w:t xml:space="preserve"> </w:t>
      </w:r>
    </w:p>
    <w:p w14:paraId="34AEA24F" w14:textId="77777777" w:rsidR="00327B78" w:rsidRPr="00C73D35" w:rsidRDefault="00327B78" w:rsidP="00327B78">
      <w:pPr>
        <w:pStyle w:val="BodyText"/>
        <w:rPr>
          <w:color w:val="000000" w:themeColor="text1"/>
        </w:rPr>
      </w:pPr>
    </w:p>
    <w:tbl>
      <w:tblPr>
        <w:tblStyle w:val="TableGrid"/>
        <w:tblW w:w="0" w:type="auto"/>
        <w:jc w:val="center"/>
        <w:tblLook w:val="04A0" w:firstRow="1" w:lastRow="0" w:firstColumn="1" w:lastColumn="0" w:noHBand="0" w:noVBand="1"/>
      </w:tblPr>
      <w:tblGrid>
        <w:gridCol w:w="3756"/>
        <w:gridCol w:w="1868"/>
      </w:tblGrid>
      <w:tr w:rsidR="00327B78" w:rsidRPr="00C73D35" w14:paraId="33FFC214" w14:textId="77777777" w:rsidTr="00765B9B">
        <w:trPr>
          <w:jc w:val="center"/>
        </w:trPr>
        <w:tc>
          <w:tcPr>
            <w:tcW w:w="3756" w:type="dxa"/>
            <w:tcBorders>
              <w:top w:val="single" w:sz="4" w:space="0" w:color="auto"/>
              <w:left w:val="nil"/>
              <w:bottom w:val="single" w:sz="4" w:space="0" w:color="auto"/>
              <w:right w:val="nil"/>
            </w:tcBorders>
          </w:tcPr>
          <w:p w14:paraId="2A957AE1" w14:textId="77777777" w:rsidR="00327B78" w:rsidRPr="00765B9B" w:rsidRDefault="00327B78" w:rsidP="00765B9B">
            <w:pPr>
              <w:pStyle w:val="BodyText"/>
              <w:keepNext/>
              <w:keepLines/>
              <w:spacing w:line="200" w:lineRule="atLeast"/>
              <w:ind w:firstLine="0"/>
              <w:jc w:val="left"/>
              <w:rPr>
                <w:color w:val="000000" w:themeColor="text1"/>
                <w:sz w:val="18"/>
                <w:szCs w:val="18"/>
              </w:rPr>
            </w:pPr>
            <w:r w:rsidRPr="00765B9B">
              <w:rPr>
                <w:color w:val="000000" w:themeColor="text1"/>
                <w:sz w:val="18"/>
                <w:szCs w:val="18"/>
              </w:rPr>
              <w:t>Parameter</w:t>
            </w:r>
          </w:p>
        </w:tc>
        <w:tc>
          <w:tcPr>
            <w:tcW w:w="1868" w:type="dxa"/>
            <w:tcBorders>
              <w:top w:val="single" w:sz="4" w:space="0" w:color="auto"/>
              <w:left w:val="nil"/>
              <w:bottom w:val="single" w:sz="4" w:space="0" w:color="auto"/>
              <w:right w:val="nil"/>
            </w:tcBorders>
          </w:tcPr>
          <w:p w14:paraId="4397DCD5" w14:textId="77777777" w:rsidR="00327B78" w:rsidRPr="00765B9B" w:rsidRDefault="00327B78" w:rsidP="00765B9B">
            <w:pPr>
              <w:pStyle w:val="BodyText"/>
              <w:keepNext/>
              <w:keepLines/>
              <w:spacing w:line="200" w:lineRule="atLeast"/>
              <w:ind w:firstLine="0"/>
              <w:jc w:val="center"/>
              <w:rPr>
                <w:color w:val="000000" w:themeColor="text1"/>
                <w:sz w:val="18"/>
                <w:szCs w:val="18"/>
              </w:rPr>
            </w:pPr>
            <w:r w:rsidRPr="00765B9B">
              <w:rPr>
                <w:color w:val="000000" w:themeColor="text1"/>
                <w:sz w:val="18"/>
                <w:szCs w:val="18"/>
              </w:rPr>
              <w:t>Value</w:t>
            </w:r>
          </w:p>
        </w:tc>
      </w:tr>
      <w:tr w:rsidR="00327B78" w:rsidRPr="00C73D35" w14:paraId="33D9EF78" w14:textId="77777777" w:rsidTr="00765B9B">
        <w:trPr>
          <w:jc w:val="center"/>
        </w:trPr>
        <w:tc>
          <w:tcPr>
            <w:tcW w:w="3756" w:type="dxa"/>
            <w:tcBorders>
              <w:top w:val="single" w:sz="4" w:space="0" w:color="auto"/>
              <w:left w:val="nil"/>
              <w:bottom w:val="nil"/>
              <w:right w:val="nil"/>
            </w:tcBorders>
          </w:tcPr>
          <w:p w14:paraId="75C545EA" w14:textId="77777777" w:rsidR="00327B78" w:rsidRPr="00765B9B" w:rsidRDefault="00327B78" w:rsidP="00765B9B">
            <w:pPr>
              <w:pStyle w:val="BodyText"/>
              <w:keepNext/>
              <w:keepLines/>
              <w:spacing w:line="200" w:lineRule="atLeast"/>
              <w:ind w:firstLine="0"/>
              <w:jc w:val="left"/>
              <w:rPr>
                <w:color w:val="000000" w:themeColor="text1"/>
                <w:sz w:val="18"/>
                <w:szCs w:val="18"/>
              </w:rPr>
            </w:pPr>
            <w:r w:rsidRPr="00765B9B">
              <w:rPr>
                <w:color w:val="000000" w:themeColor="text1"/>
                <w:sz w:val="18"/>
                <w:szCs w:val="18"/>
              </w:rPr>
              <w:t>Core Power</w:t>
            </w:r>
          </w:p>
        </w:tc>
        <w:tc>
          <w:tcPr>
            <w:tcW w:w="1868" w:type="dxa"/>
            <w:tcBorders>
              <w:top w:val="single" w:sz="4" w:space="0" w:color="auto"/>
              <w:left w:val="nil"/>
              <w:bottom w:val="nil"/>
              <w:right w:val="nil"/>
            </w:tcBorders>
          </w:tcPr>
          <w:p w14:paraId="2C181B3E" w14:textId="30704E7A" w:rsidR="00327B78" w:rsidRPr="00765B9B" w:rsidRDefault="00327B78" w:rsidP="00765B9B">
            <w:pPr>
              <w:pStyle w:val="BodyText"/>
              <w:keepNext/>
              <w:keepLines/>
              <w:spacing w:line="200" w:lineRule="atLeast"/>
              <w:ind w:firstLine="0"/>
              <w:jc w:val="center"/>
              <w:rPr>
                <w:color w:val="000000" w:themeColor="text1"/>
                <w:sz w:val="18"/>
                <w:szCs w:val="18"/>
              </w:rPr>
            </w:pPr>
            <w:r w:rsidRPr="00765B9B">
              <w:rPr>
                <w:color w:val="000000" w:themeColor="text1"/>
                <w:sz w:val="18"/>
                <w:szCs w:val="18"/>
              </w:rPr>
              <w:t xml:space="preserve">286 </w:t>
            </w:r>
            <w:proofErr w:type="gramStart"/>
            <w:r w:rsidRPr="00765B9B">
              <w:rPr>
                <w:color w:val="000000" w:themeColor="text1"/>
                <w:sz w:val="18"/>
                <w:szCs w:val="18"/>
              </w:rPr>
              <w:t>MW(</w:t>
            </w:r>
            <w:proofErr w:type="spellStart"/>
            <w:proofErr w:type="gramEnd"/>
            <w:r w:rsidRPr="00765B9B">
              <w:rPr>
                <w:color w:val="000000" w:themeColor="text1"/>
                <w:sz w:val="18"/>
                <w:szCs w:val="18"/>
              </w:rPr>
              <w:t>th</w:t>
            </w:r>
            <w:proofErr w:type="spellEnd"/>
            <w:r w:rsidRPr="00765B9B">
              <w:rPr>
                <w:color w:val="000000" w:themeColor="text1"/>
                <w:sz w:val="18"/>
                <w:szCs w:val="18"/>
              </w:rPr>
              <w:t>)</w:t>
            </w:r>
          </w:p>
        </w:tc>
      </w:tr>
      <w:tr w:rsidR="00327B78" w:rsidRPr="00C73D35" w14:paraId="65B659DF" w14:textId="77777777" w:rsidTr="00765B9B">
        <w:trPr>
          <w:jc w:val="center"/>
        </w:trPr>
        <w:tc>
          <w:tcPr>
            <w:tcW w:w="3756" w:type="dxa"/>
            <w:tcBorders>
              <w:top w:val="nil"/>
              <w:left w:val="nil"/>
              <w:bottom w:val="nil"/>
              <w:right w:val="nil"/>
            </w:tcBorders>
          </w:tcPr>
          <w:p w14:paraId="4AC48F2E" w14:textId="77777777" w:rsidR="00327B78" w:rsidRPr="00765B9B" w:rsidRDefault="00327B78" w:rsidP="00765B9B">
            <w:pPr>
              <w:pStyle w:val="BodyText"/>
              <w:keepNext/>
              <w:keepLines/>
              <w:spacing w:line="200" w:lineRule="atLeast"/>
              <w:ind w:firstLine="0"/>
              <w:jc w:val="left"/>
              <w:rPr>
                <w:color w:val="000000" w:themeColor="text1"/>
                <w:sz w:val="18"/>
                <w:szCs w:val="18"/>
              </w:rPr>
            </w:pPr>
            <w:r w:rsidRPr="00765B9B">
              <w:rPr>
                <w:color w:val="000000" w:themeColor="text1"/>
                <w:sz w:val="18"/>
                <w:szCs w:val="18"/>
              </w:rPr>
              <w:t>Core Inlet Temperature</w:t>
            </w:r>
          </w:p>
        </w:tc>
        <w:tc>
          <w:tcPr>
            <w:tcW w:w="1868" w:type="dxa"/>
            <w:tcBorders>
              <w:top w:val="nil"/>
              <w:left w:val="nil"/>
              <w:bottom w:val="nil"/>
              <w:right w:val="nil"/>
            </w:tcBorders>
          </w:tcPr>
          <w:p w14:paraId="71B5C793" w14:textId="641366C0" w:rsidR="00327B78" w:rsidRPr="00765B9B" w:rsidRDefault="00327B78" w:rsidP="00765B9B">
            <w:pPr>
              <w:pStyle w:val="BodyText"/>
              <w:keepNext/>
              <w:keepLines/>
              <w:spacing w:line="200" w:lineRule="atLeast"/>
              <w:ind w:firstLine="0"/>
              <w:jc w:val="center"/>
              <w:rPr>
                <w:color w:val="000000" w:themeColor="text1"/>
                <w:sz w:val="18"/>
                <w:szCs w:val="18"/>
              </w:rPr>
            </w:pPr>
            <w:r w:rsidRPr="00765B9B">
              <w:rPr>
                <w:color w:val="000000" w:themeColor="text1"/>
                <w:sz w:val="18"/>
                <w:szCs w:val="18"/>
              </w:rPr>
              <w:t>35</w:t>
            </w:r>
            <w:r w:rsidR="00A524BF" w:rsidRPr="00765B9B">
              <w:rPr>
                <w:color w:val="000000" w:themeColor="text1"/>
                <w:sz w:val="18"/>
                <w:szCs w:val="18"/>
              </w:rPr>
              <w:t>5</w:t>
            </w:r>
            <w:r w:rsidRPr="00765B9B">
              <w:rPr>
                <w:color w:val="000000" w:themeColor="text1"/>
                <w:sz w:val="18"/>
                <w:szCs w:val="18"/>
              </w:rPr>
              <w:t>°C</w:t>
            </w:r>
          </w:p>
        </w:tc>
      </w:tr>
      <w:tr w:rsidR="00327B78" w:rsidRPr="00C73D35" w14:paraId="5CF1544B" w14:textId="77777777" w:rsidTr="00765B9B">
        <w:trPr>
          <w:jc w:val="center"/>
        </w:trPr>
        <w:tc>
          <w:tcPr>
            <w:tcW w:w="3756" w:type="dxa"/>
            <w:tcBorders>
              <w:top w:val="nil"/>
              <w:left w:val="nil"/>
              <w:bottom w:val="nil"/>
              <w:right w:val="nil"/>
            </w:tcBorders>
          </w:tcPr>
          <w:p w14:paraId="1FA2A970" w14:textId="77777777" w:rsidR="00327B78" w:rsidRPr="00765B9B" w:rsidRDefault="00327B78" w:rsidP="00765B9B">
            <w:pPr>
              <w:pStyle w:val="BodyText"/>
              <w:keepNext/>
              <w:keepLines/>
              <w:spacing w:line="200" w:lineRule="atLeast"/>
              <w:ind w:firstLine="0"/>
              <w:jc w:val="left"/>
              <w:rPr>
                <w:color w:val="000000" w:themeColor="text1"/>
                <w:sz w:val="18"/>
                <w:szCs w:val="18"/>
              </w:rPr>
            </w:pPr>
            <w:r w:rsidRPr="00765B9B">
              <w:rPr>
                <w:color w:val="000000" w:themeColor="text1"/>
                <w:sz w:val="18"/>
                <w:szCs w:val="18"/>
              </w:rPr>
              <w:t>Core Outlet Temperature</w:t>
            </w:r>
          </w:p>
        </w:tc>
        <w:tc>
          <w:tcPr>
            <w:tcW w:w="1868" w:type="dxa"/>
            <w:tcBorders>
              <w:top w:val="nil"/>
              <w:left w:val="nil"/>
              <w:bottom w:val="nil"/>
              <w:right w:val="nil"/>
            </w:tcBorders>
          </w:tcPr>
          <w:p w14:paraId="3E4AF6F8" w14:textId="2B926FE9" w:rsidR="00327B78" w:rsidRPr="00765B9B" w:rsidRDefault="00327B78" w:rsidP="00765B9B">
            <w:pPr>
              <w:pStyle w:val="BodyText"/>
              <w:keepNext/>
              <w:keepLines/>
              <w:spacing w:line="200" w:lineRule="atLeast"/>
              <w:ind w:firstLine="0"/>
              <w:jc w:val="center"/>
              <w:rPr>
                <w:color w:val="000000" w:themeColor="text1"/>
                <w:sz w:val="18"/>
                <w:szCs w:val="18"/>
              </w:rPr>
            </w:pPr>
            <w:r w:rsidRPr="00765B9B">
              <w:rPr>
                <w:color w:val="000000" w:themeColor="text1"/>
                <w:sz w:val="18"/>
                <w:szCs w:val="18"/>
              </w:rPr>
              <w:t>5</w:t>
            </w:r>
            <w:r w:rsidR="00A524BF" w:rsidRPr="00765B9B">
              <w:rPr>
                <w:color w:val="000000" w:themeColor="text1"/>
                <w:sz w:val="18"/>
                <w:szCs w:val="18"/>
              </w:rPr>
              <w:t>1</w:t>
            </w:r>
            <w:r w:rsidRPr="00765B9B">
              <w:rPr>
                <w:color w:val="000000" w:themeColor="text1"/>
                <w:sz w:val="18"/>
                <w:szCs w:val="18"/>
              </w:rPr>
              <w:t>0°C</w:t>
            </w:r>
          </w:p>
        </w:tc>
      </w:tr>
      <w:tr w:rsidR="00327B78" w:rsidRPr="00C73D35" w14:paraId="4F22D85D" w14:textId="77777777" w:rsidTr="00765B9B">
        <w:trPr>
          <w:jc w:val="center"/>
        </w:trPr>
        <w:tc>
          <w:tcPr>
            <w:tcW w:w="3756" w:type="dxa"/>
            <w:tcBorders>
              <w:top w:val="nil"/>
              <w:left w:val="nil"/>
              <w:bottom w:val="nil"/>
              <w:right w:val="nil"/>
            </w:tcBorders>
          </w:tcPr>
          <w:p w14:paraId="313BB709" w14:textId="1DFB2155" w:rsidR="00327B78" w:rsidRPr="00765B9B" w:rsidRDefault="00327B78" w:rsidP="00765B9B">
            <w:pPr>
              <w:pStyle w:val="BodyText"/>
              <w:keepNext/>
              <w:keepLines/>
              <w:spacing w:line="200" w:lineRule="atLeast"/>
              <w:ind w:firstLine="0"/>
              <w:jc w:val="left"/>
              <w:rPr>
                <w:color w:val="000000" w:themeColor="text1"/>
                <w:sz w:val="18"/>
                <w:szCs w:val="18"/>
              </w:rPr>
            </w:pPr>
            <w:r w:rsidRPr="00765B9B">
              <w:rPr>
                <w:color w:val="000000" w:themeColor="text1"/>
                <w:sz w:val="18"/>
                <w:szCs w:val="18"/>
              </w:rPr>
              <w:t>Peak Fuel Temperature at BO</w:t>
            </w:r>
            <w:r w:rsidR="001C368C" w:rsidRPr="00765B9B">
              <w:rPr>
                <w:color w:val="000000" w:themeColor="text1"/>
                <w:sz w:val="18"/>
                <w:szCs w:val="18"/>
              </w:rPr>
              <w:t>L/MOL</w:t>
            </w:r>
            <w:r w:rsidRPr="00765B9B">
              <w:rPr>
                <w:color w:val="000000" w:themeColor="text1"/>
                <w:sz w:val="18"/>
                <w:szCs w:val="18"/>
              </w:rPr>
              <w:t>/EO</w:t>
            </w:r>
            <w:r w:rsidR="001C368C" w:rsidRPr="00765B9B">
              <w:rPr>
                <w:color w:val="000000" w:themeColor="text1"/>
                <w:sz w:val="18"/>
                <w:szCs w:val="18"/>
              </w:rPr>
              <w:t>L</w:t>
            </w:r>
          </w:p>
        </w:tc>
        <w:tc>
          <w:tcPr>
            <w:tcW w:w="1868" w:type="dxa"/>
            <w:tcBorders>
              <w:top w:val="nil"/>
              <w:left w:val="nil"/>
              <w:bottom w:val="nil"/>
              <w:right w:val="nil"/>
            </w:tcBorders>
            <w:shd w:val="clear" w:color="auto" w:fill="auto"/>
          </w:tcPr>
          <w:p w14:paraId="5AE99C6D" w14:textId="20D24822" w:rsidR="00327B78" w:rsidRPr="00765B9B" w:rsidRDefault="00063BF2" w:rsidP="00765B9B">
            <w:pPr>
              <w:pStyle w:val="BodyText"/>
              <w:keepNext/>
              <w:keepLines/>
              <w:spacing w:line="200" w:lineRule="atLeast"/>
              <w:ind w:firstLine="0"/>
              <w:jc w:val="center"/>
              <w:rPr>
                <w:color w:val="000000" w:themeColor="text1"/>
                <w:sz w:val="18"/>
                <w:szCs w:val="18"/>
              </w:rPr>
            </w:pPr>
            <w:r w:rsidRPr="00765B9B">
              <w:rPr>
                <w:color w:val="000000" w:themeColor="text1"/>
                <w:sz w:val="18"/>
                <w:szCs w:val="18"/>
              </w:rPr>
              <w:t>560</w:t>
            </w:r>
            <w:r w:rsidR="00327B78" w:rsidRPr="00765B9B">
              <w:rPr>
                <w:color w:val="000000" w:themeColor="text1"/>
                <w:sz w:val="18"/>
                <w:szCs w:val="18"/>
              </w:rPr>
              <w:t>°C/</w:t>
            </w:r>
            <w:r w:rsidRPr="00765B9B">
              <w:rPr>
                <w:color w:val="000000" w:themeColor="text1"/>
                <w:sz w:val="18"/>
                <w:szCs w:val="18"/>
              </w:rPr>
              <w:t>575</w:t>
            </w:r>
            <w:r w:rsidR="00327B78" w:rsidRPr="00765B9B">
              <w:rPr>
                <w:color w:val="000000" w:themeColor="text1"/>
                <w:sz w:val="18"/>
                <w:szCs w:val="18"/>
              </w:rPr>
              <w:t>°C</w:t>
            </w:r>
            <w:r w:rsidRPr="00765B9B">
              <w:rPr>
                <w:color w:val="000000" w:themeColor="text1"/>
                <w:sz w:val="18"/>
                <w:szCs w:val="18"/>
              </w:rPr>
              <w:t>/586°C</w:t>
            </w:r>
          </w:p>
        </w:tc>
      </w:tr>
      <w:tr w:rsidR="00327B78" w:rsidRPr="00C73D35" w14:paraId="33622C7A" w14:textId="77777777" w:rsidTr="00765B9B">
        <w:trPr>
          <w:jc w:val="center"/>
        </w:trPr>
        <w:tc>
          <w:tcPr>
            <w:tcW w:w="3756" w:type="dxa"/>
            <w:tcBorders>
              <w:top w:val="nil"/>
              <w:left w:val="nil"/>
              <w:bottom w:val="nil"/>
              <w:right w:val="nil"/>
            </w:tcBorders>
          </w:tcPr>
          <w:p w14:paraId="06D34EAA" w14:textId="7B2870CA" w:rsidR="00327B78" w:rsidRPr="00765B9B" w:rsidRDefault="00327B78" w:rsidP="00765B9B">
            <w:pPr>
              <w:pStyle w:val="BodyText"/>
              <w:keepNext/>
              <w:keepLines/>
              <w:spacing w:line="200" w:lineRule="atLeast"/>
              <w:ind w:firstLine="0"/>
              <w:jc w:val="left"/>
              <w:rPr>
                <w:color w:val="000000" w:themeColor="text1"/>
                <w:sz w:val="18"/>
                <w:szCs w:val="18"/>
              </w:rPr>
            </w:pPr>
            <w:r w:rsidRPr="00765B9B">
              <w:rPr>
                <w:color w:val="000000" w:themeColor="text1"/>
                <w:sz w:val="18"/>
                <w:szCs w:val="18"/>
              </w:rPr>
              <w:t xml:space="preserve">Peak Cladding Temperature at </w:t>
            </w:r>
            <w:r w:rsidR="001C368C" w:rsidRPr="00765B9B">
              <w:rPr>
                <w:color w:val="000000" w:themeColor="text1"/>
                <w:sz w:val="18"/>
                <w:szCs w:val="18"/>
              </w:rPr>
              <w:t>BOL/MOL/EOL</w:t>
            </w:r>
          </w:p>
        </w:tc>
        <w:tc>
          <w:tcPr>
            <w:tcW w:w="1868" w:type="dxa"/>
            <w:tcBorders>
              <w:top w:val="nil"/>
              <w:left w:val="nil"/>
              <w:bottom w:val="nil"/>
              <w:right w:val="nil"/>
            </w:tcBorders>
            <w:shd w:val="clear" w:color="auto" w:fill="auto"/>
          </w:tcPr>
          <w:p w14:paraId="737D924B" w14:textId="18503CB2" w:rsidR="00327B78" w:rsidRPr="00765B9B" w:rsidRDefault="00327B78" w:rsidP="00765B9B">
            <w:pPr>
              <w:pStyle w:val="BodyText"/>
              <w:keepNext/>
              <w:keepLines/>
              <w:spacing w:line="200" w:lineRule="atLeast"/>
              <w:ind w:firstLine="0"/>
              <w:jc w:val="center"/>
              <w:rPr>
                <w:color w:val="000000" w:themeColor="text1"/>
                <w:sz w:val="18"/>
                <w:szCs w:val="18"/>
              </w:rPr>
            </w:pPr>
            <w:r w:rsidRPr="00765B9B">
              <w:rPr>
                <w:color w:val="000000" w:themeColor="text1"/>
                <w:sz w:val="18"/>
                <w:szCs w:val="18"/>
              </w:rPr>
              <w:t>5</w:t>
            </w:r>
            <w:r w:rsidR="00063BF2" w:rsidRPr="00765B9B">
              <w:rPr>
                <w:color w:val="000000" w:themeColor="text1"/>
                <w:sz w:val="18"/>
                <w:szCs w:val="18"/>
              </w:rPr>
              <w:t>48</w:t>
            </w:r>
            <w:r w:rsidRPr="00765B9B">
              <w:rPr>
                <w:color w:val="000000" w:themeColor="text1"/>
                <w:sz w:val="18"/>
                <w:szCs w:val="18"/>
              </w:rPr>
              <w:t>°C/5</w:t>
            </w:r>
            <w:r w:rsidR="00063BF2" w:rsidRPr="00765B9B">
              <w:rPr>
                <w:color w:val="000000" w:themeColor="text1"/>
                <w:sz w:val="18"/>
                <w:szCs w:val="18"/>
              </w:rPr>
              <w:t>42</w:t>
            </w:r>
            <w:r w:rsidRPr="00765B9B">
              <w:rPr>
                <w:color w:val="000000" w:themeColor="text1"/>
                <w:sz w:val="18"/>
                <w:szCs w:val="18"/>
              </w:rPr>
              <w:t>°C</w:t>
            </w:r>
            <w:r w:rsidR="00063BF2" w:rsidRPr="00765B9B">
              <w:rPr>
                <w:color w:val="000000" w:themeColor="text1"/>
                <w:sz w:val="18"/>
                <w:szCs w:val="18"/>
              </w:rPr>
              <w:t>/551°C</w:t>
            </w:r>
          </w:p>
        </w:tc>
      </w:tr>
      <w:tr w:rsidR="00327B78" w:rsidRPr="00C73D35" w14:paraId="31A919BE" w14:textId="77777777" w:rsidTr="00765B9B">
        <w:trPr>
          <w:jc w:val="center"/>
        </w:trPr>
        <w:tc>
          <w:tcPr>
            <w:tcW w:w="3756" w:type="dxa"/>
            <w:tcBorders>
              <w:top w:val="nil"/>
              <w:left w:val="nil"/>
              <w:bottom w:val="nil"/>
              <w:right w:val="nil"/>
            </w:tcBorders>
          </w:tcPr>
          <w:p w14:paraId="58510715" w14:textId="1C8B0B9F" w:rsidR="00327B78" w:rsidRPr="00765B9B" w:rsidRDefault="00327B78" w:rsidP="00765B9B">
            <w:pPr>
              <w:pStyle w:val="BodyText"/>
              <w:keepNext/>
              <w:keepLines/>
              <w:spacing w:line="200" w:lineRule="atLeast"/>
              <w:ind w:firstLine="0"/>
              <w:jc w:val="left"/>
              <w:rPr>
                <w:color w:val="000000" w:themeColor="text1"/>
                <w:sz w:val="18"/>
                <w:szCs w:val="18"/>
              </w:rPr>
            </w:pPr>
            <w:r w:rsidRPr="00765B9B">
              <w:rPr>
                <w:color w:val="000000" w:themeColor="text1"/>
                <w:sz w:val="18"/>
                <w:szCs w:val="18"/>
              </w:rPr>
              <w:t xml:space="preserve">Peak Coolant Temperature at </w:t>
            </w:r>
            <w:r w:rsidR="001C368C" w:rsidRPr="00765B9B">
              <w:rPr>
                <w:color w:val="000000" w:themeColor="text1"/>
                <w:sz w:val="18"/>
                <w:szCs w:val="18"/>
              </w:rPr>
              <w:t>BOL/MOL/EOL</w:t>
            </w:r>
          </w:p>
        </w:tc>
        <w:tc>
          <w:tcPr>
            <w:tcW w:w="1868" w:type="dxa"/>
            <w:tcBorders>
              <w:top w:val="nil"/>
              <w:left w:val="nil"/>
              <w:bottom w:val="nil"/>
              <w:right w:val="nil"/>
            </w:tcBorders>
            <w:shd w:val="clear" w:color="auto" w:fill="auto"/>
          </w:tcPr>
          <w:p w14:paraId="37898466" w14:textId="69221ED4" w:rsidR="00327B78" w:rsidRPr="00765B9B" w:rsidRDefault="00327B78" w:rsidP="00765B9B">
            <w:pPr>
              <w:pStyle w:val="BodyText"/>
              <w:keepNext/>
              <w:keepLines/>
              <w:spacing w:line="200" w:lineRule="atLeast"/>
              <w:ind w:firstLine="0"/>
              <w:jc w:val="center"/>
              <w:rPr>
                <w:color w:val="000000" w:themeColor="text1"/>
                <w:sz w:val="18"/>
                <w:szCs w:val="18"/>
              </w:rPr>
            </w:pPr>
            <w:r w:rsidRPr="00765B9B">
              <w:rPr>
                <w:color w:val="000000" w:themeColor="text1"/>
                <w:sz w:val="18"/>
                <w:szCs w:val="18"/>
              </w:rPr>
              <w:t>5</w:t>
            </w:r>
            <w:r w:rsidR="00063BF2" w:rsidRPr="00765B9B">
              <w:rPr>
                <w:color w:val="000000" w:themeColor="text1"/>
                <w:sz w:val="18"/>
                <w:szCs w:val="18"/>
              </w:rPr>
              <w:t>47</w:t>
            </w:r>
            <w:r w:rsidRPr="00765B9B">
              <w:rPr>
                <w:color w:val="000000" w:themeColor="text1"/>
                <w:sz w:val="18"/>
                <w:szCs w:val="18"/>
              </w:rPr>
              <w:t>°C/5</w:t>
            </w:r>
            <w:r w:rsidR="00063BF2" w:rsidRPr="00765B9B">
              <w:rPr>
                <w:color w:val="000000" w:themeColor="text1"/>
                <w:sz w:val="18"/>
                <w:szCs w:val="18"/>
              </w:rPr>
              <w:t>41</w:t>
            </w:r>
            <w:r w:rsidRPr="00765B9B">
              <w:rPr>
                <w:color w:val="000000" w:themeColor="text1"/>
                <w:sz w:val="18"/>
                <w:szCs w:val="18"/>
              </w:rPr>
              <w:t>°C</w:t>
            </w:r>
            <w:r w:rsidR="00063BF2" w:rsidRPr="00765B9B">
              <w:rPr>
                <w:color w:val="000000" w:themeColor="text1"/>
                <w:sz w:val="18"/>
                <w:szCs w:val="18"/>
              </w:rPr>
              <w:t>/549°C</w:t>
            </w:r>
          </w:p>
        </w:tc>
      </w:tr>
      <w:tr w:rsidR="00327B78" w:rsidRPr="00C73D35" w14:paraId="00707DC8" w14:textId="77777777" w:rsidTr="00765B9B">
        <w:trPr>
          <w:jc w:val="center"/>
        </w:trPr>
        <w:tc>
          <w:tcPr>
            <w:tcW w:w="3756" w:type="dxa"/>
            <w:tcBorders>
              <w:top w:val="nil"/>
              <w:left w:val="nil"/>
              <w:bottom w:val="nil"/>
              <w:right w:val="nil"/>
            </w:tcBorders>
          </w:tcPr>
          <w:p w14:paraId="3F4D5BF3" w14:textId="77777777" w:rsidR="00327B78" w:rsidRPr="00765B9B" w:rsidRDefault="00327B78" w:rsidP="00765B9B">
            <w:pPr>
              <w:pStyle w:val="BodyText"/>
              <w:keepNext/>
              <w:keepLines/>
              <w:spacing w:line="200" w:lineRule="atLeast"/>
              <w:ind w:firstLine="0"/>
              <w:jc w:val="left"/>
              <w:rPr>
                <w:color w:val="000000" w:themeColor="text1"/>
                <w:sz w:val="18"/>
                <w:szCs w:val="18"/>
              </w:rPr>
            </w:pPr>
            <w:r w:rsidRPr="00765B9B">
              <w:rPr>
                <w:color w:val="000000" w:themeColor="text1"/>
                <w:sz w:val="18"/>
                <w:szCs w:val="18"/>
              </w:rPr>
              <w:t>Core Mass Flow Rate</w:t>
            </w:r>
          </w:p>
        </w:tc>
        <w:tc>
          <w:tcPr>
            <w:tcW w:w="1868" w:type="dxa"/>
            <w:tcBorders>
              <w:top w:val="nil"/>
              <w:left w:val="nil"/>
              <w:bottom w:val="nil"/>
              <w:right w:val="nil"/>
            </w:tcBorders>
            <w:shd w:val="clear" w:color="auto" w:fill="auto"/>
          </w:tcPr>
          <w:p w14:paraId="15CD4F86" w14:textId="3870B332" w:rsidR="00327B78" w:rsidRPr="00765B9B" w:rsidRDefault="00A524BF" w:rsidP="00765B9B">
            <w:pPr>
              <w:pStyle w:val="BodyText"/>
              <w:keepNext/>
              <w:keepLines/>
              <w:spacing w:line="200" w:lineRule="atLeast"/>
              <w:ind w:firstLine="0"/>
              <w:jc w:val="center"/>
              <w:rPr>
                <w:color w:val="000000" w:themeColor="text1"/>
                <w:sz w:val="18"/>
                <w:szCs w:val="18"/>
              </w:rPr>
            </w:pPr>
            <w:r w:rsidRPr="00765B9B">
              <w:rPr>
                <w:color w:val="000000" w:themeColor="text1"/>
                <w:sz w:val="18"/>
                <w:szCs w:val="18"/>
              </w:rPr>
              <w:t>1450</w:t>
            </w:r>
            <w:r w:rsidR="00327B78" w:rsidRPr="00765B9B">
              <w:rPr>
                <w:color w:val="000000" w:themeColor="text1"/>
                <w:sz w:val="18"/>
                <w:szCs w:val="18"/>
              </w:rPr>
              <w:t xml:space="preserve"> kg/s</w:t>
            </w:r>
          </w:p>
        </w:tc>
      </w:tr>
      <w:tr w:rsidR="00327B78" w:rsidRPr="00C73D35" w14:paraId="6717706E" w14:textId="77777777" w:rsidTr="00765B9B">
        <w:trPr>
          <w:jc w:val="center"/>
        </w:trPr>
        <w:tc>
          <w:tcPr>
            <w:tcW w:w="3756" w:type="dxa"/>
            <w:tcBorders>
              <w:top w:val="nil"/>
              <w:left w:val="nil"/>
              <w:bottom w:val="nil"/>
              <w:right w:val="nil"/>
            </w:tcBorders>
          </w:tcPr>
          <w:p w14:paraId="585E2319" w14:textId="0D510979" w:rsidR="00327B78" w:rsidRPr="00765B9B" w:rsidRDefault="00A524BF" w:rsidP="00765B9B">
            <w:pPr>
              <w:pStyle w:val="BodyText"/>
              <w:keepNext/>
              <w:keepLines/>
              <w:spacing w:line="200" w:lineRule="atLeast"/>
              <w:ind w:firstLine="0"/>
              <w:jc w:val="left"/>
              <w:rPr>
                <w:color w:val="000000" w:themeColor="text1"/>
                <w:sz w:val="18"/>
                <w:szCs w:val="18"/>
              </w:rPr>
            </w:pPr>
            <w:r w:rsidRPr="00765B9B">
              <w:rPr>
                <w:color w:val="000000" w:themeColor="text1"/>
                <w:sz w:val="18"/>
                <w:szCs w:val="18"/>
              </w:rPr>
              <w:t xml:space="preserve">Total </w:t>
            </w:r>
            <w:r w:rsidR="00D61948" w:rsidRPr="00765B9B">
              <w:rPr>
                <w:color w:val="000000" w:themeColor="text1"/>
                <w:sz w:val="18"/>
                <w:szCs w:val="18"/>
              </w:rPr>
              <w:t xml:space="preserve">Intermediate </w:t>
            </w:r>
            <w:r w:rsidR="00327B78" w:rsidRPr="00765B9B">
              <w:rPr>
                <w:color w:val="000000" w:themeColor="text1"/>
                <w:sz w:val="18"/>
                <w:szCs w:val="18"/>
              </w:rPr>
              <w:t>Mass Flow</w:t>
            </w:r>
            <w:r w:rsidRPr="00765B9B">
              <w:rPr>
                <w:color w:val="000000" w:themeColor="text1"/>
                <w:sz w:val="18"/>
                <w:szCs w:val="18"/>
              </w:rPr>
              <w:t xml:space="preserve"> Rate</w:t>
            </w:r>
          </w:p>
        </w:tc>
        <w:tc>
          <w:tcPr>
            <w:tcW w:w="1868" w:type="dxa"/>
            <w:tcBorders>
              <w:top w:val="nil"/>
              <w:left w:val="nil"/>
              <w:bottom w:val="nil"/>
              <w:right w:val="nil"/>
            </w:tcBorders>
            <w:shd w:val="clear" w:color="auto" w:fill="auto"/>
          </w:tcPr>
          <w:p w14:paraId="2E755A56" w14:textId="44765E96" w:rsidR="00327B78" w:rsidRPr="00765B9B" w:rsidRDefault="00A524BF" w:rsidP="00765B9B">
            <w:pPr>
              <w:pStyle w:val="BodyText"/>
              <w:keepNext/>
              <w:keepLines/>
              <w:spacing w:line="200" w:lineRule="atLeast"/>
              <w:ind w:firstLine="0"/>
              <w:jc w:val="center"/>
              <w:rPr>
                <w:color w:val="000000" w:themeColor="text1"/>
                <w:sz w:val="18"/>
                <w:szCs w:val="18"/>
              </w:rPr>
            </w:pPr>
            <w:r w:rsidRPr="00765B9B">
              <w:rPr>
                <w:color w:val="000000" w:themeColor="text1"/>
                <w:sz w:val="18"/>
                <w:szCs w:val="18"/>
              </w:rPr>
              <w:t>1450</w:t>
            </w:r>
            <w:r w:rsidR="00327B78" w:rsidRPr="00765B9B">
              <w:rPr>
                <w:color w:val="000000" w:themeColor="text1"/>
                <w:sz w:val="18"/>
                <w:szCs w:val="18"/>
              </w:rPr>
              <w:t xml:space="preserve"> kg/s</w:t>
            </w:r>
          </w:p>
        </w:tc>
      </w:tr>
      <w:tr w:rsidR="00327B78" w:rsidRPr="00C73D35" w14:paraId="6E1772A8" w14:textId="77777777" w:rsidTr="00765B9B">
        <w:trPr>
          <w:jc w:val="center"/>
        </w:trPr>
        <w:tc>
          <w:tcPr>
            <w:tcW w:w="3756" w:type="dxa"/>
            <w:tcBorders>
              <w:top w:val="nil"/>
              <w:left w:val="nil"/>
              <w:bottom w:val="nil"/>
              <w:right w:val="nil"/>
            </w:tcBorders>
          </w:tcPr>
          <w:p w14:paraId="094107FA" w14:textId="076F254C" w:rsidR="00327B78" w:rsidRPr="00765B9B" w:rsidRDefault="00D61948" w:rsidP="00765B9B">
            <w:pPr>
              <w:pStyle w:val="BodyText"/>
              <w:keepNext/>
              <w:keepLines/>
              <w:spacing w:line="200" w:lineRule="atLeast"/>
              <w:ind w:firstLine="0"/>
              <w:jc w:val="left"/>
              <w:rPr>
                <w:color w:val="000000" w:themeColor="text1"/>
                <w:sz w:val="18"/>
                <w:szCs w:val="18"/>
              </w:rPr>
            </w:pPr>
            <w:r w:rsidRPr="00765B9B">
              <w:rPr>
                <w:color w:val="000000" w:themeColor="text1"/>
                <w:sz w:val="18"/>
                <w:szCs w:val="18"/>
              </w:rPr>
              <w:t>Intermediate Cold Leg</w:t>
            </w:r>
            <w:r w:rsidR="00327B78" w:rsidRPr="00765B9B">
              <w:rPr>
                <w:color w:val="000000" w:themeColor="text1"/>
                <w:sz w:val="18"/>
                <w:szCs w:val="18"/>
              </w:rPr>
              <w:t xml:space="preserve"> Temperature</w:t>
            </w:r>
          </w:p>
        </w:tc>
        <w:tc>
          <w:tcPr>
            <w:tcW w:w="1868" w:type="dxa"/>
            <w:tcBorders>
              <w:top w:val="nil"/>
              <w:left w:val="nil"/>
              <w:bottom w:val="nil"/>
              <w:right w:val="nil"/>
            </w:tcBorders>
            <w:shd w:val="clear" w:color="auto" w:fill="auto"/>
          </w:tcPr>
          <w:p w14:paraId="1EDBB765" w14:textId="7F0B2668" w:rsidR="00327B78" w:rsidRPr="00765B9B" w:rsidRDefault="00327B78" w:rsidP="00765B9B">
            <w:pPr>
              <w:pStyle w:val="BodyText"/>
              <w:keepNext/>
              <w:keepLines/>
              <w:spacing w:line="200" w:lineRule="atLeast"/>
              <w:ind w:firstLine="0"/>
              <w:jc w:val="center"/>
              <w:rPr>
                <w:color w:val="000000" w:themeColor="text1"/>
                <w:sz w:val="18"/>
                <w:szCs w:val="18"/>
              </w:rPr>
            </w:pPr>
            <w:r w:rsidRPr="00765B9B">
              <w:rPr>
                <w:color w:val="000000" w:themeColor="text1"/>
                <w:sz w:val="18"/>
                <w:szCs w:val="18"/>
              </w:rPr>
              <w:t>3</w:t>
            </w:r>
            <w:r w:rsidR="00A524BF" w:rsidRPr="00765B9B">
              <w:rPr>
                <w:color w:val="000000" w:themeColor="text1"/>
                <w:sz w:val="18"/>
                <w:szCs w:val="18"/>
              </w:rPr>
              <w:t>33</w:t>
            </w:r>
            <w:r w:rsidRPr="00765B9B">
              <w:rPr>
                <w:color w:val="000000" w:themeColor="text1"/>
                <w:sz w:val="18"/>
                <w:szCs w:val="18"/>
              </w:rPr>
              <w:t>°C</w:t>
            </w:r>
          </w:p>
        </w:tc>
      </w:tr>
      <w:tr w:rsidR="00327B78" w:rsidRPr="00C73D35" w14:paraId="60BF53F2" w14:textId="77777777" w:rsidTr="00765B9B">
        <w:trPr>
          <w:jc w:val="center"/>
        </w:trPr>
        <w:tc>
          <w:tcPr>
            <w:tcW w:w="3756" w:type="dxa"/>
            <w:tcBorders>
              <w:top w:val="nil"/>
              <w:left w:val="nil"/>
              <w:bottom w:val="single" w:sz="4" w:space="0" w:color="auto"/>
              <w:right w:val="nil"/>
            </w:tcBorders>
          </w:tcPr>
          <w:p w14:paraId="1496967D" w14:textId="4DF69233" w:rsidR="00327B78" w:rsidRPr="00765B9B" w:rsidRDefault="00D61948" w:rsidP="00765B9B">
            <w:pPr>
              <w:pStyle w:val="BodyText"/>
              <w:keepNext/>
              <w:keepLines/>
              <w:spacing w:line="200" w:lineRule="atLeast"/>
              <w:ind w:firstLine="0"/>
              <w:jc w:val="left"/>
              <w:rPr>
                <w:color w:val="000000" w:themeColor="text1"/>
                <w:sz w:val="18"/>
                <w:szCs w:val="18"/>
              </w:rPr>
            </w:pPr>
            <w:r w:rsidRPr="00765B9B">
              <w:rPr>
                <w:color w:val="000000" w:themeColor="text1"/>
                <w:sz w:val="18"/>
                <w:szCs w:val="18"/>
              </w:rPr>
              <w:t>Intermediate Hot Leg</w:t>
            </w:r>
            <w:r w:rsidR="00327B78" w:rsidRPr="00765B9B">
              <w:rPr>
                <w:color w:val="000000" w:themeColor="text1"/>
                <w:sz w:val="18"/>
                <w:szCs w:val="18"/>
              </w:rPr>
              <w:t xml:space="preserve"> Temperature</w:t>
            </w:r>
          </w:p>
        </w:tc>
        <w:tc>
          <w:tcPr>
            <w:tcW w:w="1868" w:type="dxa"/>
            <w:tcBorders>
              <w:top w:val="nil"/>
              <w:left w:val="nil"/>
              <w:bottom w:val="single" w:sz="4" w:space="0" w:color="auto"/>
              <w:right w:val="nil"/>
            </w:tcBorders>
            <w:shd w:val="clear" w:color="auto" w:fill="auto"/>
          </w:tcPr>
          <w:p w14:paraId="7017EBD6" w14:textId="089FEC09" w:rsidR="00327B78" w:rsidRPr="00765B9B" w:rsidRDefault="00327B78" w:rsidP="00765B9B">
            <w:pPr>
              <w:pStyle w:val="BodyText"/>
              <w:keepNext/>
              <w:keepLines/>
              <w:spacing w:line="200" w:lineRule="atLeast"/>
              <w:ind w:firstLine="0"/>
              <w:jc w:val="center"/>
              <w:rPr>
                <w:color w:val="000000" w:themeColor="text1"/>
                <w:sz w:val="18"/>
                <w:szCs w:val="18"/>
              </w:rPr>
            </w:pPr>
            <w:r w:rsidRPr="00765B9B">
              <w:rPr>
                <w:color w:val="000000" w:themeColor="text1"/>
                <w:sz w:val="18"/>
                <w:szCs w:val="18"/>
              </w:rPr>
              <w:t>4</w:t>
            </w:r>
            <w:r w:rsidR="00A524BF" w:rsidRPr="00765B9B">
              <w:rPr>
                <w:color w:val="000000" w:themeColor="text1"/>
                <w:sz w:val="18"/>
                <w:szCs w:val="18"/>
              </w:rPr>
              <w:t>87</w:t>
            </w:r>
            <w:r w:rsidRPr="00765B9B">
              <w:rPr>
                <w:color w:val="000000" w:themeColor="text1"/>
                <w:sz w:val="18"/>
                <w:szCs w:val="18"/>
              </w:rPr>
              <w:t>°C</w:t>
            </w:r>
          </w:p>
        </w:tc>
      </w:tr>
    </w:tbl>
    <w:p w14:paraId="270457A3" w14:textId="77777777" w:rsidR="00327B78" w:rsidRPr="00C73D35" w:rsidRDefault="00327B78" w:rsidP="00327B78">
      <w:pPr>
        <w:pStyle w:val="BodyText"/>
        <w:rPr>
          <w:color w:val="000000" w:themeColor="text1"/>
        </w:rPr>
      </w:pPr>
    </w:p>
    <w:p w14:paraId="67424278" w14:textId="60579965" w:rsidR="00BE1C94" w:rsidRPr="00C73D35" w:rsidRDefault="00327B78" w:rsidP="00BE1C94">
      <w:pPr>
        <w:pStyle w:val="BodyText"/>
        <w:rPr>
          <w:color w:val="000000" w:themeColor="text1"/>
        </w:rPr>
      </w:pPr>
      <w:r w:rsidRPr="00C73D35">
        <w:rPr>
          <w:color w:val="000000" w:themeColor="text1"/>
        </w:rPr>
        <w:t xml:space="preserve">In SAS4A/SASSYS-1, the thermal-hydraulic performance of a reactor core is analyzed with a model consisting of </w:t>
      </w:r>
      <w:proofErr w:type="gramStart"/>
      <w:r w:rsidRPr="00C73D35">
        <w:rPr>
          <w:color w:val="000000" w:themeColor="text1"/>
        </w:rPr>
        <w:t>a number of</w:t>
      </w:r>
      <w:proofErr w:type="gramEnd"/>
      <w:r w:rsidRPr="00C73D35">
        <w:rPr>
          <w:color w:val="000000" w:themeColor="text1"/>
        </w:rPr>
        <w:t xml:space="preserve"> single-pin channels. A single-pin model represents the average </w:t>
      </w:r>
      <w:r w:rsidR="006E022E">
        <w:rPr>
          <w:color w:val="000000" w:themeColor="text1"/>
        </w:rPr>
        <w:t xml:space="preserve">fuel </w:t>
      </w:r>
      <w:r w:rsidRPr="00C73D35">
        <w:rPr>
          <w:color w:val="000000" w:themeColor="text1"/>
        </w:rPr>
        <w:t>pin in an assembly</w:t>
      </w:r>
      <w:r w:rsidR="00BE1C94" w:rsidRPr="00C73D35">
        <w:rPr>
          <w:color w:val="000000" w:themeColor="text1"/>
        </w:rPr>
        <w:t xml:space="preserve"> and its associated coolant and structure. A</w:t>
      </w:r>
      <w:r w:rsidRPr="00C73D35">
        <w:rPr>
          <w:color w:val="000000" w:themeColor="text1"/>
        </w:rPr>
        <w:t>ssemblies with similar reactor physics and thermal-hydraulic characteristics are grouped together</w:t>
      </w:r>
      <w:r w:rsidR="00E557DC">
        <w:rPr>
          <w:color w:val="000000" w:themeColor="text1"/>
        </w:rPr>
        <w:t xml:space="preserve"> in SAS4A/SASSYS-1 channels</w:t>
      </w:r>
      <w:r w:rsidRPr="00C73D35">
        <w:rPr>
          <w:color w:val="000000" w:themeColor="text1"/>
        </w:rPr>
        <w:t xml:space="preserve">. </w:t>
      </w:r>
    </w:p>
    <w:p w14:paraId="67AFF921" w14:textId="3EB5934C" w:rsidR="00BE1C94" w:rsidRPr="00C73D35" w:rsidRDefault="00BE1C94" w:rsidP="00BE1C94">
      <w:pPr>
        <w:pStyle w:val="BodyText"/>
        <w:rPr>
          <w:color w:val="000000" w:themeColor="text1"/>
        </w:rPr>
      </w:pPr>
      <w:r w:rsidRPr="00C73D35">
        <w:rPr>
          <w:color w:val="000000" w:themeColor="text1"/>
        </w:rPr>
        <w:t>The ARC-100 core is represented by 18 channels</w:t>
      </w:r>
      <w:r w:rsidR="00327B78" w:rsidRPr="00C73D35">
        <w:rPr>
          <w:color w:val="000000" w:themeColor="text1"/>
        </w:rPr>
        <w:t xml:space="preserve">. </w:t>
      </w:r>
      <w:r w:rsidRPr="00C73D35">
        <w:rPr>
          <w:color w:val="000000" w:themeColor="text1"/>
        </w:rPr>
        <w:t xml:space="preserve">Fig. 1 illustrates the </w:t>
      </w:r>
      <w:r w:rsidR="00E557DC">
        <w:rPr>
          <w:color w:val="000000" w:themeColor="text1"/>
        </w:rPr>
        <w:t>assembly types and core channel assignments</w:t>
      </w:r>
      <w:r w:rsidRPr="00C73D35">
        <w:rPr>
          <w:color w:val="000000" w:themeColor="text1"/>
        </w:rPr>
        <w:t xml:space="preserve">. </w:t>
      </w:r>
      <w:r w:rsidR="003B2720" w:rsidRPr="00C73D35">
        <w:rPr>
          <w:color w:val="000000" w:themeColor="text1"/>
        </w:rPr>
        <w:t xml:space="preserve">Core assemblies were assigned to the SAS4A/SASSYS-1 channels based on the orifice flow zones. Channels 1-7 represent the </w:t>
      </w:r>
      <w:r w:rsidR="00E557DC">
        <w:rPr>
          <w:color w:val="000000" w:themeColor="text1"/>
        </w:rPr>
        <w:t>nominal</w:t>
      </w:r>
      <w:r w:rsidR="003B2720" w:rsidRPr="00C73D35">
        <w:rPr>
          <w:color w:val="000000" w:themeColor="text1"/>
        </w:rPr>
        <w:t xml:space="preserve"> fuel channels, each representing one flow zone. Channels 8-11 represent the non-fuel assemblies, including control, reflector, and shield. </w:t>
      </w:r>
      <w:r w:rsidR="006F5B46" w:rsidRPr="00C73D35">
        <w:rPr>
          <w:color w:val="000000" w:themeColor="text1"/>
        </w:rPr>
        <w:t>Axial and radial power distributions for the ARC-100 were calculated using the nodal transport theory option of DIF3D/VARIANT</w:t>
      </w:r>
      <w:r w:rsidR="006F5B46" w:rsidRPr="00C73D35">
        <w:rPr>
          <w:rFonts w:eastAsiaTheme="minorEastAsia"/>
          <w:color w:val="000000" w:themeColor="text1"/>
        </w:rPr>
        <w:t xml:space="preserve"> </w:t>
      </w:r>
      <w:r w:rsidR="006F5B46" w:rsidRPr="00C73D35">
        <w:rPr>
          <w:color w:val="000000" w:themeColor="text1"/>
        </w:rPr>
        <w:t>[</w:t>
      </w:r>
      <w:r w:rsidR="006F5B46">
        <w:rPr>
          <w:color w:val="000000" w:themeColor="text1"/>
        </w:rPr>
        <w:t>3</w:t>
      </w:r>
      <w:r w:rsidR="006F5B46" w:rsidRPr="00C73D35">
        <w:rPr>
          <w:color w:val="000000" w:themeColor="text1"/>
        </w:rPr>
        <w:t xml:space="preserve">]. Assembly flow rates </w:t>
      </w:r>
      <w:r w:rsidR="006F5B46" w:rsidRPr="00C73D35">
        <w:rPr>
          <w:rFonts w:eastAsiaTheme="minorEastAsia"/>
          <w:color w:val="000000" w:themeColor="text1"/>
        </w:rPr>
        <w:t xml:space="preserve">were calculated with the SuperEnergy2-ANL steady-state thermal hydraulics code </w:t>
      </w:r>
      <w:r w:rsidR="006F5B46" w:rsidRPr="00C73D35">
        <w:rPr>
          <w:color w:val="000000" w:themeColor="text1"/>
        </w:rPr>
        <w:t>[</w:t>
      </w:r>
      <w:r w:rsidR="006F5B46">
        <w:rPr>
          <w:color w:val="000000" w:themeColor="text1"/>
        </w:rPr>
        <w:t>4</w:t>
      </w:r>
      <w:r w:rsidR="006F5B46" w:rsidRPr="00C73D35">
        <w:rPr>
          <w:color w:val="000000" w:themeColor="text1"/>
        </w:rPr>
        <w:t>].</w:t>
      </w:r>
    </w:p>
    <w:p w14:paraId="23E412AD" w14:textId="5F891F1E" w:rsidR="002C29DB" w:rsidRDefault="003B2720" w:rsidP="005A7B9A">
      <w:pPr>
        <w:pStyle w:val="BodyText"/>
        <w:rPr>
          <w:color w:val="000000" w:themeColor="text1"/>
        </w:rPr>
      </w:pPr>
      <w:r w:rsidRPr="00C73D35">
        <w:rPr>
          <w:color w:val="000000" w:themeColor="text1"/>
        </w:rPr>
        <w:t xml:space="preserve">Channels 12-18, one for each orifice zone in the fuel region, are peak fuel channels that were developed to account for flow and temperature variations </w:t>
      </w:r>
      <w:r w:rsidR="006F5B46">
        <w:rPr>
          <w:color w:val="000000" w:themeColor="text1"/>
        </w:rPr>
        <w:t>in each fuel orifice zone</w:t>
      </w:r>
      <w:r w:rsidRPr="00C73D35">
        <w:rPr>
          <w:color w:val="000000" w:themeColor="text1"/>
        </w:rPr>
        <w:t xml:space="preserve">. Each </w:t>
      </w:r>
      <w:r w:rsidR="005A7B9A" w:rsidRPr="00C73D35">
        <w:rPr>
          <w:color w:val="000000" w:themeColor="text1"/>
        </w:rPr>
        <w:t xml:space="preserve">of the seven </w:t>
      </w:r>
      <w:r w:rsidRPr="00C73D35">
        <w:rPr>
          <w:color w:val="000000" w:themeColor="text1"/>
        </w:rPr>
        <w:t>peak channel</w:t>
      </w:r>
      <w:r w:rsidR="005A7B9A" w:rsidRPr="00C73D35">
        <w:rPr>
          <w:color w:val="000000" w:themeColor="text1"/>
        </w:rPr>
        <w:t>s</w:t>
      </w:r>
      <w:r w:rsidRPr="00C73D35">
        <w:rPr>
          <w:color w:val="000000" w:themeColor="text1"/>
        </w:rPr>
        <w:t xml:space="preserve"> simulates only one pin, not entire assemblies</w:t>
      </w:r>
      <w:r w:rsidR="006F5B46">
        <w:rPr>
          <w:color w:val="000000" w:themeColor="text1"/>
        </w:rPr>
        <w:t>, with power and flow for those pins specified to match the peak coolant temperatures predicted in each orifice zone with the SuperEnergy-2-ANL code</w:t>
      </w:r>
      <w:r w:rsidRPr="00C73D35">
        <w:rPr>
          <w:color w:val="000000" w:themeColor="text1"/>
        </w:rPr>
        <w:t xml:space="preserve">. Adding one peak channel for each orifice zone ensures that the peak channels not only represent the maximum power-to-flow ratios in each zone, but also provide the possibility to track the location of peak temperatures in various transients, where power-to-flow peaking could occur at different assemblies at different times. </w:t>
      </w:r>
    </w:p>
    <w:p w14:paraId="2A7BBDC2" w14:textId="77777777" w:rsidR="00524D39" w:rsidRPr="00C73D35" w:rsidRDefault="00524D39" w:rsidP="005A7B9A">
      <w:pPr>
        <w:pStyle w:val="BodyText"/>
        <w:rPr>
          <w:color w:val="000000" w:themeColor="text1"/>
        </w:rPr>
      </w:pPr>
    </w:p>
    <w:p w14:paraId="233C5AC9" w14:textId="77777777" w:rsidR="00BE1C94" w:rsidRPr="00C73D35" w:rsidRDefault="00BE1C94" w:rsidP="0066439B">
      <w:pPr>
        <w:pStyle w:val="FigureTyler"/>
        <w:rPr>
          <w:color w:val="000000" w:themeColor="text1"/>
        </w:rPr>
      </w:pPr>
      <w:r w:rsidRPr="00C73D35">
        <w:rPr>
          <w:noProof/>
          <w:color w:val="000000" w:themeColor="text1"/>
          <w:lang w:val="en-US" w:eastAsia="en-US"/>
        </w:rPr>
        <w:drawing>
          <wp:inline distT="0" distB="0" distL="0" distR="0" wp14:anchorId="39350E2E" wp14:editId="438D69BD">
            <wp:extent cx="4563671" cy="353906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srcRect l="9438" t="12304" r="37051" b="58372"/>
                    <a:stretch/>
                  </pic:blipFill>
                  <pic:spPr bwMode="auto">
                    <a:xfrm>
                      <a:off x="0" y="0"/>
                      <a:ext cx="4697055" cy="3642504"/>
                    </a:xfrm>
                    <a:prstGeom prst="rect">
                      <a:avLst/>
                    </a:prstGeom>
                    <a:ln>
                      <a:noFill/>
                    </a:ln>
                    <a:extLst>
                      <a:ext uri="{53640926-AAD7-44D8-BBD7-CCE9431645EC}">
                        <a14:shadowObscured xmlns:a14="http://schemas.microsoft.com/office/drawing/2010/main"/>
                      </a:ext>
                    </a:extLst>
                  </pic:spPr>
                </pic:pic>
              </a:graphicData>
            </a:graphic>
          </wp:inline>
        </w:drawing>
      </w:r>
    </w:p>
    <w:p w14:paraId="5D73A95C" w14:textId="59876A5C" w:rsidR="00BE1C94" w:rsidRPr="00C73D35" w:rsidRDefault="00BE1C94" w:rsidP="0066439B">
      <w:pPr>
        <w:pStyle w:val="Figurecaption"/>
        <w:rPr>
          <w:b/>
          <w:color w:val="000000" w:themeColor="text1"/>
        </w:rPr>
      </w:pPr>
      <w:bookmarkStart w:id="0" w:name="_Ref425519210"/>
      <w:bookmarkStart w:id="1" w:name="_Toc58852083"/>
      <w:r w:rsidRPr="00C73D35">
        <w:rPr>
          <w:caps/>
          <w:color w:val="000000" w:themeColor="text1"/>
        </w:rPr>
        <w:t>Fig</w:t>
      </w:r>
      <w:r w:rsidRPr="00C73D35">
        <w:rPr>
          <w:color w:val="000000" w:themeColor="text1"/>
        </w:rPr>
        <w:t xml:space="preserve">. </w:t>
      </w:r>
      <w:r w:rsidRPr="00C73D35">
        <w:rPr>
          <w:color w:val="000000" w:themeColor="text1"/>
        </w:rPr>
        <w:fldChar w:fldCharType="begin"/>
      </w:r>
      <w:r w:rsidRPr="00C73D35">
        <w:rPr>
          <w:color w:val="000000" w:themeColor="text1"/>
        </w:rPr>
        <w:instrText xml:space="preserve"> SEQ Figure \* ARABIC </w:instrText>
      </w:r>
      <w:r w:rsidRPr="00C73D35">
        <w:rPr>
          <w:color w:val="000000" w:themeColor="text1"/>
        </w:rPr>
        <w:fldChar w:fldCharType="separate"/>
      </w:r>
      <w:r w:rsidRPr="00C73D35">
        <w:rPr>
          <w:noProof/>
          <w:color w:val="000000" w:themeColor="text1"/>
        </w:rPr>
        <w:t>1</w:t>
      </w:r>
      <w:r w:rsidRPr="00C73D35">
        <w:rPr>
          <w:noProof/>
          <w:color w:val="000000" w:themeColor="text1"/>
        </w:rPr>
        <w:fldChar w:fldCharType="end"/>
      </w:r>
      <w:r w:rsidRPr="00C73D35">
        <w:rPr>
          <w:color w:val="000000" w:themeColor="text1"/>
        </w:rPr>
        <w:t xml:space="preserve">. </w:t>
      </w:r>
      <w:r w:rsidR="00E557DC">
        <w:rPr>
          <w:color w:val="000000" w:themeColor="text1"/>
        </w:rPr>
        <w:t>SAS4A/SASSYS-1 Channels and Core Assembly Types</w:t>
      </w:r>
      <w:r w:rsidRPr="00C73D35">
        <w:rPr>
          <w:color w:val="000000" w:themeColor="text1"/>
        </w:rPr>
        <w:t>.</w:t>
      </w:r>
    </w:p>
    <w:bookmarkEnd w:id="0"/>
    <w:bookmarkEnd w:id="1"/>
    <w:p w14:paraId="0FD0694F" w14:textId="682B789E" w:rsidR="003B2720" w:rsidRDefault="003B2720" w:rsidP="00063BF2">
      <w:pPr>
        <w:pStyle w:val="BodyText"/>
        <w:ind w:firstLine="0"/>
        <w:rPr>
          <w:color w:val="000000" w:themeColor="text1"/>
        </w:rPr>
      </w:pPr>
    </w:p>
    <w:p w14:paraId="4E602A59" w14:textId="77777777" w:rsidR="00524D39" w:rsidRPr="00C73D35" w:rsidRDefault="00524D39" w:rsidP="00524D39">
      <w:pPr>
        <w:pStyle w:val="BodyText"/>
        <w:rPr>
          <w:color w:val="000000" w:themeColor="text1"/>
        </w:rPr>
      </w:pPr>
      <w:r w:rsidRPr="00C73D35">
        <w:rPr>
          <w:color w:val="000000" w:themeColor="text1"/>
        </w:rPr>
        <w:lastRenderedPageBreak/>
        <w:t>The ARC-100 SAS4A/SASSYS-1 model calculates the following reactivity feedback effects:</w:t>
      </w:r>
    </w:p>
    <w:p w14:paraId="5A457085" w14:textId="77777777" w:rsidR="00524D39" w:rsidRPr="00C73D35" w:rsidRDefault="00524D39" w:rsidP="00524D39">
      <w:pPr>
        <w:pStyle w:val="BodyText"/>
        <w:rPr>
          <w:color w:val="000000" w:themeColor="text1"/>
        </w:rPr>
      </w:pPr>
    </w:p>
    <w:p w14:paraId="34FA9681" w14:textId="77777777" w:rsidR="00524D39" w:rsidRPr="00C73D35" w:rsidRDefault="00524D39" w:rsidP="00524D39">
      <w:pPr>
        <w:pStyle w:val="ListEmdash"/>
        <w:ind w:left="709"/>
        <w:rPr>
          <w:color w:val="000000" w:themeColor="text1"/>
        </w:rPr>
      </w:pPr>
      <w:r w:rsidRPr="00C73D35">
        <w:rPr>
          <w:color w:val="000000" w:themeColor="text1"/>
        </w:rPr>
        <w:t>Fuel Doppler,</w:t>
      </w:r>
    </w:p>
    <w:p w14:paraId="0C6C93D4" w14:textId="77777777" w:rsidR="00524D39" w:rsidRPr="00C73D35" w:rsidRDefault="00524D39" w:rsidP="00524D39">
      <w:pPr>
        <w:pStyle w:val="ListEmdash"/>
        <w:ind w:left="709"/>
        <w:rPr>
          <w:color w:val="000000" w:themeColor="text1"/>
        </w:rPr>
      </w:pPr>
      <w:r w:rsidRPr="00C73D35">
        <w:rPr>
          <w:color w:val="000000" w:themeColor="text1"/>
        </w:rPr>
        <w:t>Axial fuel, cladding, and structure expansion,</w:t>
      </w:r>
    </w:p>
    <w:p w14:paraId="3C6FF200" w14:textId="77777777" w:rsidR="00524D39" w:rsidRPr="00C73D35" w:rsidRDefault="00524D39" w:rsidP="00524D39">
      <w:pPr>
        <w:pStyle w:val="ListEmdash"/>
        <w:ind w:left="709"/>
        <w:rPr>
          <w:color w:val="000000" w:themeColor="text1"/>
        </w:rPr>
      </w:pPr>
      <w:r w:rsidRPr="00C73D35">
        <w:rPr>
          <w:color w:val="000000" w:themeColor="text1"/>
        </w:rPr>
        <w:t>Coolant density,</w:t>
      </w:r>
    </w:p>
    <w:p w14:paraId="2DA3B681" w14:textId="77777777" w:rsidR="00524D39" w:rsidRPr="00C73D35" w:rsidRDefault="00524D39" w:rsidP="00524D39">
      <w:pPr>
        <w:pStyle w:val="ListEmdash"/>
        <w:ind w:left="709"/>
        <w:rPr>
          <w:color w:val="000000" w:themeColor="text1"/>
        </w:rPr>
      </w:pPr>
      <w:r w:rsidRPr="00C73D35">
        <w:rPr>
          <w:color w:val="000000" w:themeColor="text1"/>
        </w:rPr>
        <w:t>Radial core expansion</w:t>
      </w:r>
      <w:r>
        <w:rPr>
          <w:color w:val="000000" w:themeColor="text1"/>
        </w:rPr>
        <w:t xml:space="preserve"> driven by assembly load pad and grid plate expansions</w:t>
      </w:r>
      <w:r w:rsidRPr="00C73D35">
        <w:rPr>
          <w:color w:val="000000" w:themeColor="text1"/>
        </w:rPr>
        <w:t>,</w:t>
      </w:r>
    </w:p>
    <w:p w14:paraId="7C9D37CB" w14:textId="77777777" w:rsidR="00524D39" w:rsidRPr="00C73D35" w:rsidRDefault="00524D39" w:rsidP="00524D39">
      <w:pPr>
        <w:pStyle w:val="ListEmdash"/>
        <w:ind w:left="709"/>
        <w:rPr>
          <w:color w:val="000000" w:themeColor="text1"/>
        </w:rPr>
      </w:pPr>
      <w:r w:rsidRPr="00C73D35">
        <w:rPr>
          <w:color w:val="000000" w:themeColor="text1"/>
        </w:rPr>
        <w:t>Control rod driveline expansion</w:t>
      </w:r>
      <w:r>
        <w:rPr>
          <w:color w:val="000000" w:themeColor="text1"/>
        </w:rPr>
        <w:t xml:space="preserve"> (CRDL)</w:t>
      </w:r>
      <w:r w:rsidRPr="00C73D35">
        <w:rPr>
          <w:color w:val="000000" w:themeColor="text1"/>
        </w:rPr>
        <w:t>, and</w:t>
      </w:r>
    </w:p>
    <w:p w14:paraId="36726B25" w14:textId="77777777" w:rsidR="00524D39" w:rsidRPr="00C73D35" w:rsidRDefault="00524D39" w:rsidP="00524D39">
      <w:pPr>
        <w:pStyle w:val="ListEmdash"/>
        <w:ind w:left="709"/>
        <w:rPr>
          <w:color w:val="000000" w:themeColor="text1"/>
        </w:rPr>
      </w:pPr>
      <w:r w:rsidRPr="00C73D35">
        <w:rPr>
          <w:color w:val="000000" w:themeColor="text1"/>
        </w:rPr>
        <w:t>Reactor vessel expansion.</w:t>
      </w:r>
    </w:p>
    <w:p w14:paraId="5E8542C8" w14:textId="77777777" w:rsidR="00524D39" w:rsidRPr="00C73D35" w:rsidRDefault="00524D39" w:rsidP="00524D39">
      <w:pPr>
        <w:pStyle w:val="BodyText"/>
        <w:rPr>
          <w:color w:val="000000" w:themeColor="text1"/>
        </w:rPr>
      </w:pPr>
    </w:p>
    <w:p w14:paraId="395FD26A" w14:textId="77777777" w:rsidR="00524D39" w:rsidRPr="00C73D35" w:rsidRDefault="00524D39" w:rsidP="00524D39">
      <w:pPr>
        <w:pStyle w:val="BodyText"/>
        <w:ind w:firstLine="0"/>
        <w:rPr>
          <w:color w:val="000000" w:themeColor="text1"/>
        </w:rPr>
      </w:pPr>
      <w:r>
        <w:rPr>
          <w:color w:val="000000" w:themeColor="text1"/>
        </w:rPr>
        <w:t xml:space="preserve">The fuel Doppler, axial expansion, and coolant density feedbacks are channel-dependent reactivity feedbacks, calculated based on temperatures within each </w:t>
      </w:r>
      <w:proofErr w:type="gramStart"/>
      <w:r>
        <w:rPr>
          <w:color w:val="000000" w:themeColor="text1"/>
        </w:rPr>
        <w:t>channels</w:t>
      </w:r>
      <w:proofErr w:type="gramEnd"/>
      <w:r>
        <w:rPr>
          <w:color w:val="000000" w:themeColor="text1"/>
        </w:rPr>
        <w:t xml:space="preserve">. The radial core expansion, control rod driveline expansion, and reactor vessel expansion feedbacks are channel-independent reactivity feedbacks calculated based on average core temperatures or temperatures in the primary heat transport system. </w:t>
      </w:r>
      <w:r w:rsidRPr="00C73D35">
        <w:rPr>
          <w:color w:val="000000" w:themeColor="text1"/>
        </w:rPr>
        <w:t>Point kinetics and reactivity feedback coefficients were calculated using PERSENT [</w:t>
      </w:r>
      <w:r>
        <w:rPr>
          <w:color w:val="000000" w:themeColor="text1"/>
        </w:rPr>
        <w:t>5</w:t>
      </w:r>
      <w:r w:rsidRPr="00C73D35">
        <w:rPr>
          <w:color w:val="000000" w:themeColor="text1"/>
        </w:rPr>
        <w:t>] and DIF3D [</w:t>
      </w:r>
      <w:r>
        <w:rPr>
          <w:color w:val="000000" w:themeColor="text1"/>
        </w:rPr>
        <w:t>3</w:t>
      </w:r>
      <w:r w:rsidRPr="00C73D35">
        <w:rPr>
          <w:color w:val="000000" w:themeColor="text1"/>
        </w:rPr>
        <w:t>].</w:t>
      </w:r>
    </w:p>
    <w:p w14:paraId="7077DEE6" w14:textId="6A5008CB" w:rsidR="00E82CF0" w:rsidRPr="00AE317A" w:rsidRDefault="00E82CF0" w:rsidP="00E82CF0">
      <w:pPr>
        <w:pStyle w:val="BodyText"/>
        <w:rPr>
          <w:color w:val="000000" w:themeColor="text1"/>
        </w:rPr>
      </w:pPr>
      <w:r w:rsidRPr="00C73D35">
        <w:rPr>
          <w:color w:val="000000" w:themeColor="text1"/>
        </w:rPr>
        <w:t xml:space="preserve">The PRIMAR-4 module of SAS4A/SASSYS-1 simulates the thermal hydraulics of the heat transport systems. Compressible volumes, or CVs, </w:t>
      </w:r>
      <w:r w:rsidR="0077274A">
        <w:rPr>
          <w:color w:val="000000" w:themeColor="text1"/>
        </w:rPr>
        <w:t xml:space="preserve">are </w:t>
      </w:r>
      <w:r w:rsidRPr="00C73D35">
        <w:rPr>
          <w:color w:val="000000" w:themeColor="text1"/>
        </w:rPr>
        <w:t xml:space="preserve">zero-dimensional volumes that are used to model large volumes of coolant such as inlet and outlet plena and pools. Compressible volumes are connected by liquid segments, which are, in turn, composed of one or more elements. Elements are modeled by one-dimensional, incompressible, single-phase flow and are used to </w:t>
      </w:r>
      <w:r w:rsidRPr="00AE317A">
        <w:rPr>
          <w:color w:val="000000" w:themeColor="text1"/>
        </w:rPr>
        <w:t xml:space="preserve">model pumps, pipes, valves, heat exchangers, steam generators, and more. </w:t>
      </w:r>
    </w:p>
    <w:p w14:paraId="0438C101" w14:textId="34AF3EC8" w:rsidR="009226FE" w:rsidRPr="00AE317A" w:rsidRDefault="00E82CF0" w:rsidP="005A7B9A">
      <w:pPr>
        <w:pStyle w:val="BodyText"/>
        <w:rPr>
          <w:color w:val="000000" w:themeColor="text1"/>
        </w:rPr>
      </w:pPr>
      <w:r w:rsidRPr="00AE317A">
        <w:rPr>
          <w:color w:val="000000" w:themeColor="text1"/>
        </w:rPr>
        <w:t xml:space="preserve">Fig. 2 illustrates the primary heat transport system model. </w:t>
      </w:r>
      <w:r w:rsidR="009226FE" w:rsidRPr="00AE317A">
        <w:rPr>
          <w:color w:val="000000" w:themeColor="text1"/>
        </w:rPr>
        <w:t>The PRIMAR-4 model also represents the intermediate loops, DRACS loops, and RVACS.</w:t>
      </w:r>
      <w:r w:rsidR="008B11C9" w:rsidRPr="00AE317A">
        <w:rPr>
          <w:color w:val="000000" w:themeColor="text1"/>
        </w:rPr>
        <w:t xml:space="preserve"> NaK flow through the DRACS loops as well as air flow through the DRACS air heat exchangers and RVACS are always driven by natural circulation</w:t>
      </w:r>
      <w:r w:rsidR="00524D39">
        <w:rPr>
          <w:color w:val="000000" w:themeColor="text1"/>
        </w:rPr>
        <w:t>; there are no pumps in either system.</w:t>
      </w:r>
    </w:p>
    <w:p w14:paraId="5FF6C7B5" w14:textId="38F0AD65" w:rsidR="005A7B9A" w:rsidRPr="00C73D35" w:rsidRDefault="00E82CF0" w:rsidP="005A7B9A">
      <w:pPr>
        <w:pStyle w:val="BodyText"/>
        <w:rPr>
          <w:color w:val="000000" w:themeColor="text1"/>
        </w:rPr>
      </w:pPr>
      <w:r w:rsidRPr="00AE317A">
        <w:rPr>
          <w:color w:val="000000" w:themeColor="text1"/>
        </w:rPr>
        <w:t xml:space="preserve">Sodium enters the core, Segment 1, from the inlet plenum, CV1, and discharges into the hot pool, CV2. Segments 2 and 3 represent the </w:t>
      </w:r>
      <w:r w:rsidR="0077274A" w:rsidRPr="00AE317A">
        <w:rPr>
          <w:color w:val="000000" w:themeColor="text1"/>
        </w:rPr>
        <w:t xml:space="preserve">parallel paths of </w:t>
      </w:r>
      <w:r w:rsidRPr="00AE317A">
        <w:rPr>
          <w:color w:val="000000" w:themeColor="text1"/>
        </w:rPr>
        <w:t>primary sides of the two intermediate heat exchangers (IHX). Sodium discharges from the IHXs into the cold pool</w:t>
      </w:r>
      <w:r w:rsidR="00EB6259" w:rsidRPr="00AE317A">
        <w:rPr>
          <w:color w:val="000000" w:themeColor="text1"/>
        </w:rPr>
        <w:t>, which is represented by two compressible volumes. Most of the cold pool is represented by CV4, the lower portion, while the upper portion is represented by CV3</w:t>
      </w:r>
      <w:r w:rsidRPr="00AE317A">
        <w:rPr>
          <w:color w:val="000000" w:themeColor="text1"/>
        </w:rPr>
        <w:t xml:space="preserve">. The four primary pumps are represented by Segments 5 and 6 with multiplicity factors of two so each segment represents two pumps. </w:t>
      </w:r>
      <w:r w:rsidR="00EB6259" w:rsidRPr="00AE317A">
        <w:rPr>
          <w:color w:val="000000" w:themeColor="text1"/>
        </w:rPr>
        <w:t>Segments 7 and 8 represent the primary</w:t>
      </w:r>
      <w:r w:rsidRPr="00AE317A">
        <w:rPr>
          <w:color w:val="000000" w:themeColor="text1"/>
        </w:rPr>
        <w:t xml:space="preserve"> </w:t>
      </w:r>
      <w:r w:rsidR="00EB6259" w:rsidRPr="00AE317A">
        <w:rPr>
          <w:color w:val="000000" w:themeColor="text1"/>
        </w:rPr>
        <w:t xml:space="preserve">sides of the </w:t>
      </w:r>
      <w:r w:rsidRPr="00AE317A">
        <w:rPr>
          <w:color w:val="000000" w:themeColor="text1"/>
        </w:rPr>
        <w:t xml:space="preserve">submerged decay heat exchangers. Additionally, the hot pool and upper cold pool volumes share a common cover gas. Segment 4 represents sodium flow </w:t>
      </w:r>
      <w:r w:rsidRPr="00C73D35">
        <w:rPr>
          <w:color w:val="000000" w:themeColor="text1"/>
        </w:rPr>
        <w:t>between the two cold pool volumes.</w:t>
      </w:r>
    </w:p>
    <w:p w14:paraId="261C94B0" w14:textId="45CC28A0" w:rsidR="00EB6259" w:rsidRDefault="005464E4" w:rsidP="005A7B9A">
      <w:pPr>
        <w:pStyle w:val="BodyText"/>
        <w:rPr>
          <w:color w:val="000000" w:themeColor="text1"/>
        </w:rPr>
      </w:pPr>
      <w:r w:rsidRPr="00C73D35">
        <w:rPr>
          <w:color w:val="000000" w:themeColor="text1"/>
        </w:rPr>
        <w:t>Each of the two intermediate loops, which were modeled separately to allow for asymmetric transient simulations in the future, include the intermediate side of the IHX, a pump, hot and cold leg piping, and the sodium-side of the steam generator</w:t>
      </w:r>
      <w:r w:rsidR="00EB6259">
        <w:rPr>
          <w:color w:val="000000" w:themeColor="text1"/>
        </w:rPr>
        <w:t xml:space="preserve">. The steam generators are </w:t>
      </w:r>
      <w:r w:rsidRPr="00C73D35">
        <w:rPr>
          <w:color w:val="000000" w:themeColor="text1"/>
        </w:rPr>
        <w:t xml:space="preserve">represented by </w:t>
      </w:r>
      <w:r w:rsidR="00EB6259">
        <w:rPr>
          <w:color w:val="000000" w:themeColor="text1"/>
        </w:rPr>
        <w:t xml:space="preserve">the </w:t>
      </w:r>
      <w:r w:rsidRPr="00C73D35">
        <w:rPr>
          <w:color w:val="000000" w:themeColor="text1"/>
        </w:rPr>
        <w:t xml:space="preserve">simple tabular heat exchanger model. </w:t>
      </w:r>
    </w:p>
    <w:p w14:paraId="6F7C5124" w14:textId="2C525987" w:rsidR="005A7B9A" w:rsidRPr="00C73D35" w:rsidRDefault="005464E4" w:rsidP="005A7B9A">
      <w:pPr>
        <w:pStyle w:val="BodyText"/>
        <w:rPr>
          <w:color w:val="000000" w:themeColor="text1"/>
        </w:rPr>
      </w:pPr>
      <w:r w:rsidRPr="00C73D35">
        <w:rPr>
          <w:color w:val="000000" w:themeColor="text1"/>
        </w:rPr>
        <w:t>For the transient scenarios that were analyzed, it was conservatively assumed that one of the three DRACS units was offline for maintenance</w:t>
      </w:r>
      <w:r w:rsidR="00EB6259">
        <w:rPr>
          <w:color w:val="000000" w:themeColor="text1"/>
        </w:rPr>
        <w:t xml:space="preserve"> or otherwise unavailable</w:t>
      </w:r>
      <w:r w:rsidRPr="00C73D35">
        <w:rPr>
          <w:color w:val="000000" w:themeColor="text1"/>
        </w:rPr>
        <w:t xml:space="preserve"> and therefore rejected no heat at all. The two remaining DRACS units were modeled separately and identically.</w:t>
      </w:r>
      <w:r w:rsidR="009E51DF" w:rsidRPr="00C73D35">
        <w:rPr>
          <w:color w:val="000000" w:themeColor="text1"/>
        </w:rPr>
        <w:t xml:space="preserve"> During normal operating conditions, each DRACS unit has a heat rejection rate of 0.067% of the total core power. When the DRACS are activated, DRACS heat rejection increases to 0.25% per unit</w:t>
      </w:r>
      <w:r w:rsidR="006D5D24">
        <w:rPr>
          <w:color w:val="000000" w:themeColor="text1"/>
        </w:rPr>
        <w:t xml:space="preserve"> at the nominal cold pool temperature</w:t>
      </w:r>
      <w:r w:rsidR="00921471">
        <w:rPr>
          <w:color w:val="000000" w:themeColor="text1"/>
        </w:rPr>
        <w:t>.</w:t>
      </w:r>
    </w:p>
    <w:p w14:paraId="764FFA21" w14:textId="581DD2EA" w:rsidR="005464E4" w:rsidRPr="00C73D35" w:rsidRDefault="005464E4" w:rsidP="005A7B9A">
      <w:pPr>
        <w:pStyle w:val="BodyText"/>
        <w:rPr>
          <w:color w:val="000000" w:themeColor="text1"/>
        </w:rPr>
      </w:pPr>
      <w:r w:rsidRPr="00C73D35">
        <w:rPr>
          <w:color w:val="000000" w:themeColor="text1"/>
        </w:rPr>
        <w:t xml:space="preserve">In the RVACS model, heat rejected from the reactor vessel, which is represented by the walls of the two cold pool volumes, is transferred across a gas gap between the reactor vessel and guard vessel via radiative and convective heat transfer. Cold air supplied through the inlet stacks flows down along the outside of the collector cylinder, turns around, and then flows upward between the collector cylinder and guard vessel, cooling the outside of the guard vessel via convective heat transfer. Hot air is then discharged through the outlet stacks. </w:t>
      </w:r>
      <w:r w:rsidR="009E51DF" w:rsidRPr="00C73D35">
        <w:rPr>
          <w:color w:val="000000" w:themeColor="text1"/>
        </w:rPr>
        <w:t>During normal operating conditions, the RVACS has a heat rejection rate of 0.30% of the total core power.</w:t>
      </w:r>
    </w:p>
    <w:p w14:paraId="677E1052" w14:textId="3D437E35" w:rsidR="005A7B9A" w:rsidRPr="00C73D35" w:rsidRDefault="00CF6AA0" w:rsidP="0066439B">
      <w:pPr>
        <w:pStyle w:val="FigureTyler"/>
        <w:rPr>
          <w:color w:val="000000" w:themeColor="text1"/>
        </w:rPr>
      </w:pPr>
      <w:r w:rsidRPr="00C73D35">
        <w:rPr>
          <w:noProof/>
          <w:color w:val="000000" w:themeColor="text1"/>
          <w:lang w:val="en-US" w:eastAsia="en-US"/>
        </w:rPr>
        <w:lastRenderedPageBreak/>
        <w:drawing>
          <wp:inline distT="0" distB="0" distL="0" distR="0" wp14:anchorId="614D8D32" wp14:editId="0DC6BB8B">
            <wp:extent cx="4106333" cy="57971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157566" cy="5869506"/>
                    </a:xfrm>
                    <a:prstGeom prst="rect">
                      <a:avLst/>
                    </a:prstGeom>
                  </pic:spPr>
                </pic:pic>
              </a:graphicData>
            </a:graphic>
          </wp:inline>
        </w:drawing>
      </w:r>
    </w:p>
    <w:p w14:paraId="2C9EF5E2" w14:textId="77777777" w:rsidR="00E82CF0" w:rsidRPr="00C73D35" w:rsidRDefault="00E82CF0" w:rsidP="0066439B">
      <w:pPr>
        <w:pStyle w:val="Figurecaption"/>
        <w:rPr>
          <w:color w:val="000000" w:themeColor="text1"/>
        </w:rPr>
      </w:pPr>
      <w:r w:rsidRPr="00C73D35">
        <w:rPr>
          <w:caps/>
          <w:color w:val="000000" w:themeColor="text1"/>
        </w:rPr>
        <w:t>Fig</w:t>
      </w:r>
      <w:r w:rsidRPr="00C73D35">
        <w:rPr>
          <w:color w:val="000000" w:themeColor="text1"/>
        </w:rPr>
        <w:t xml:space="preserve">. </w:t>
      </w:r>
      <w:r w:rsidRPr="00C73D35">
        <w:rPr>
          <w:color w:val="000000" w:themeColor="text1"/>
        </w:rPr>
        <w:fldChar w:fldCharType="begin"/>
      </w:r>
      <w:r w:rsidRPr="00C73D35">
        <w:rPr>
          <w:color w:val="000000" w:themeColor="text1"/>
        </w:rPr>
        <w:instrText xml:space="preserve"> SEQ Figure \* ARABIC </w:instrText>
      </w:r>
      <w:r w:rsidRPr="00C73D35">
        <w:rPr>
          <w:color w:val="000000" w:themeColor="text1"/>
        </w:rPr>
        <w:fldChar w:fldCharType="separate"/>
      </w:r>
      <w:r w:rsidRPr="00C73D35">
        <w:rPr>
          <w:noProof/>
          <w:color w:val="000000" w:themeColor="text1"/>
        </w:rPr>
        <w:t>2</w:t>
      </w:r>
      <w:r w:rsidRPr="00C73D35">
        <w:rPr>
          <w:noProof/>
          <w:color w:val="000000" w:themeColor="text1"/>
        </w:rPr>
        <w:fldChar w:fldCharType="end"/>
      </w:r>
      <w:r w:rsidRPr="00C73D35">
        <w:rPr>
          <w:color w:val="000000" w:themeColor="text1"/>
        </w:rPr>
        <w:t>. Primary Heat Transport System Model.</w:t>
      </w:r>
    </w:p>
    <w:p w14:paraId="18B80A96" w14:textId="77777777" w:rsidR="00E82CF0" w:rsidRPr="00C73D35" w:rsidRDefault="00E82CF0" w:rsidP="00E82CF0">
      <w:pPr>
        <w:pStyle w:val="Heading2"/>
        <w:numPr>
          <w:ilvl w:val="1"/>
          <w:numId w:val="10"/>
        </w:numPr>
        <w:rPr>
          <w:color w:val="000000" w:themeColor="text1"/>
        </w:rPr>
      </w:pPr>
      <w:r w:rsidRPr="00C73D35">
        <w:rPr>
          <w:color w:val="000000" w:themeColor="text1"/>
        </w:rPr>
        <w:t>Safety Criteria and Metrics</w:t>
      </w:r>
    </w:p>
    <w:p w14:paraId="59BA2803" w14:textId="77777777" w:rsidR="00A217AA" w:rsidRDefault="00921471" w:rsidP="006F00E7">
      <w:pPr>
        <w:pStyle w:val="BodyText"/>
        <w:rPr>
          <w:color w:val="000000" w:themeColor="text1"/>
        </w:rPr>
      </w:pPr>
      <w:r>
        <w:rPr>
          <w:color w:val="000000" w:themeColor="text1"/>
        </w:rPr>
        <w:t>The</w:t>
      </w:r>
      <w:r w:rsidR="006F00E7" w:rsidRPr="00C73D35">
        <w:rPr>
          <w:color w:val="000000" w:themeColor="text1"/>
        </w:rPr>
        <w:t xml:space="preserve"> three unprotected transient scenarios </w:t>
      </w:r>
      <w:r>
        <w:rPr>
          <w:color w:val="000000" w:themeColor="text1"/>
        </w:rPr>
        <w:t xml:space="preserve">presented below are </w:t>
      </w:r>
      <w:r w:rsidR="006F00E7" w:rsidRPr="00C73D35">
        <w:rPr>
          <w:color w:val="000000" w:themeColor="text1"/>
        </w:rPr>
        <w:t xml:space="preserve">expected </w:t>
      </w:r>
      <w:r>
        <w:rPr>
          <w:color w:val="000000" w:themeColor="text1"/>
        </w:rPr>
        <w:t xml:space="preserve">to have </w:t>
      </w:r>
      <w:r w:rsidR="006F00E7" w:rsidRPr="00C73D35">
        <w:rPr>
          <w:color w:val="000000" w:themeColor="text1"/>
        </w:rPr>
        <w:t>frequencies of occurrence below 10</w:t>
      </w:r>
      <w:r w:rsidR="006F00E7" w:rsidRPr="00C73D35">
        <w:rPr>
          <w:color w:val="000000" w:themeColor="text1"/>
          <w:vertAlign w:val="superscript"/>
        </w:rPr>
        <w:t>-6</w:t>
      </w:r>
      <w:r w:rsidR="006F00E7" w:rsidRPr="00C73D35">
        <w:rPr>
          <w:color w:val="000000" w:themeColor="text1"/>
        </w:rPr>
        <w:t xml:space="preserve"> per reactor-year</w:t>
      </w:r>
      <w:r w:rsidR="00230B8D">
        <w:rPr>
          <w:color w:val="000000" w:themeColor="text1"/>
        </w:rPr>
        <w:t>. This assumption is to be confirmed by a probabilistic risk assessment</w:t>
      </w:r>
      <w:r w:rsidR="006F00E7" w:rsidRPr="00C73D35">
        <w:rPr>
          <w:color w:val="000000" w:themeColor="text1"/>
        </w:rPr>
        <w:t xml:space="preserve">. However, the unprotected transient scenarios are </w:t>
      </w:r>
      <w:r w:rsidR="00736C73" w:rsidRPr="00C73D35">
        <w:rPr>
          <w:color w:val="000000" w:themeColor="text1"/>
        </w:rPr>
        <w:t xml:space="preserve">conservatively evaluated against criteria for </w:t>
      </w:r>
      <w:r w:rsidR="006F00E7" w:rsidRPr="00C73D35">
        <w:rPr>
          <w:color w:val="000000" w:themeColor="text1"/>
        </w:rPr>
        <w:t>beyond design basis events</w:t>
      </w:r>
      <w:r w:rsidR="006F00E7" w:rsidRPr="00C06C29">
        <w:rPr>
          <w:color w:val="000000" w:themeColor="text1"/>
        </w:rPr>
        <w:t>.</w:t>
      </w:r>
      <w:r w:rsidR="00A217AA">
        <w:rPr>
          <w:color w:val="000000" w:themeColor="text1"/>
        </w:rPr>
        <w:t xml:space="preserve"> </w:t>
      </w:r>
      <w:r w:rsidR="006F00E7" w:rsidRPr="00C73D35">
        <w:rPr>
          <w:color w:val="000000" w:themeColor="text1"/>
        </w:rPr>
        <w:t xml:space="preserve">The primary concern for these transients is maintaining a coolable pin geometry with a minimal number of fuel pin failures. Any change to the system preventing liquid coolant from flowing over the cladded fuel pins is considered unacceptable because sodium </w:t>
      </w:r>
      <w:proofErr w:type="gramStart"/>
      <w:r w:rsidR="006F00E7" w:rsidRPr="00C73D35">
        <w:rPr>
          <w:color w:val="000000" w:themeColor="text1"/>
        </w:rPr>
        <w:t>boiling</w:t>
      </w:r>
      <w:proofErr w:type="gramEnd"/>
      <w:r w:rsidR="006F00E7" w:rsidRPr="00C73D35">
        <w:rPr>
          <w:color w:val="000000" w:themeColor="text1"/>
        </w:rPr>
        <w:t xml:space="preserve"> and fuel pin failures can quickly result. Significant margins must be maintained to account for modeling and design uncertainties. </w:t>
      </w:r>
    </w:p>
    <w:p w14:paraId="697986EB" w14:textId="341661FE" w:rsidR="006F00E7" w:rsidRPr="00C73D35" w:rsidRDefault="006F00E7" w:rsidP="006F00E7">
      <w:pPr>
        <w:pStyle w:val="BodyText"/>
        <w:rPr>
          <w:color w:val="000000" w:themeColor="text1"/>
        </w:rPr>
      </w:pPr>
      <w:r w:rsidRPr="00C73D35">
        <w:rPr>
          <w:color w:val="000000" w:themeColor="text1"/>
        </w:rPr>
        <w:t>Four criteria were considered for these accidents:</w:t>
      </w:r>
    </w:p>
    <w:p w14:paraId="28EFAA1F" w14:textId="77777777" w:rsidR="006F00E7" w:rsidRPr="00C73D35" w:rsidRDefault="006F00E7" w:rsidP="006F00E7">
      <w:pPr>
        <w:pStyle w:val="BodyText"/>
        <w:rPr>
          <w:color w:val="000000" w:themeColor="text1"/>
        </w:rPr>
      </w:pPr>
    </w:p>
    <w:p w14:paraId="7639C727" w14:textId="412B196D" w:rsidR="006F00E7" w:rsidRPr="00C73D35" w:rsidRDefault="006F00E7" w:rsidP="006F00E7">
      <w:pPr>
        <w:pStyle w:val="ListEmdash"/>
        <w:ind w:left="709"/>
        <w:rPr>
          <w:color w:val="000000" w:themeColor="text1"/>
        </w:rPr>
      </w:pPr>
      <w:r w:rsidRPr="00C73D35">
        <w:rPr>
          <w:color w:val="000000" w:themeColor="text1"/>
        </w:rPr>
        <w:t>No sodium boiling,</w:t>
      </w:r>
    </w:p>
    <w:p w14:paraId="219A1596" w14:textId="6AC9E7B4" w:rsidR="006F00E7" w:rsidRPr="00C73D35" w:rsidRDefault="006F00E7" w:rsidP="006F00E7">
      <w:pPr>
        <w:pStyle w:val="ListEmdash"/>
        <w:ind w:left="709"/>
        <w:rPr>
          <w:color w:val="000000" w:themeColor="text1"/>
        </w:rPr>
      </w:pPr>
      <w:r w:rsidRPr="00C73D35">
        <w:rPr>
          <w:color w:val="000000" w:themeColor="text1"/>
        </w:rPr>
        <w:t>No fuel melting,</w:t>
      </w:r>
    </w:p>
    <w:p w14:paraId="2F3ADD0E" w14:textId="72D7C0EB" w:rsidR="006F00E7" w:rsidRPr="00C73D35" w:rsidRDefault="006F00E7" w:rsidP="006F00E7">
      <w:pPr>
        <w:pStyle w:val="ListEmdash"/>
        <w:ind w:left="709"/>
        <w:rPr>
          <w:color w:val="000000" w:themeColor="text1"/>
        </w:rPr>
      </w:pPr>
      <w:r w:rsidRPr="00C73D35">
        <w:rPr>
          <w:color w:val="000000" w:themeColor="text1"/>
        </w:rPr>
        <w:t>Maintain reactor vessel integrity, and</w:t>
      </w:r>
    </w:p>
    <w:p w14:paraId="003F3975" w14:textId="6BF5F4C3" w:rsidR="006F00E7" w:rsidRPr="00C73D35" w:rsidRDefault="006F00E7" w:rsidP="006F00E7">
      <w:pPr>
        <w:pStyle w:val="ListEmdash"/>
        <w:ind w:left="709"/>
        <w:rPr>
          <w:color w:val="000000" w:themeColor="text1"/>
        </w:rPr>
      </w:pPr>
      <w:r w:rsidRPr="00C73D35">
        <w:rPr>
          <w:color w:val="000000" w:themeColor="text1"/>
        </w:rPr>
        <w:t xml:space="preserve">No significant loss of cladding from </w:t>
      </w:r>
      <w:r w:rsidR="003F038C">
        <w:rPr>
          <w:color w:val="000000" w:themeColor="text1"/>
        </w:rPr>
        <w:t>fuel-cladding chemical interaction</w:t>
      </w:r>
      <w:r w:rsidRPr="00C73D35">
        <w:rPr>
          <w:color w:val="000000" w:themeColor="text1"/>
        </w:rPr>
        <w:t>.</w:t>
      </w:r>
    </w:p>
    <w:p w14:paraId="444129F2" w14:textId="31F604A8" w:rsidR="00893B2A" w:rsidRDefault="00893B2A" w:rsidP="006F00E7">
      <w:pPr>
        <w:pStyle w:val="BodyText"/>
        <w:rPr>
          <w:color w:val="000000" w:themeColor="text1"/>
        </w:rPr>
      </w:pPr>
    </w:p>
    <w:p w14:paraId="461D6F08" w14:textId="2E21B146" w:rsidR="00893B2A" w:rsidRDefault="00893B2A" w:rsidP="00893B2A">
      <w:pPr>
        <w:pStyle w:val="BodyText"/>
        <w:ind w:firstLine="0"/>
        <w:rPr>
          <w:color w:val="000000" w:themeColor="text1"/>
        </w:rPr>
      </w:pPr>
      <w:r>
        <w:rPr>
          <w:color w:val="000000" w:themeColor="text1"/>
        </w:rPr>
        <w:lastRenderedPageBreak/>
        <w:t xml:space="preserve">At nominal steady-state BOL conditions, the ARC-100 is predicted to have a boiling margin of </w:t>
      </w:r>
      <w:r w:rsidR="00F14348">
        <w:rPr>
          <w:color w:val="000000" w:themeColor="text1"/>
        </w:rPr>
        <w:t>396</w:t>
      </w:r>
      <w:r>
        <w:rPr>
          <w:color w:val="000000" w:themeColor="text1"/>
        </w:rPr>
        <w:t xml:space="preserve">°C relative to a saturation temperature of </w:t>
      </w:r>
      <w:r w:rsidR="00F14348">
        <w:rPr>
          <w:color w:val="000000" w:themeColor="text1"/>
        </w:rPr>
        <w:t>944</w:t>
      </w:r>
      <w:r>
        <w:rPr>
          <w:color w:val="000000" w:themeColor="text1"/>
        </w:rPr>
        <w:t xml:space="preserve">°C at the outlet of the hottest assembly and a fuel melting margin of </w:t>
      </w:r>
      <w:r w:rsidR="00F14348">
        <w:rPr>
          <w:color w:val="000000" w:themeColor="text1"/>
        </w:rPr>
        <w:t>659</w:t>
      </w:r>
      <w:r>
        <w:rPr>
          <w:color w:val="000000" w:themeColor="text1"/>
        </w:rPr>
        <w:t xml:space="preserve">°C to a melting temperature for fresh fuel of </w:t>
      </w:r>
      <w:r w:rsidR="00F14348">
        <w:rPr>
          <w:color w:val="000000" w:themeColor="text1"/>
        </w:rPr>
        <w:t>1223</w:t>
      </w:r>
      <w:r>
        <w:rPr>
          <w:color w:val="000000" w:themeColor="text1"/>
        </w:rPr>
        <w:t xml:space="preserve">°C. </w:t>
      </w:r>
    </w:p>
    <w:p w14:paraId="6D9A3AB1" w14:textId="15324301" w:rsidR="006F00E7" w:rsidRPr="00C73D35" w:rsidRDefault="006F00E7" w:rsidP="006F00E7">
      <w:pPr>
        <w:pStyle w:val="BodyText"/>
        <w:rPr>
          <w:color w:val="000000" w:themeColor="text1"/>
        </w:rPr>
      </w:pPr>
      <w:r w:rsidRPr="00C73D35">
        <w:rPr>
          <w:color w:val="000000" w:themeColor="text1"/>
        </w:rPr>
        <w:t xml:space="preserve">For this analysis, minimum margins of 100°C to sodium boiling and 300°C to fuel melting were further imposed to provide confidence that </w:t>
      </w:r>
      <w:proofErr w:type="gramStart"/>
      <w:r w:rsidRPr="00C73D35">
        <w:rPr>
          <w:color w:val="000000" w:themeColor="text1"/>
        </w:rPr>
        <w:t>boiling</w:t>
      </w:r>
      <w:proofErr w:type="gramEnd"/>
      <w:r w:rsidRPr="00C73D35">
        <w:rPr>
          <w:color w:val="000000" w:themeColor="text1"/>
        </w:rPr>
        <w:t xml:space="preserve"> and melting do not occur when uncertainties are considered. Significant margins are required for the sodium boiling and fuel melting criteria for these transients because those phase changes can occur very quickly and lead to a rapid reactivity introduction or material relocation. Cladding eutectic penetration, on the other hand, is a reaction that occurs very slowly at temperatures near an initial threshold. </w:t>
      </w:r>
      <w:r w:rsidR="00230B8D">
        <w:rPr>
          <w:color w:val="000000" w:themeColor="text1"/>
        </w:rPr>
        <w:t xml:space="preserve">The eutectic model </w:t>
      </w:r>
      <w:r w:rsidR="009226FE">
        <w:rPr>
          <w:color w:val="000000" w:themeColor="text1"/>
        </w:rPr>
        <w:t>described</w:t>
      </w:r>
      <w:r w:rsidR="00230B8D">
        <w:rPr>
          <w:color w:val="000000" w:themeColor="text1"/>
        </w:rPr>
        <w:t xml:space="preserve"> in</w:t>
      </w:r>
      <w:r w:rsidR="009226FE">
        <w:rPr>
          <w:color w:val="000000" w:themeColor="text1"/>
        </w:rPr>
        <w:t xml:space="preserve"> Reference 2 </w:t>
      </w:r>
      <w:r w:rsidR="00230B8D">
        <w:rPr>
          <w:color w:val="000000" w:themeColor="text1"/>
        </w:rPr>
        <w:t xml:space="preserve">was applied for these analyses. </w:t>
      </w:r>
      <w:r w:rsidRPr="00C73D35">
        <w:rPr>
          <w:color w:val="000000" w:themeColor="text1"/>
        </w:rPr>
        <w:t xml:space="preserve">If cladding temperatures remain above the </w:t>
      </w:r>
      <w:r w:rsidR="00230B8D">
        <w:rPr>
          <w:color w:val="000000" w:themeColor="text1"/>
        </w:rPr>
        <w:t xml:space="preserve">715°C </w:t>
      </w:r>
      <w:r w:rsidRPr="00C73D35">
        <w:rPr>
          <w:color w:val="000000" w:themeColor="text1"/>
        </w:rPr>
        <w:t xml:space="preserve">threshold </w:t>
      </w:r>
      <w:r w:rsidR="00230B8D">
        <w:rPr>
          <w:color w:val="000000" w:themeColor="text1"/>
        </w:rPr>
        <w:t xml:space="preserve">[2] </w:t>
      </w:r>
      <w:r w:rsidRPr="00C73D35">
        <w:rPr>
          <w:color w:val="000000" w:themeColor="text1"/>
        </w:rPr>
        <w:t>for significant periods of time, eutectic penetration induced cladding rupture can occur</w:t>
      </w:r>
      <w:r w:rsidR="00230B8D">
        <w:rPr>
          <w:color w:val="000000" w:themeColor="text1"/>
        </w:rPr>
        <w:t xml:space="preserve">, which could result in </w:t>
      </w:r>
      <w:r w:rsidRPr="00C73D35">
        <w:rPr>
          <w:color w:val="000000" w:themeColor="text1"/>
        </w:rPr>
        <w:t>fission gas released from the fuel pin</w:t>
      </w:r>
      <w:r w:rsidR="00230B8D">
        <w:rPr>
          <w:color w:val="000000" w:themeColor="text1"/>
        </w:rPr>
        <w:t>.</w:t>
      </w:r>
      <w:r w:rsidR="00503C31">
        <w:rPr>
          <w:color w:val="000000" w:themeColor="text1"/>
        </w:rPr>
        <w:t xml:space="preserve"> </w:t>
      </w:r>
      <w:r w:rsidR="00230B8D">
        <w:rPr>
          <w:color w:val="000000" w:themeColor="text1"/>
        </w:rPr>
        <w:t>D</w:t>
      </w:r>
      <w:r w:rsidR="00503C31">
        <w:rPr>
          <w:color w:val="000000" w:themeColor="text1"/>
        </w:rPr>
        <w:t>isplac</w:t>
      </w:r>
      <w:r w:rsidR="00230B8D">
        <w:rPr>
          <w:color w:val="000000" w:themeColor="text1"/>
        </w:rPr>
        <w:t xml:space="preserve">ed </w:t>
      </w:r>
      <w:r w:rsidR="00503C31">
        <w:rPr>
          <w:color w:val="000000" w:themeColor="text1"/>
        </w:rPr>
        <w:t xml:space="preserve">coolant </w:t>
      </w:r>
      <w:r w:rsidR="00230B8D">
        <w:rPr>
          <w:color w:val="000000" w:themeColor="text1"/>
        </w:rPr>
        <w:t xml:space="preserve">could produce a </w:t>
      </w:r>
      <w:r w:rsidR="00503C31">
        <w:rPr>
          <w:color w:val="000000" w:themeColor="text1"/>
        </w:rPr>
        <w:t>local positive reactivity insertion</w:t>
      </w:r>
      <w:r w:rsidRPr="00C73D35">
        <w:rPr>
          <w:color w:val="000000" w:themeColor="text1"/>
        </w:rPr>
        <w:t xml:space="preserve">. Cladding temperatures can remain above the threshold temperature for short periods of time, however, </w:t>
      </w:r>
      <w:proofErr w:type="gramStart"/>
      <w:r w:rsidRPr="00C73D35">
        <w:rPr>
          <w:color w:val="000000" w:themeColor="text1"/>
        </w:rPr>
        <w:t>as long as</w:t>
      </w:r>
      <w:proofErr w:type="gramEnd"/>
      <w:r w:rsidRPr="00C73D35">
        <w:rPr>
          <w:color w:val="000000" w:themeColor="text1"/>
        </w:rPr>
        <w:t xml:space="preserve"> there is not a significant loss of cladding thickness.</w:t>
      </w:r>
    </w:p>
    <w:p w14:paraId="64E56E63" w14:textId="225A15D7" w:rsidR="006F00E7" w:rsidRPr="00C73D35" w:rsidRDefault="006F00E7" w:rsidP="006F00E7">
      <w:pPr>
        <w:pStyle w:val="BodyText"/>
        <w:rPr>
          <w:color w:val="000000" w:themeColor="text1"/>
        </w:rPr>
      </w:pPr>
      <w:r w:rsidRPr="00C73D35">
        <w:rPr>
          <w:color w:val="000000" w:themeColor="text1"/>
        </w:rPr>
        <w:t xml:space="preserve">Finally, because these transients are </w:t>
      </w:r>
      <w:r w:rsidR="00736C73" w:rsidRPr="00C73D35">
        <w:rPr>
          <w:color w:val="000000" w:themeColor="text1"/>
        </w:rPr>
        <w:t xml:space="preserve">evaluated against criteria for BDBEs, the key metric for ensuring the coolant boundary does not fail is the </w:t>
      </w:r>
      <w:r w:rsidRPr="00C73D35">
        <w:rPr>
          <w:color w:val="000000" w:themeColor="text1"/>
        </w:rPr>
        <w:t xml:space="preserve">Service Level D </w:t>
      </w:r>
      <w:r w:rsidR="00736C73" w:rsidRPr="00C73D35">
        <w:rPr>
          <w:color w:val="000000" w:themeColor="text1"/>
        </w:rPr>
        <w:t xml:space="preserve">limits </w:t>
      </w:r>
      <w:r w:rsidRPr="00C73D35">
        <w:rPr>
          <w:color w:val="000000" w:themeColor="text1"/>
        </w:rPr>
        <w:t>[</w:t>
      </w:r>
      <w:r w:rsidR="001177A8">
        <w:rPr>
          <w:color w:val="000000" w:themeColor="text1"/>
        </w:rPr>
        <w:t>6</w:t>
      </w:r>
      <w:r w:rsidRPr="00C73D35">
        <w:rPr>
          <w:color w:val="000000" w:themeColor="text1"/>
        </w:rPr>
        <w:t>]</w:t>
      </w:r>
      <w:r w:rsidR="00736C73" w:rsidRPr="00C73D35">
        <w:rPr>
          <w:color w:val="000000" w:themeColor="text1"/>
        </w:rPr>
        <w:t>.</w:t>
      </w:r>
      <w:r w:rsidRPr="00C73D35">
        <w:rPr>
          <w:color w:val="000000" w:themeColor="text1"/>
        </w:rPr>
        <w:t xml:space="preserve"> According to the PRISM PSID</w:t>
      </w:r>
      <w:r w:rsidR="00A217AA">
        <w:rPr>
          <w:color w:val="000000" w:themeColor="text1"/>
        </w:rPr>
        <w:t xml:space="preserve"> </w:t>
      </w:r>
      <w:r w:rsidR="00A217AA" w:rsidRPr="00C06C29">
        <w:rPr>
          <w:color w:val="000000" w:themeColor="text1"/>
        </w:rPr>
        <w:t>[6]</w:t>
      </w:r>
      <w:r w:rsidRPr="00C73D35">
        <w:rPr>
          <w:color w:val="000000" w:themeColor="text1"/>
        </w:rPr>
        <w:t xml:space="preserve">, temperatures of important structural components may not exceed 704°C </w:t>
      </w:r>
      <w:proofErr w:type="gramStart"/>
      <w:r w:rsidRPr="00C73D35">
        <w:rPr>
          <w:color w:val="000000" w:themeColor="text1"/>
        </w:rPr>
        <w:t>in order to</w:t>
      </w:r>
      <w:proofErr w:type="gramEnd"/>
      <w:r w:rsidRPr="00C73D35">
        <w:rPr>
          <w:color w:val="000000" w:themeColor="text1"/>
        </w:rPr>
        <w:t xml:space="preserve"> ensure structural stability. For conservatism, instead of applying this temperature limit to the reactor vessel and redan temperatures, the 704°C limit was applied to bulk coolant temperatures in the hot and cold pool. </w:t>
      </w:r>
    </w:p>
    <w:p w14:paraId="12E6BF29" w14:textId="77777777" w:rsidR="00916BC6" w:rsidRPr="00C73D35" w:rsidRDefault="00916BC6" w:rsidP="00916BC6">
      <w:pPr>
        <w:pStyle w:val="Heading2"/>
        <w:numPr>
          <w:ilvl w:val="1"/>
          <w:numId w:val="10"/>
        </w:numPr>
        <w:rPr>
          <w:color w:val="000000" w:themeColor="text1"/>
        </w:rPr>
      </w:pPr>
      <w:r w:rsidRPr="00C73D35">
        <w:rPr>
          <w:color w:val="000000" w:themeColor="text1"/>
        </w:rPr>
        <w:t>RESULTS</w:t>
      </w:r>
    </w:p>
    <w:p w14:paraId="394055AC" w14:textId="3F7E2B0A" w:rsidR="00916BC6" w:rsidRPr="00C73D35" w:rsidRDefault="00916BC6" w:rsidP="00916BC6">
      <w:pPr>
        <w:pStyle w:val="BodyText"/>
        <w:rPr>
          <w:color w:val="000000" w:themeColor="text1"/>
        </w:rPr>
      </w:pPr>
      <w:r w:rsidRPr="00C73D35">
        <w:rPr>
          <w:color w:val="000000" w:themeColor="text1"/>
        </w:rPr>
        <w:t>Results of transient simulations of the unprotected transient overpower, unprotected station blackout, and unprotected loss of heat sink scenarios are presented below. The results are presented first for beginning-of-life (BOL) conditions, with middle-of-life (MOL) and end-of-life (EOL) results summarized at the end of each section.</w:t>
      </w:r>
      <w:r w:rsidR="00893B2A">
        <w:rPr>
          <w:color w:val="000000" w:themeColor="text1"/>
        </w:rPr>
        <w:t xml:space="preserve"> Peak temperatures and minimum margins for all transients presented below are summarized in Section 5.</w:t>
      </w:r>
    </w:p>
    <w:p w14:paraId="70A65D76" w14:textId="636B52CD" w:rsidR="00115473" w:rsidRPr="00C73D35" w:rsidRDefault="00115473" w:rsidP="00115473">
      <w:pPr>
        <w:pStyle w:val="Heading3"/>
        <w:rPr>
          <w:color w:val="000000" w:themeColor="text1"/>
        </w:rPr>
      </w:pPr>
      <w:r w:rsidRPr="00C73D35">
        <w:rPr>
          <w:color w:val="000000" w:themeColor="text1"/>
        </w:rPr>
        <w:t>Unprotected Station Blackout</w:t>
      </w:r>
    </w:p>
    <w:p w14:paraId="7D389046" w14:textId="4CDA4E6B" w:rsidR="009120FB" w:rsidRPr="00C73D35" w:rsidRDefault="0066439B" w:rsidP="00115473">
      <w:pPr>
        <w:pStyle w:val="BodyText"/>
        <w:rPr>
          <w:color w:val="000000" w:themeColor="text1"/>
        </w:rPr>
      </w:pPr>
      <w:r w:rsidRPr="00C73D35">
        <w:rPr>
          <w:color w:val="000000" w:themeColor="text1"/>
        </w:rPr>
        <w:t xml:space="preserve">The unprotected station blackout (USBO) transient is initiated by a </w:t>
      </w:r>
      <w:r w:rsidR="00893BCE">
        <w:rPr>
          <w:color w:val="000000" w:themeColor="text1"/>
        </w:rPr>
        <w:t>postulated</w:t>
      </w:r>
      <w:r w:rsidRPr="00C73D35">
        <w:rPr>
          <w:color w:val="000000" w:themeColor="text1"/>
        </w:rPr>
        <w:t xml:space="preserve"> loss of electrical power to all plant systems. Forced circulation in the primary and intermediate loops is lost and heat rejection through the steam generators is assumed to decrease to zero. Heat rejection responsibilities transfer to the RVACS and DRACS, with the DRACS air baffles opening automatically via a failsafe mechanism following the loss of electrical power. When the primary sodium pumps trip, flow through the core </w:t>
      </w:r>
      <w:r w:rsidR="006273FD">
        <w:rPr>
          <w:color w:val="000000" w:themeColor="text1"/>
        </w:rPr>
        <w:t>decreases</w:t>
      </w:r>
      <w:r w:rsidRPr="00C73D35">
        <w:rPr>
          <w:color w:val="000000" w:themeColor="text1"/>
        </w:rPr>
        <w:t xml:space="preserve"> with a ten-second initial flow halving time</w:t>
      </w:r>
      <w:r w:rsidR="006273FD">
        <w:rPr>
          <w:color w:val="000000" w:themeColor="text1"/>
        </w:rPr>
        <w:t xml:space="preserve"> via the energy provided by the primary pump coastdown mechanism</w:t>
      </w:r>
      <w:r w:rsidRPr="00C73D35">
        <w:rPr>
          <w:color w:val="000000" w:themeColor="text1"/>
        </w:rPr>
        <w:t xml:space="preserve">. </w:t>
      </w:r>
      <w:r w:rsidR="009120FB" w:rsidRPr="00C73D35">
        <w:rPr>
          <w:color w:val="000000" w:themeColor="text1"/>
        </w:rPr>
        <w:t xml:space="preserve">Intermediate flow coasts down much faster due to the absence of any coastdown mechanisms; the </w:t>
      </w:r>
      <w:r w:rsidR="006113E3">
        <w:rPr>
          <w:color w:val="000000" w:themeColor="text1"/>
        </w:rPr>
        <w:t xml:space="preserve">flow </w:t>
      </w:r>
      <w:r w:rsidR="009120FB" w:rsidRPr="00C73D35">
        <w:rPr>
          <w:color w:val="000000" w:themeColor="text1"/>
        </w:rPr>
        <w:t>coastdown is driven by the inertia of the sodium in the intermediate loops as well as the elevations and density differences throughout the loops. The flow coastdowns in both the core and intermediate loops are shown on the left side of Fig. 3.</w:t>
      </w:r>
    </w:p>
    <w:p w14:paraId="7BB9E8D5" w14:textId="16806248" w:rsidR="009120FB" w:rsidRPr="00C73D35" w:rsidRDefault="0066439B" w:rsidP="009120FB">
      <w:pPr>
        <w:pStyle w:val="BodyText"/>
        <w:rPr>
          <w:color w:val="000000" w:themeColor="text1"/>
        </w:rPr>
      </w:pPr>
      <w:r w:rsidRPr="00C73D35">
        <w:rPr>
          <w:color w:val="000000" w:themeColor="text1"/>
        </w:rPr>
        <w:t>The beginning of the USBO transient is driven primarily by the result</w:t>
      </w:r>
      <w:r w:rsidR="00D203F2" w:rsidRPr="00C73D35">
        <w:rPr>
          <w:color w:val="000000" w:themeColor="text1"/>
        </w:rPr>
        <w:t>ing</w:t>
      </w:r>
      <w:r w:rsidRPr="00C73D35">
        <w:rPr>
          <w:color w:val="000000" w:themeColor="text1"/>
        </w:rPr>
        <w:t xml:space="preserve"> increase of the power-to-flow ratio in the core. </w:t>
      </w:r>
      <w:r w:rsidR="009120FB" w:rsidRPr="00C73D35">
        <w:rPr>
          <w:color w:val="000000" w:themeColor="text1"/>
        </w:rPr>
        <w:t xml:space="preserve">With flow initially decreasing faster than core power, the power-to-flow ratio reaches 218% at 28s. The system gradually transitions to natural circulation and flow through the core begins to level off. During the first minute, negative reactivity generated by radial core expansion, Doppler, and axial core expansion insert nearly negative 20¢ collectively. </w:t>
      </w:r>
      <w:r w:rsidR="00B80DBA" w:rsidRPr="00C73D35">
        <w:rPr>
          <w:color w:val="000000" w:themeColor="text1"/>
        </w:rPr>
        <w:t>The reactivity feedbacks are shown on the right side of Fig. 3.</w:t>
      </w:r>
      <w:r w:rsidR="00B80DBA">
        <w:rPr>
          <w:color w:val="000000" w:themeColor="text1"/>
        </w:rPr>
        <w:t xml:space="preserve"> </w:t>
      </w:r>
      <w:r w:rsidR="009120FB" w:rsidRPr="00C73D35">
        <w:rPr>
          <w:color w:val="000000" w:themeColor="text1"/>
        </w:rPr>
        <w:t xml:space="preserve">Power continues to </w:t>
      </w:r>
      <w:proofErr w:type="gramStart"/>
      <w:r w:rsidR="009120FB" w:rsidRPr="00C73D35">
        <w:rPr>
          <w:color w:val="000000" w:themeColor="text1"/>
        </w:rPr>
        <w:t>decrease</w:t>
      </w:r>
      <w:proofErr w:type="gramEnd"/>
      <w:r w:rsidR="009120FB" w:rsidRPr="00C73D35">
        <w:rPr>
          <w:color w:val="000000" w:themeColor="text1"/>
        </w:rPr>
        <w:t xml:space="preserve"> and the power-to-flow ratio reduces from its peak, dropping below 100% within three minutes. While the power-to-flow ratio is above 100%, the hot pool temperature increases approximately 20°C. This results in an expansion of the control rod drivelines, driving the control rods further into the core and introducing an additional negative 29¢ of reactivity to further reduce fission power. Because of the strong negative reactivity feedback response, fission power decreases below 1% within six minutes. </w:t>
      </w:r>
    </w:p>
    <w:p w14:paraId="11AFF2D5" w14:textId="16C38941" w:rsidR="005D2DF4" w:rsidRPr="00C73D35" w:rsidRDefault="009120FB" w:rsidP="009120FB">
      <w:pPr>
        <w:pStyle w:val="BodyText"/>
        <w:rPr>
          <w:color w:val="000000" w:themeColor="text1"/>
        </w:rPr>
      </w:pPr>
      <w:r w:rsidRPr="00C73D35">
        <w:rPr>
          <w:color w:val="000000" w:themeColor="text1"/>
        </w:rPr>
        <w:t>After the first hour, the system continues to gradually heat up, with most of the temperature increase occurring in the cold pool</w:t>
      </w:r>
      <w:r w:rsidR="005D2DF4" w:rsidRPr="00C73D35">
        <w:rPr>
          <w:color w:val="000000" w:themeColor="text1"/>
        </w:rPr>
        <w:t>.</w:t>
      </w:r>
      <w:r w:rsidRPr="00C73D35">
        <w:rPr>
          <w:color w:val="000000" w:themeColor="text1"/>
        </w:rPr>
        <w:t xml:space="preserve"> </w:t>
      </w:r>
      <w:r w:rsidR="005D2DF4" w:rsidRPr="00C73D35">
        <w:rPr>
          <w:color w:val="000000" w:themeColor="text1"/>
        </w:rPr>
        <w:t>Because heat rejection through the balance of plant is assumed to be lost, heat rejection duties fall to the RVACS and DRACS. The cold pool heating up from 355°C to 494°C by the end of the transient</w:t>
      </w:r>
      <w:r w:rsidR="00765B9B">
        <w:rPr>
          <w:color w:val="000000" w:themeColor="text1"/>
        </w:rPr>
        <w:t xml:space="preserve">. Although this generates positive reactivity from reactor vessel expansion, which acts to pull the core down away from the control rods, the other reactivity feedbacks are more than sufficient to maintain a negative or zero net reactivity for the remainder of the transient. Additionally, the cold pool temperature increase </w:t>
      </w:r>
      <w:r w:rsidR="005D2DF4" w:rsidRPr="00C73D35">
        <w:rPr>
          <w:color w:val="000000" w:themeColor="text1"/>
        </w:rPr>
        <w:t>is beneficial for long-</w:t>
      </w:r>
      <w:r w:rsidR="005D2DF4" w:rsidRPr="00C73D35">
        <w:rPr>
          <w:color w:val="000000" w:themeColor="text1"/>
        </w:rPr>
        <w:lastRenderedPageBreak/>
        <w:t>term heat rejection because the heat rejection rates of both RVACS and DRACS are driven by the cold pool temperature. During the same period, the</w:t>
      </w:r>
      <w:r w:rsidRPr="00C73D35">
        <w:rPr>
          <w:color w:val="000000" w:themeColor="text1"/>
        </w:rPr>
        <w:t xml:space="preserve"> hot pool temperature increase</w:t>
      </w:r>
      <w:r w:rsidR="005D2DF4" w:rsidRPr="00C73D35">
        <w:rPr>
          <w:color w:val="000000" w:themeColor="text1"/>
        </w:rPr>
        <w:t>s</w:t>
      </w:r>
      <w:r w:rsidRPr="00C73D35">
        <w:rPr>
          <w:color w:val="000000" w:themeColor="text1"/>
        </w:rPr>
        <w:t xml:space="preserve"> 50°C</w:t>
      </w:r>
      <w:r w:rsidR="005D2DF4" w:rsidRPr="00C73D35">
        <w:rPr>
          <w:color w:val="000000" w:themeColor="text1"/>
        </w:rPr>
        <w:t>.</w:t>
      </w:r>
      <w:r w:rsidRPr="00C73D35">
        <w:rPr>
          <w:color w:val="000000" w:themeColor="text1"/>
        </w:rPr>
        <w:t xml:space="preserve"> </w:t>
      </w:r>
    </w:p>
    <w:p w14:paraId="04BC1C71" w14:textId="551EDD3F" w:rsidR="009120FB" w:rsidRPr="00C73D35" w:rsidRDefault="005D2DF4" w:rsidP="009120FB">
      <w:pPr>
        <w:pStyle w:val="BodyText"/>
        <w:rPr>
          <w:color w:val="000000" w:themeColor="text1"/>
        </w:rPr>
      </w:pPr>
      <w:r w:rsidRPr="00C73D35">
        <w:rPr>
          <w:color w:val="000000" w:themeColor="text1"/>
        </w:rPr>
        <w:t>The left side of Fig. 4</w:t>
      </w:r>
      <w:r w:rsidR="009120FB" w:rsidRPr="00C73D35">
        <w:rPr>
          <w:color w:val="000000" w:themeColor="text1"/>
        </w:rPr>
        <w:t xml:space="preserve"> illustrates the long-term power production and decay heat removal. At approximately twenty-five hours, total power production has decreased sufficiently to match the total available heat rejection and system temperatures begin to decrease. The simulation was terminated at this time, with power and total decay heat removal stabilizing at 1.26% The available decay heat rejection is more than sufficient such that system temperatures remain low enough for fission power to stabilize at 0.7%. </w:t>
      </w:r>
    </w:p>
    <w:p w14:paraId="358A6887" w14:textId="26630524" w:rsidR="009120FB" w:rsidRDefault="00D203F2" w:rsidP="009120FB">
      <w:pPr>
        <w:pStyle w:val="BodyText"/>
        <w:rPr>
          <w:color w:val="000000" w:themeColor="text1"/>
        </w:rPr>
      </w:pPr>
      <w:r w:rsidRPr="00C73D35">
        <w:rPr>
          <w:color w:val="000000" w:themeColor="text1"/>
        </w:rPr>
        <w:t>The</w:t>
      </w:r>
      <w:r w:rsidR="005D2DF4" w:rsidRPr="00C73D35">
        <w:rPr>
          <w:color w:val="000000" w:themeColor="text1"/>
        </w:rPr>
        <w:t xml:space="preserve"> right side of Fig. 4</w:t>
      </w:r>
      <w:r w:rsidRPr="00C73D35">
        <w:rPr>
          <w:color w:val="000000" w:themeColor="text1"/>
        </w:rPr>
        <w:t xml:space="preserve"> illustrates the peak in-core </w:t>
      </w:r>
      <w:r w:rsidRPr="00765B9B">
        <w:rPr>
          <w:color w:val="000000" w:themeColor="text1"/>
        </w:rPr>
        <w:t>temperatures</w:t>
      </w:r>
      <w:r w:rsidR="005D2DF4" w:rsidRPr="00765B9B">
        <w:rPr>
          <w:color w:val="000000" w:themeColor="text1"/>
        </w:rPr>
        <w:t xml:space="preserve">. </w:t>
      </w:r>
      <w:r w:rsidR="009120FB" w:rsidRPr="00765B9B">
        <w:rPr>
          <w:color w:val="000000" w:themeColor="text1"/>
        </w:rPr>
        <w:t xml:space="preserve">The peak cladding temperature remains above the slow eutectic threshold for approximately one minute, limiting eutectic penetration to 0.1% of the cladding thickness in the hottest pins. </w:t>
      </w:r>
      <w:r w:rsidRPr="00765B9B">
        <w:rPr>
          <w:color w:val="000000" w:themeColor="text1"/>
        </w:rPr>
        <w:t xml:space="preserve">Thus, there is no risk of pin failures, other than from stochastic issues related to faulty fuel pins. </w:t>
      </w:r>
      <w:r w:rsidR="009120FB" w:rsidRPr="00765B9B">
        <w:rPr>
          <w:color w:val="000000" w:themeColor="text1"/>
        </w:rPr>
        <w:t xml:space="preserve">Significant margins to sodium boiling and fuel melting were maintained to ensure neither </w:t>
      </w:r>
      <w:r w:rsidR="009120FB" w:rsidRPr="00C73D35">
        <w:rPr>
          <w:color w:val="000000" w:themeColor="text1"/>
        </w:rPr>
        <w:t xml:space="preserve">occurred during this transient. </w:t>
      </w:r>
      <w:r w:rsidRPr="00C73D35">
        <w:rPr>
          <w:color w:val="000000" w:themeColor="text1"/>
        </w:rPr>
        <w:t xml:space="preserve">In the longer-term, peak temperatures in the core stabilized at approximately 560°C. </w:t>
      </w:r>
      <w:r w:rsidR="009120FB" w:rsidRPr="00C73D35">
        <w:rPr>
          <w:color w:val="000000" w:themeColor="text1"/>
        </w:rPr>
        <w:t>And finally, because the hot pool temperature increase was limited to just 50°C, a margin of 144°C to the Service Level D limit was maintained to ensure structure integrity of the reactor vessel and redan.</w:t>
      </w:r>
      <w:r w:rsidRPr="00C73D35">
        <w:rPr>
          <w:color w:val="000000" w:themeColor="text1"/>
        </w:rPr>
        <w:t xml:space="preserve"> All criteria defined above were successfully met for the BOL USBO scenario.</w:t>
      </w:r>
    </w:p>
    <w:p w14:paraId="1EB9A474" w14:textId="0D4EA89E" w:rsidR="00F14348" w:rsidRDefault="00F14348" w:rsidP="00F14348">
      <w:pPr>
        <w:pStyle w:val="BodyText"/>
        <w:rPr>
          <w:color w:val="000000" w:themeColor="text1"/>
        </w:rPr>
      </w:pPr>
      <w:r w:rsidRPr="00C73D35">
        <w:rPr>
          <w:color w:val="000000" w:themeColor="text1"/>
        </w:rPr>
        <w:t>The unprotected station blackout transient during middle-of-life conditions progresses similarly to the USBO during beginning-of-life conditions. As large safety margins were maintained for the BOL USBO, so too were large safety margins maintained for the MOL USBO. The biggest differences were slightly more negative reactivity from radial core expansion, which was nearly balanced by slightly more positive reactivity from the coolant density feedback. Cladding and coolant temperatures peaked 8°C and 9°C lower, respectively, at MOL while fuel temperatures peaked 11°C higher due to the build-up of plutonium in the fuel and the small resulting decrease in the fuel thermal conductivity.</w:t>
      </w:r>
    </w:p>
    <w:p w14:paraId="53778F5C" w14:textId="77777777" w:rsidR="00D203F2" w:rsidRPr="00C73D35" w:rsidRDefault="00D203F2" w:rsidP="009120FB">
      <w:pPr>
        <w:pStyle w:val="BodyText"/>
        <w:rPr>
          <w:color w:val="000000" w:themeColor="text1"/>
        </w:rPr>
      </w:pPr>
    </w:p>
    <w:p w14:paraId="502380A9" w14:textId="5C1231C5" w:rsidR="009120FB" w:rsidRPr="00C73D35" w:rsidRDefault="009120FB" w:rsidP="009120FB">
      <w:pPr>
        <w:pStyle w:val="FigureTyler"/>
        <w:rPr>
          <w:color w:val="000000" w:themeColor="text1"/>
        </w:rPr>
      </w:pPr>
      <w:r w:rsidRPr="00C73D35">
        <w:rPr>
          <w:noProof/>
          <w:color w:val="000000" w:themeColor="text1"/>
          <w:lang w:val="en-US" w:eastAsia="en-US"/>
        </w:rPr>
        <w:drawing>
          <wp:inline distT="0" distB="0" distL="0" distR="0" wp14:anchorId="410C2D01" wp14:editId="732EF595">
            <wp:extent cx="2926080" cy="1994307"/>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Picture 7168"/>
                    <pic:cNvPicPr/>
                  </pic:nvPicPr>
                  <pic:blipFill rotWithShape="1">
                    <a:blip r:embed="rId13"/>
                    <a:srcRect l="4666" t="10638" r="8191" b="3568"/>
                    <a:stretch/>
                  </pic:blipFill>
                  <pic:spPr bwMode="auto">
                    <a:xfrm>
                      <a:off x="0" y="0"/>
                      <a:ext cx="2926080" cy="1994307"/>
                    </a:xfrm>
                    <a:prstGeom prst="rect">
                      <a:avLst/>
                    </a:prstGeom>
                    <a:ln>
                      <a:noFill/>
                    </a:ln>
                    <a:extLst>
                      <a:ext uri="{53640926-AAD7-44D8-BBD7-CCE9431645EC}">
                        <a14:shadowObscured xmlns:a14="http://schemas.microsoft.com/office/drawing/2010/main"/>
                      </a:ext>
                    </a:extLst>
                  </pic:spPr>
                </pic:pic>
              </a:graphicData>
            </a:graphic>
          </wp:inline>
        </w:drawing>
      </w:r>
      <w:r w:rsidRPr="00C73D35">
        <w:rPr>
          <w:color w:val="000000" w:themeColor="text1"/>
        </w:rPr>
        <w:t xml:space="preserve">  </w:t>
      </w:r>
      <w:r w:rsidRPr="00C73D35">
        <w:rPr>
          <w:noProof/>
          <w:color w:val="000000" w:themeColor="text1"/>
          <w:lang w:val="en-US" w:eastAsia="en-US"/>
        </w:rPr>
        <w:drawing>
          <wp:inline distT="0" distB="0" distL="0" distR="0" wp14:anchorId="4349B0BF" wp14:editId="3DBC97E8">
            <wp:extent cx="2926080" cy="2038317"/>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Picture 7181"/>
                    <pic:cNvPicPr/>
                  </pic:nvPicPr>
                  <pic:blipFill rotWithShape="1">
                    <a:blip r:embed="rId14"/>
                    <a:srcRect l="4816" t="9455" r="8498" b="3331"/>
                    <a:stretch/>
                  </pic:blipFill>
                  <pic:spPr bwMode="auto">
                    <a:xfrm>
                      <a:off x="0" y="0"/>
                      <a:ext cx="2926080" cy="2038317"/>
                    </a:xfrm>
                    <a:prstGeom prst="rect">
                      <a:avLst/>
                    </a:prstGeom>
                    <a:ln>
                      <a:noFill/>
                    </a:ln>
                    <a:extLst>
                      <a:ext uri="{53640926-AAD7-44D8-BBD7-CCE9431645EC}">
                        <a14:shadowObscured xmlns:a14="http://schemas.microsoft.com/office/drawing/2010/main"/>
                      </a:ext>
                    </a:extLst>
                  </pic:spPr>
                </pic:pic>
              </a:graphicData>
            </a:graphic>
          </wp:inline>
        </w:drawing>
      </w:r>
    </w:p>
    <w:p w14:paraId="35BA9724" w14:textId="74FCF74F" w:rsidR="0066439B" w:rsidRPr="00C73D35" w:rsidRDefault="0066439B" w:rsidP="0066439B">
      <w:pPr>
        <w:pStyle w:val="Figurecaption"/>
        <w:rPr>
          <w:color w:val="000000" w:themeColor="text1"/>
        </w:rPr>
      </w:pPr>
      <w:r w:rsidRPr="00C73D35">
        <w:rPr>
          <w:caps/>
          <w:color w:val="000000" w:themeColor="text1"/>
        </w:rPr>
        <w:t>Fig</w:t>
      </w:r>
      <w:r w:rsidRPr="00C73D35">
        <w:rPr>
          <w:color w:val="000000" w:themeColor="text1"/>
        </w:rPr>
        <w:t xml:space="preserve">. </w:t>
      </w:r>
      <w:r w:rsidRPr="00C73D35">
        <w:rPr>
          <w:color w:val="000000" w:themeColor="text1"/>
        </w:rPr>
        <w:fldChar w:fldCharType="begin"/>
      </w:r>
      <w:r w:rsidRPr="00C73D35">
        <w:rPr>
          <w:color w:val="000000" w:themeColor="text1"/>
        </w:rPr>
        <w:instrText xml:space="preserve"> SEQ Figure \* ARABIC </w:instrText>
      </w:r>
      <w:r w:rsidRPr="00C73D35">
        <w:rPr>
          <w:color w:val="000000" w:themeColor="text1"/>
        </w:rPr>
        <w:fldChar w:fldCharType="separate"/>
      </w:r>
      <w:r w:rsidRPr="00C73D35">
        <w:rPr>
          <w:noProof/>
          <w:color w:val="000000" w:themeColor="text1"/>
        </w:rPr>
        <w:t>3</w:t>
      </w:r>
      <w:r w:rsidRPr="00C73D35">
        <w:rPr>
          <w:noProof/>
          <w:color w:val="000000" w:themeColor="text1"/>
        </w:rPr>
        <w:fldChar w:fldCharType="end"/>
      </w:r>
      <w:r w:rsidRPr="00C73D35">
        <w:rPr>
          <w:color w:val="000000" w:themeColor="text1"/>
        </w:rPr>
        <w:t xml:space="preserve">. BOL USBO – (Left) Core Mass Flow Rate and (Right) </w:t>
      </w:r>
      <w:r w:rsidR="009120FB" w:rsidRPr="00C73D35">
        <w:rPr>
          <w:color w:val="000000" w:themeColor="text1"/>
        </w:rPr>
        <w:t>Reactivity</w:t>
      </w:r>
      <w:r w:rsidRPr="00C73D35">
        <w:rPr>
          <w:color w:val="000000" w:themeColor="text1"/>
        </w:rPr>
        <w:t>.</w:t>
      </w:r>
    </w:p>
    <w:p w14:paraId="3A3C936B" w14:textId="49A66A46" w:rsidR="0066439B" w:rsidRPr="00C73D35" w:rsidRDefault="005D2DF4" w:rsidP="0066439B">
      <w:pPr>
        <w:pStyle w:val="FigureTyler"/>
        <w:rPr>
          <w:color w:val="000000" w:themeColor="text1"/>
        </w:rPr>
      </w:pPr>
      <w:r w:rsidRPr="00C73D35">
        <w:rPr>
          <w:noProof/>
          <w:color w:val="000000" w:themeColor="text1"/>
          <w:lang w:val="en-US" w:eastAsia="en-US"/>
        </w:rPr>
        <w:drawing>
          <wp:inline distT="0" distB="0" distL="0" distR="0" wp14:anchorId="17944C65" wp14:editId="2F436DD3">
            <wp:extent cx="2926080" cy="2044272"/>
            <wp:effectExtent l="0" t="0" r="0" b="635"/>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Picture 7184"/>
                    <pic:cNvPicPr/>
                  </pic:nvPicPr>
                  <pic:blipFill rotWithShape="1">
                    <a:blip r:embed="rId15"/>
                    <a:srcRect l="6321" t="9926" r="8185" b="3797"/>
                    <a:stretch/>
                  </pic:blipFill>
                  <pic:spPr bwMode="auto">
                    <a:xfrm>
                      <a:off x="0" y="0"/>
                      <a:ext cx="2926080" cy="2044272"/>
                    </a:xfrm>
                    <a:prstGeom prst="rect">
                      <a:avLst/>
                    </a:prstGeom>
                    <a:ln>
                      <a:noFill/>
                    </a:ln>
                    <a:extLst>
                      <a:ext uri="{53640926-AAD7-44D8-BBD7-CCE9431645EC}">
                        <a14:shadowObscured xmlns:a14="http://schemas.microsoft.com/office/drawing/2010/main"/>
                      </a:ext>
                    </a:extLst>
                  </pic:spPr>
                </pic:pic>
              </a:graphicData>
            </a:graphic>
          </wp:inline>
        </w:drawing>
      </w:r>
      <w:r w:rsidRPr="00C73D35">
        <w:rPr>
          <w:color w:val="000000" w:themeColor="text1"/>
        </w:rPr>
        <w:t xml:space="preserve">  </w:t>
      </w:r>
      <w:r w:rsidR="009120FB" w:rsidRPr="00C73D35">
        <w:rPr>
          <w:noProof/>
          <w:color w:val="000000" w:themeColor="text1"/>
          <w:lang w:val="en-US" w:eastAsia="en-US"/>
        </w:rPr>
        <w:drawing>
          <wp:inline distT="0" distB="0" distL="0" distR="0" wp14:anchorId="17FE8856" wp14:editId="63455FD6">
            <wp:extent cx="2926080" cy="2010311"/>
            <wp:effectExtent l="0" t="0" r="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Picture 7185"/>
                    <pic:cNvPicPr/>
                  </pic:nvPicPr>
                  <pic:blipFill rotWithShape="1">
                    <a:blip r:embed="rId16"/>
                    <a:srcRect l="5418" t="10398" r="8341" b="4030"/>
                    <a:stretch/>
                  </pic:blipFill>
                  <pic:spPr bwMode="auto">
                    <a:xfrm>
                      <a:off x="0" y="0"/>
                      <a:ext cx="2926080" cy="2010311"/>
                    </a:xfrm>
                    <a:prstGeom prst="rect">
                      <a:avLst/>
                    </a:prstGeom>
                    <a:ln>
                      <a:noFill/>
                    </a:ln>
                    <a:extLst>
                      <a:ext uri="{53640926-AAD7-44D8-BBD7-CCE9431645EC}">
                        <a14:shadowObscured xmlns:a14="http://schemas.microsoft.com/office/drawing/2010/main"/>
                      </a:ext>
                    </a:extLst>
                  </pic:spPr>
                </pic:pic>
              </a:graphicData>
            </a:graphic>
          </wp:inline>
        </w:drawing>
      </w:r>
    </w:p>
    <w:p w14:paraId="3146DB3D" w14:textId="1ADA84ED" w:rsidR="0066439B" w:rsidRPr="00C73D35" w:rsidRDefault="0066439B" w:rsidP="0066439B">
      <w:pPr>
        <w:pStyle w:val="Figurecaption"/>
        <w:rPr>
          <w:color w:val="000000" w:themeColor="text1"/>
        </w:rPr>
      </w:pPr>
      <w:r w:rsidRPr="00C73D35">
        <w:rPr>
          <w:caps/>
          <w:color w:val="000000" w:themeColor="text1"/>
        </w:rPr>
        <w:t>Fig</w:t>
      </w:r>
      <w:r w:rsidRPr="00C73D35">
        <w:rPr>
          <w:color w:val="000000" w:themeColor="text1"/>
        </w:rPr>
        <w:t xml:space="preserve">. </w:t>
      </w:r>
      <w:r w:rsidRPr="00C73D35">
        <w:rPr>
          <w:color w:val="000000" w:themeColor="text1"/>
        </w:rPr>
        <w:fldChar w:fldCharType="begin"/>
      </w:r>
      <w:r w:rsidRPr="00C73D35">
        <w:rPr>
          <w:color w:val="000000" w:themeColor="text1"/>
        </w:rPr>
        <w:instrText xml:space="preserve"> SEQ Figure \* ARABIC </w:instrText>
      </w:r>
      <w:r w:rsidRPr="00C73D35">
        <w:rPr>
          <w:color w:val="000000" w:themeColor="text1"/>
        </w:rPr>
        <w:fldChar w:fldCharType="separate"/>
      </w:r>
      <w:r w:rsidRPr="00C73D35">
        <w:rPr>
          <w:noProof/>
          <w:color w:val="000000" w:themeColor="text1"/>
        </w:rPr>
        <w:t>4</w:t>
      </w:r>
      <w:r w:rsidRPr="00C73D35">
        <w:rPr>
          <w:noProof/>
          <w:color w:val="000000" w:themeColor="text1"/>
        </w:rPr>
        <w:fldChar w:fldCharType="end"/>
      </w:r>
      <w:r w:rsidRPr="00C73D35">
        <w:rPr>
          <w:color w:val="000000" w:themeColor="text1"/>
        </w:rPr>
        <w:t xml:space="preserve">. BOL USBO – (Left) </w:t>
      </w:r>
      <w:r w:rsidR="005D2DF4" w:rsidRPr="00C73D35">
        <w:rPr>
          <w:color w:val="000000" w:themeColor="text1"/>
        </w:rPr>
        <w:t xml:space="preserve">Power and Decay Heat Removal </w:t>
      </w:r>
      <w:r w:rsidRPr="00C73D35">
        <w:rPr>
          <w:color w:val="000000" w:themeColor="text1"/>
        </w:rPr>
        <w:t xml:space="preserve">and (Right) </w:t>
      </w:r>
      <w:r w:rsidR="005D2DF4" w:rsidRPr="00C73D35">
        <w:rPr>
          <w:color w:val="000000" w:themeColor="text1"/>
        </w:rPr>
        <w:t>Peak In-Core Temperatures</w:t>
      </w:r>
      <w:r w:rsidRPr="00C73D35">
        <w:rPr>
          <w:color w:val="000000" w:themeColor="text1"/>
        </w:rPr>
        <w:t>.</w:t>
      </w:r>
    </w:p>
    <w:p w14:paraId="2F0C7795" w14:textId="1C157134" w:rsidR="00524D39" w:rsidRDefault="00524D39" w:rsidP="00115473">
      <w:pPr>
        <w:pStyle w:val="BodyText"/>
        <w:rPr>
          <w:color w:val="000000" w:themeColor="text1"/>
        </w:rPr>
      </w:pPr>
    </w:p>
    <w:p w14:paraId="7DA4AA15" w14:textId="77777777" w:rsidR="00524D39" w:rsidRPr="00C73D35" w:rsidRDefault="00524D39" w:rsidP="00115473">
      <w:pPr>
        <w:pStyle w:val="BodyText"/>
        <w:rPr>
          <w:color w:val="000000" w:themeColor="text1"/>
        </w:rPr>
      </w:pPr>
    </w:p>
    <w:p w14:paraId="3686BAE7" w14:textId="4ECB3475" w:rsidR="007F5A54" w:rsidRDefault="007F5A54" w:rsidP="007F5A54">
      <w:pPr>
        <w:pStyle w:val="BodyText"/>
        <w:rPr>
          <w:color w:val="000000" w:themeColor="text1"/>
        </w:rPr>
      </w:pPr>
      <w:r w:rsidRPr="00C73D35">
        <w:rPr>
          <w:color w:val="000000" w:themeColor="text1"/>
        </w:rPr>
        <w:lastRenderedPageBreak/>
        <w:t xml:space="preserve">While the BOL and MOL USBO transient progressions were predicted to be very similar, several differences were </w:t>
      </w:r>
      <w:r w:rsidR="00BC2975">
        <w:rPr>
          <w:color w:val="000000" w:themeColor="text1"/>
        </w:rPr>
        <w:t>observed</w:t>
      </w:r>
      <w:r w:rsidRPr="00C73D35">
        <w:rPr>
          <w:color w:val="000000" w:themeColor="text1"/>
        </w:rPr>
        <w:t xml:space="preserve"> for the EOL USBO. These differences were due primarily to the control rods being withdrawn to the top of the fuel at EOL conditions, which reduced the magnitude of the CRDL expansion and reactor vessel expansion reactivity feedbacks. Temperatures in the core peaked higher at EOL conditions due to the lack of negative reactivity from control rod driveline expansion</w:t>
      </w:r>
      <w:r w:rsidR="00D725D0" w:rsidRPr="00C73D35">
        <w:rPr>
          <w:color w:val="000000" w:themeColor="text1"/>
        </w:rPr>
        <w:t>; however,</w:t>
      </w:r>
      <w:r w:rsidRPr="00C73D35">
        <w:rPr>
          <w:color w:val="000000" w:themeColor="text1"/>
        </w:rPr>
        <w:t xml:space="preserve"> large safety margins were still maintained. In the long-term, with significantly less positive reactivity from reactor vessel expansion, </w:t>
      </w:r>
      <w:r w:rsidR="00D725D0" w:rsidRPr="00C73D35">
        <w:rPr>
          <w:color w:val="000000" w:themeColor="text1"/>
        </w:rPr>
        <w:t>fission power is decreases more than during the either the BOL or MOL simulations. Total heat rejection matches power production after just four hours with smaller temperature increases in the hot and cold pool. After this point, temperatures in the system gradually decrease.</w:t>
      </w:r>
    </w:p>
    <w:p w14:paraId="289F189F" w14:textId="15A04BC5" w:rsidR="00912054" w:rsidRDefault="00912054" w:rsidP="00912054">
      <w:pPr>
        <w:pStyle w:val="BodyText"/>
        <w:rPr>
          <w:color w:val="000000" w:themeColor="text1"/>
        </w:rPr>
      </w:pPr>
      <w:r>
        <w:rPr>
          <w:color w:val="000000" w:themeColor="text1"/>
        </w:rPr>
        <w:t xml:space="preserve">Table 2 presents </w:t>
      </w:r>
      <w:r w:rsidRPr="00C73D35">
        <w:rPr>
          <w:color w:val="000000" w:themeColor="text1"/>
        </w:rPr>
        <w:t xml:space="preserve">the peak temperatures and minimum margins predicted for </w:t>
      </w:r>
      <w:r>
        <w:rPr>
          <w:color w:val="000000" w:themeColor="text1"/>
        </w:rPr>
        <w:t>the unprotected station blackout</w:t>
      </w:r>
      <w:r w:rsidRPr="00C73D35">
        <w:rPr>
          <w:color w:val="000000" w:themeColor="text1"/>
        </w:rPr>
        <w:t xml:space="preserve"> transient at BOL, MOL, and EOL conditions, respectively</w:t>
      </w:r>
      <w:r>
        <w:rPr>
          <w:color w:val="000000" w:themeColor="text1"/>
        </w:rPr>
        <w:t>.</w:t>
      </w:r>
    </w:p>
    <w:p w14:paraId="41877C50" w14:textId="77777777" w:rsidR="00912054" w:rsidRPr="00C73D35" w:rsidRDefault="00912054" w:rsidP="00912054">
      <w:pPr>
        <w:pStyle w:val="BodyText"/>
        <w:rPr>
          <w:color w:val="000000" w:themeColor="text1"/>
        </w:rPr>
      </w:pPr>
    </w:p>
    <w:p w14:paraId="52491F60" w14:textId="38DEF370" w:rsidR="00912054" w:rsidRPr="00C73D35" w:rsidRDefault="00912054" w:rsidP="00912054">
      <w:pPr>
        <w:pStyle w:val="BodyText"/>
        <w:ind w:firstLine="0"/>
        <w:rPr>
          <w:color w:val="000000" w:themeColor="text1"/>
        </w:rPr>
      </w:pPr>
      <w:r w:rsidRPr="00C73D35">
        <w:rPr>
          <w:color w:val="000000" w:themeColor="text1"/>
        </w:rPr>
        <w:t>TABLE 2.</w:t>
      </w:r>
      <w:r w:rsidRPr="00C73D35">
        <w:rPr>
          <w:color w:val="000000" w:themeColor="text1"/>
        </w:rPr>
        <w:tab/>
      </w:r>
      <w:r>
        <w:rPr>
          <w:color w:val="000000" w:themeColor="text1"/>
        </w:rPr>
        <w:t>USBO</w:t>
      </w:r>
      <w:r w:rsidRPr="00C73D35">
        <w:rPr>
          <w:color w:val="000000" w:themeColor="text1"/>
        </w:rPr>
        <w:t xml:space="preserve"> </w:t>
      </w:r>
      <w:r w:rsidR="004278DE">
        <w:rPr>
          <w:color w:val="000000" w:themeColor="text1"/>
        </w:rPr>
        <w:t>PEAK TEMPERATURES AND MINIMUM MARGINS</w:t>
      </w:r>
    </w:p>
    <w:p w14:paraId="5A458901" w14:textId="77777777" w:rsidR="00912054" w:rsidRPr="00C73D35" w:rsidRDefault="00912054" w:rsidP="00912054">
      <w:pPr>
        <w:pStyle w:val="BodyText"/>
        <w:rPr>
          <w:color w:val="000000" w:themeColor="text1"/>
        </w:rPr>
      </w:pPr>
    </w:p>
    <w:tbl>
      <w:tblPr>
        <w:tblStyle w:val="TableGrid"/>
        <w:tblW w:w="8401" w:type="dxa"/>
        <w:jc w:val="center"/>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976"/>
        <w:gridCol w:w="1079"/>
        <w:gridCol w:w="976"/>
        <w:gridCol w:w="1079"/>
        <w:gridCol w:w="976"/>
        <w:gridCol w:w="1079"/>
      </w:tblGrid>
      <w:tr w:rsidR="00912054" w:rsidRPr="00C73D35" w14:paraId="5067FDD2" w14:textId="77777777" w:rsidTr="00E14178">
        <w:trPr>
          <w:jc w:val="center"/>
        </w:trPr>
        <w:tc>
          <w:tcPr>
            <w:tcW w:w="2236" w:type="dxa"/>
            <w:tcBorders>
              <w:top w:val="single" w:sz="4" w:space="0" w:color="auto"/>
              <w:bottom w:val="nil"/>
            </w:tcBorders>
            <w:vAlign w:val="center"/>
          </w:tcPr>
          <w:p w14:paraId="38A5D11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p>
        </w:tc>
        <w:tc>
          <w:tcPr>
            <w:tcW w:w="2055" w:type="dxa"/>
            <w:gridSpan w:val="2"/>
            <w:tcBorders>
              <w:top w:val="single" w:sz="4" w:space="0" w:color="auto"/>
              <w:bottom w:val="nil"/>
            </w:tcBorders>
            <w:vAlign w:val="center"/>
          </w:tcPr>
          <w:p w14:paraId="4C543900"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BOL</w:t>
            </w:r>
          </w:p>
        </w:tc>
        <w:tc>
          <w:tcPr>
            <w:tcW w:w="2055" w:type="dxa"/>
            <w:gridSpan w:val="2"/>
            <w:tcBorders>
              <w:top w:val="single" w:sz="4" w:space="0" w:color="auto"/>
              <w:bottom w:val="nil"/>
            </w:tcBorders>
          </w:tcPr>
          <w:p w14:paraId="561B8B5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MOL</w:t>
            </w:r>
          </w:p>
        </w:tc>
        <w:tc>
          <w:tcPr>
            <w:tcW w:w="2055" w:type="dxa"/>
            <w:gridSpan w:val="2"/>
            <w:tcBorders>
              <w:top w:val="single" w:sz="4" w:space="0" w:color="auto"/>
              <w:bottom w:val="nil"/>
            </w:tcBorders>
          </w:tcPr>
          <w:p w14:paraId="79BC85DA"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EOC</w:t>
            </w:r>
          </w:p>
        </w:tc>
      </w:tr>
      <w:tr w:rsidR="00912054" w:rsidRPr="00C73D35" w14:paraId="29276278" w14:textId="77777777" w:rsidTr="00E14178">
        <w:trPr>
          <w:jc w:val="center"/>
        </w:trPr>
        <w:tc>
          <w:tcPr>
            <w:tcW w:w="2236" w:type="dxa"/>
            <w:tcBorders>
              <w:top w:val="nil"/>
              <w:bottom w:val="single" w:sz="2" w:space="0" w:color="auto"/>
            </w:tcBorders>
            <w:vAlign w:val="center"/>
          </w:tcPr>
          <w:p w14:paraId="4081446B"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p>
        </w:tc>
        <w:tc>
          <w:tcPr>
            <w:tcW w:w="976" w:type="dxa"/>
            <w:tcBorders>
              <w:top w:val="nil"/>
              <w:bottom w:val="single" w:sz="2" w:space="0" w:color="auto"/>
            </w:tcBorders>
            <w:vAlign w:val="center"/>
          </w:tcPr>
          <w:p w14:paraId="3A2AA2A0"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Steady-State</w:t>
            </w:r>
          </w:p>
        </w:tc>
        <w:tc>
          <w:tcPr>
            <w:tcW w:w="1079" w:type="dxa"/>
            <w:tcBorders>
              <w:top w:val="nil"/>
              <w:bottom w:val="single" w:sz="2" w:space="0" w:color="auto"/>
            </w:tcBorders>
            <w:vAlign w:val="center"/>
          </w:tcPr>
          <w:p w14:paraId="10ADA13B" w14:textId="77777777" w:rsidR="00912054"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Transient</w:t>
            </w:r>
          </w:p>
        </w:tc>
        <w:tc>
          <w:tcPr>
            <w:tcW w:w="976" w:type="dxa"/>
            <w:tcBorders>
              <w:top w:val="nil"/>
              <w:bottom w:val="single" w:sz="2" w:space="0" w:color="auto"/>
            </w:tcBorders>
            <w:vAlign w:val="center"/>
          </w:tcPr>
          <w:p w14:paraId="700F046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Steady-State</w:t>
            </w:r>
          </w:p>
        </w:tc>
        <w:tc>
          <w:tcPr>
            <w:tcW w:w="1079" w:type="dxa"/>
            <w:tcBorders>
              <w:top w:val="nil"/>
              <w:bottom w:val="single" w:sz="2" w:space="0" w:color="auto"/>
            </w:tcBorders>
            <w:vAlign w:val="center"/>
          </w:tcPr>
          <w:p w14:paraId="0B282D66"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Transient</w:t>
            </w:r>
          </w:p>
        </w:tc>
        <w:tc>
          <w:tcPr>
            <w:tcW w:w="976" w:type="dxa"/>
            <w:tcBorders>
              <w:top w:val="nil"/>
              <w:bottom w:val="single" w:sz="2" w:space="0" w:color="auto"/>
            </w:tcBorders>
            <w:vAlign w:val="center"/>
          </w:tcPr>
          <w:p w14:paraId="1F625708"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Steady-State</w:t>
            </w:r>
          </w:p>
        </w:tc>
        <w:tc>
          <w:tcPr>
            <w:tcW w:w="1079" w:type="dxa"/>
            <w:tcBorders>
              <w:top w:val="nil"/>
              <w:bottom w:val="single" w:sz="2" w:space="0" w:color="auto"/>
            </w:tcBorders>
            <w:vAlign w:val="center"/>
          </w:tcPr>
          <w:p w14:paraId="1AB1917F"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Transient</w:t>
            </w:r>
          </w:p>
        </w:tc>
      </w:tr>
      <w:tr w:rsidR="00912054" w:rsidRPr="00C73D35" w14:paraId="2737BBF2" w14:textId="77777777" w:rsidTr="00E14178">
        <w:trPr>
          <w:jc w:val="center"/>
        </w:trPr>
        <w:tc>
          <w:tcPr>
            <w:tcW w:w="2236" w:type="dxa"/>
            <w:tcBorders>
              <w:top w:val="single" w:sz="2" w:space="0" w:color="auto"/>
            </w:tcBorders>
            <w:vAlign w:val="center"/>
          </w:tcPr>
          <w:p w14:paraId="66F96B4F"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Fuel Temp.</w:t>
            </w:r>
          </w:p>
        </w:tc>
        <w:tc>
          <w:tcPr>
            <w:tcW w:w="976" w:type="dxa"/>
            <w:tcBorders>
              <w:top w:val="single" w:sz="2" w:space="0" w:color="auto"/>
            </w:tcBorders>
          </w:tcPr>
          <w:p w14:paraId="0996AE1D"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564°C</w:t>
            </w:r>
          </w:p>
        </w:tc>
        <w:tc>
          <w:tcPr>
            <w:tcW w:w="1079" w:type="dxa"/>
            <w:tcBorders>
              <w:top w:val="single" w:sz="2" w:space="0" w:color="auto"/>
            </w:tcBorders>
          </w:tcPr>
          <w:p w14:paraId="74A23E0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755°C</w:t>
            </w:r>
          </w:p>
        </w:tc>
        <w:tc>
          <w:tcPr>
            <w:tcW w:w="976" w:type="dxa"/>
            <w:tcBorders>
              <w:top w:val="single" w:sz="2" w:space="0" w:color="auto"/>
            </w:tcBorders>
            <w:vAlign w:val="center"/>
          </w:tcPr>
          <w:p w14:paraId="0F32E59F"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575°C</w:t>
            </w:r>
          </w:p>
        </w:tc>
        <w:tc>
          <w:tcPr>
            <w:tcW w:w="1079" w:type="dxa"/>
            <w:tcBorders>
              <w:top w:val="single" w:sz="2" w:space="0" w:color="auto"/>
            </w:tcBorders>
          </w:tcPr>
          <w:p w14:paraId="2E9FAC1A"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751°C</w:t>
            </w:r>
          </w:p>
        </w:tc>
        <w:tc>
          <w:tcPr>
            <w:tcW w:w="976" w:type="dxa"/>
            <w:tcBorders>
              <w:top w:val="single" w:sz="2" w:space="0" w:color="auto"/>
            </w:tcBorders>
            <w:vAlign w:val="center"/>
          </w:tcPr>
          <w:p w14:paraId="3E9A22C8"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586°C</w:t>
            </w:r>
          </w:p>
        </w:tc>
        <w:tc>
          <w:tcPr>
            <w:tcW w:w="1079" w:type="dxa"/>
            <w:tcBorders>
              <w:top w:val="single" w:sz="2" w:space="0" w:color="auto"/>
            </w:tcBorders>
          </w:tcPr>
          <w:p w14:paraId="3A353B7B"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805°C</w:t>
            </w:r>
          </w:p>
        </w:tc>
      </w:tr>
      <w:tr w:rsidR="00912054" w:rsidRPr="00C73D35" w14:paraId="4685D62D" w14:textId="77777777" w:rsidTr="00E14178">
        <w:trPr>
          <w:jc w:val="center"/>
        </w:trPr>
        <w:tc>
          <w:tcPr>
            <w:tcW w:w="2236" w:type="dxa"/>
            <w:vAlign w:val="center"/>
          </w:tcPr>
          <w:p w14:paraId="2031F9B9"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Fuel Melting Margin</w:t>
            </w:r>
          </w:p>
        </w:tc>
        <w:tc>
          <w:tcPr>
            <w:tcW w:w="976" w:type="dxa"/>
          </w:tcPr>
          <w:p w14:paraId="3845FAA2"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659°C</w:t>
            </w:r>
          </w:p>
        </w:tc>
        <w:tc>
          <w:tcPr>
            <w:tcW w:w="1079" w:type="dxa"/>
          </w:tcPr>
          <w:p w14:paraId="6FACFD2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468°C</w:t>
            </w:r>
          </w:p>
        </w:tc>
        <w:tc>
          <w:tcPr>
            <w:tcW w:w="976" w:type="dxa"/>
            <w:vAlign w:val="center"/>
          </w:tcPr>
          <w:p w14:paraId="5A79AFD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640°C</w:t>
            </w:r>
          </w:p>
        </w:tc>
        <w:tc>
          <w:tcPr>
            <w:tcW w:w="1079" w:type="dxa"/>
          </w:tcPr>
          <w:p w14:paraId="095CAFB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464°C</w:t>
            </w:r>
          </w:p>
        </w:tc>
        <w:tc>
          <w:tcPr>
            <w:tcW w:w="976" w:type="dxa"/>
            <w:vAlign w:val="center"/>
          </w:tcPr>
          <w:p w14:paraId="43CCDD30"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615°C</w:t>
            </w:r>
          </w:p>
        </w:tc>
        <w:tc>
          <w:tcPr>
            <w:tcW w:w="1079" w:type="dxa"/>
          </w:tcPr>
          <w:p w14:paraId="254E43A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396°C</w:t>
            </w:r>
          </w:p>
        </w:tc>
      </w:tr>
      <w:tr w:rsidR="00912054" w:rsidRPr="00C73D35" w14:paraId="605FBBB1" w14:textId="77777777" w:rsidTr="00E14178">
        <w:trPr>
          <w:jc w:val="center"/>
        </w:trPr>
        <w:tc>
          <w:tcPr>
            <w:tcW w:w="2236" w:type="dxa"/>
          </w:tcPr>
          <w:p w14:paraId="17764FE5"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Cladding Temp.</w:t>
            </w:r>
          </w:p>
        </w:tc>
        <w:tc>
          <w:tcPr>
            <w:tcW w:w="976" w:type="dxa"/>
          </w:tcPr>
          <w:p w14:paraId="30E3CBF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548°C</w:t>
            </w:r>
          </w:p>
        </w:tc>
        <w:tc>
          <w:tcPr>
            <w:tcW w:w="1079" w:type="dxa"/>
          </w:tcPr>
          <w:p w14:paraId="2E14E9BF"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752°C</w:t>
            </w:r>
          </w:p>
        </w:tc>
        <w:tc>
          <w:tcPr>
            <w:tcW w:w="976" w:type="dxa"/>
            <w:vAlign w:val="center"/>
          </w:tcPr>
          <w:p w14:paraId="7358198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544°C</w:t>
            </w:r>
          </w:p>
        </w:tc>
        <w:tc>
          <w:tcPr>
            <w:tcW w:w="1079" w:type="dxa"/>
          </w:tcPr>
          <w:p w14:paraId="15D750E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744°C</w:t>
            </w:r>
          </w:p>
        </w:tc>
        <w:tc>
          <w:tcPr>
            <w:tcW w:w="976" w:type="dxa"/>
            <w:vAlign w:val="center"/>
          </w:tcPr>
          <w:p w14:paraId="00470B6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551°C</w:t>
            </w:r>
          </w:p>
        </w:tc>
        <w:tc>
          <w:tcPr>
            <w:tcW w:w="1079" w:type="dxa"/>
          </w:tcPr>
          <w:p w14:paraId="408C45D4"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795°C</w:t>
            </w:r>
          </w:p>
        </w:tc>
      </w:tr>
      <w:tr w:rsidR="00912054" w:rsidRPr="00C73D35" w14:paraId="471FFABA" w14:textId="77777777" w:rsidTr="00E14178">
        <w:trPr>
          <w:jc w:val="center"/>
        </w:trPr>
        <w:tc>
          <w:tcPr>
            <w:tcW w:w="2236" w:type="dxa"/>
          </w:tcPr>
          <w:p w14:paraId="53B0702F"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Max. Clad Penetration</w:t>
            </w:r>
          </w:p>
        </w:tc>
        <w:tc>
          <w:tcPr>
            <w:tcW w:w="976" w:type="dxa"/>
          </w:tcPr>
          <w:p w14:paraId="32CC90B8"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c>
          <w:tcPr>
            <w:tcW w:w="1079" w:type="dxa"/>
          </w:tcPr>
          <w:p w14:paraId="6CD8ADEB"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0.1%</w:t>
            </w:r>
          </w:p>
        </w:tc>
        <w:tc>
          <w:tcPr>
            <w:tcW w:w="976" w:type="dxa"/>
            <w:vAlign w:val="center"/>
          </w:tcPr>
          <w:p w14:paraId="4F9510B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c>
          <w:tcPr>
            <w:tcW w:w="1079" w:type="dxa"/>
          </w:tcPr>
          <w:p w14:paraId="24AF68E4"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0.1%</w:t>
            </w:r>
          </w:p>
        </w:tc>
        <w:tc>
          <w:tcPr>
            <w:tcW w:w="976" w:type="dxa"/>
            <w:vAlign w:val="center"/>
          </w:tcPr>
          <w:p w14:paraId="7857CAF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c>
          <w:tcPr>
            <w:tcW w:w="1079" w:type="dxa"/>
          </w:tcPr>
          <w:p w14:paraId="5B1170C4"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0.6%</w:t>
            </w:r>
          </w:p>
        </w:tc>
      </w:tr>
      <w:tr w:rsidR="00912054" w:rsidRPr="00C73D35" w14:paraId="653474A1" w14:textId="77777777" w:rsidTr="00E14178">
        <w:trPr>
          <w:jc w:val="center"/>
        </w:trPr>
        <w:tc>
          <w:tcPr>
            <w:tcW w:w="2236" w:type="dxa"/>
          </w:tcPr>
          <w:p w14:paraId="30E27E26"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Sodium Temp.</w:t>
            </w:r>
          </w:p>
        </w:tc>
        <w:tc>
          <w:tcPr>
            <w:tcW w:w="976" w:type="dxa"/>
          </w:tcPr>
          <w:p w14:paraId="7C0E43B4"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547°C</w:t>
            </w:r>
          </w:p>
        </w:tc>
        <w:tc>
          <w:tcPr>
            <w:tcW w:w="1079" w:type="dxa"/>
          </w:tcPr>
          <w:p w14:paraId="4A4850AB"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751°C</w:t>
            </w:r>
          </w:p>
        </w:tc>
        <w:tc>
          <w:tcPr>
            <w:tcW w:w="976" w:type="dxa"/>
            <w:vAlign w:val="center"/>
          </w:tcPr>
          <w:p w14:paraId="534B88C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544°C</w:t>
            </w:r>
          </w:p>
        </w:tc>
        <w:tc>
          <w:tcPr>
            <w:tcW w:w="1079" w:type="dxa"/>
          </w:tcPr>
          <w:p w14:paraId="13CA761C"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742°C</w:t>
            </w:r>
          </w:p>
        </w:tc>
        <w:tc>
          <w:tcPr>
            <w:tcW w:w="976" w:type="dxa"/>
            <w:vAlign w:val="center"/>
          </w:tcPr>
          <w:p w14:paraId="5921DEC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549°C</w:t>
            </w:r>
          </w:p>
        </w:tc>
        <w:tc>
          <w:tcPr>
            <w:tcW w:w="1079" w:type="dxa"/>
          </w:tcPr>
          <w:p w14:paraId="036C1A2A"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798°C</w:t>
            </w:r>
          </w:p>
        </w:tc>
      </w:tr>
      <w:tr w:rsidR="00912054" w:rsidRPr="00C73D35" w14:paraId="3B5EF825" w14:textId="77777777" w:rsidTr="00E14178">
        <w:trPr>
          <w:jc w:val="center"/>
        </w:trPr>
        <w:tc>
          <w:tcPr>
            <w:tcW w:w="2236" w:type="dxa"/>
          </w:tcPr>
          <w:p w14:paraId="286B273F"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Sodium Boiling Margin</w:t>
            </w:r>
          </w:p>
        </w:tc>
        <w:tc>
          <w:tcPr>
            <w:tcW w:w="976" w:type="dxa"/>
          </w:tcPr>
          <w:p w14:paraId="31CD5ECD"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396°C</w:t>
            </w:r>
          </w:p>
        </w:tc>
        <w:tc>
          <w:tcPr>
            <w:tcW w:w="1079" w:type="dxa"/>
          </w:tcPr>
          <w:p w14:paraId="2EBA99D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193°C</w:t>
            </w:r>
          </w:p>
        </w:tc>
        <w:tc>
          <w:tcPr>
            <w:tcW w:w="976" w:type="dxa"/>
            <w:vAlign w:val="center"/>
          </w:tcPr>
          <w:p w14:paraId="47ABBB5F"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400°C</w:t>
            </w:r>
          </w:p>
        </w:tc>
        <w:tc>
          <w:tcPr>
            <w:tcW w:w="1079" w:type="dxa"/>
          </w:tcPr>
          <w:p w14:paraId="223FFA30"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201°C</w:t>
            </w:r>
          </w:p>
        </w:tc>
        <w:tc>
          <w:tcPr>
            <w:tcW w:w="976" w:type="dxa"/>
            <w:vAlign w:val="center"/>
          </w:tcPr>
          <w:p w14:paraId="0B6DD2A4"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395°C</w:t>
            </w:r>
          </w:p>
        </w:tc>
        <w:tc>
          <w:tcPr>
            <w:tcW w:w="1079" w:type="dxa"/>
          </w:tcPr>
          <w:p w14:paraId="0F3690D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148°C</w:t>
            </w:r>
          </w:p>
        </w:tc>
      </w:tr>
      <w:tr w:rsidR="00912054" w:rsidRPr="00C73D35" w14:paraId="3A6A1316" w14:textId="77777777" w:rsidTr="00E14178">
        <w:trPr>
          <w:jc w:val="center"/>
        </w:trPr>
        <w:tc>
          <w:tcPr>
            <w:tcW w:w="2236" w:type="dxa"/>
          </w:tcPr>
          <w:p w14:paraId="45628932"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Hot Pool Temp.</w:t>
            </w:r>
          </w:p>
        </w:tc>
        <w:tc>
          <w:tcPr>
            <w:tcW w:w="976" w:type="dxa"/>
          </w:tcPr>
          <w:p w14:paraId="7036104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510°C</w:t>
            </w:r>
          </w:p>
        </w:tc>
        <w:tc>
          <w:tcPr>
            <w:tcW w:w="1079" w:type="dxa"/>
          </w:tcPr>
          <w:p w14:paraId="651AD70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560°C</w:t>
            </w:r>
          </w:p>
        </w:tc>
        <w:tc>
          <w:tcPr>
            <w:tcW w:w="976" w:type="dxa"/>
            <w:vAlign w:val="center"/>
          </w:tcPr>
          <w:p w14:paraId="51B7BE3F"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510°C</w:t>
            </w:r>
          </w:p>
        </w:tc>
        <w:tc>
          <w:tcPr>
            <w:tcW w:w="1079" w:type="dxa"/>
          </w:tcPr>
          <w:p w14:paraId="110A5227"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564°C</w:t>
            </w:r>
          </w:p>
        </w:tc>
        <w:tc>
          <w:tcPr>
            <w:tcW w:w="976" w:type="dxa"/>
            <w:vAlign w:val="center"/>
          </w:tcPr>
          <w:p w14:paraId="53FE5EC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510°C</w:t>
            </w:r>
          </w:p>
        </w:tc>
        <w:tc>
          <w:tcPr>
            <w:tcW w:w="1079" w:type="dxa"/>
          </w:tcPr>
          <w:p w14:paraId="60871CD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538°C</w:t>
            </w:r>
          </w:p>
        </w:tc>
      </w:tr>
      <w:tr w:rsidR="00912054" w:rsidRPr="00C73D35" w14:paraId="752171B1" w14:textId="77777777" w:rsidTr="00E14178">
        <w:trPr>
          <w:jc w:val="center"/>
        </w:trPr>
        <w:tc>
          <w:tcPr>
            <w:tcW w:w="2236" w:type="dxa"/>
          </w:tcPr>
          <w:p w14:paraId="126B0890"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Margin to Service Level D</w:t>
            </w:r>
          </w:p>
        </w:tc>
        <w:tc>
          <w:tcPr>
            <w:tcW w:w="976" w:type="dxa"/>
          </w:tcPr>
          <w:p w14:paraId="2F34406C"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194°C</w:t>
            </w:r>
          </w:p>
        </w:tc>
        <w:tc>
          <w:tcPr>
            <w:tcW w:w="1079" w:type="dxa"/>
          </w:tcPr>
          <w:p w14:paraId="02984D5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144°C</w:t>
            </w:r>
          </w:p>
        </w:tc>
        <w:tc>
          <w:tcPr>
            <w:tcW w:w="976" w:type="dxa"/>
            <w:vAlign w:val="center"/>
          </w:tcPr>
          <w:p w14:paraId="27DC0834"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194°C</w:t>
            </w:r>
          </w:p>
        </w:tc>
        <w:tc>
          <w:tcPr>
            <w:tcW w:w="1079" w:type="dxa"/>
          </w:tcPr>
          <w:p w14:paraId="3F338790"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140°C</w:t>
            </w:r>
          </w:p>
        </w:tc>
        <w:tc>
          <w:tcPr>
            <w:tcW w:w="976" w:type="dxa"/>
            <w:vAlign w:val="center"/>
          </w:tcPr>
          <w:p w14:paraId="36E47388"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194°C</w:t>
            </w:r>
          </w:p>
        </w:tc>
        <w:tc>
          <w:tcPr>
            <w:tcW w:w="1079" w:type="dxa"/>
          </w:tcPr>
          <w:p w14:paraId="7531088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166°C</w:t>
            </w:r>
          </w:p>
        </w:tc>
      </w:tr>
    </w:tbl>
    <w:p w14:paraId="64A853AE" w14:textId="77777777" w:rsidR="00912054" w:rsidRPr="00C73D35" w:rsidRDefault="00912054" w:rsidP="007F5A54">
      <w:pPr>
        <w:pStyle w:val="BodyText"/>
        <w:rPr>
          <w:color w:val="000000" w:themeColor="text1"/>
        </w:rPr>
      </w:pPr>
    </w:p>
    <w:p w14:paraId="75668EF3" w14:textId="2C5A77AE" w:rsidR="0066439B" w:rsidRPr="00C73D35" w:rsidRDefault="0066439B" w:rsidP="0066439B">
      <w:pPr>
        <w:pStyle w:val="Heading3"/>
        <w:rPr>
          <w:color w:val="000000" w:themeColor="text1"/>
        </w:rPr>
      </w:pPr>
      <w:r w:rsidRPr="00C73D35">
        <w:rPr>
          <w:color w:val="000000" w:themeColor="text1"/>
        </w:rPr>
        <w:t>Unprotected Transient Overpower</w:t>
      </w:r>
    </w:p>
    <w:p w14:paraId="7A870246" w14:textId="4B1B8D82" w:rsidR="0066439B" w:rsidRPr="00C73D35" w:rsidRDefault="0066439B" w:rsidP="0066439B">
      <w:pPr>
        <w:pStyle w:val="BodyText"/>
        <w:rPr>
          <w:color w:val="000000" w:themeColor="text1"/>
        </w:rPr>
      </w:pPr>
      <w:r w:rsidRPr="00C73D35">
        <w:rPr>
          <w:color w:val="000000" w:themeColor="text1"/>
        </w:rPr>
        <w:t xml:space="preserve">The unprotected transient overpower (UTOP) scenario is initiated </w:t>
      </w:r>
      <w:r w:rsidR="001972CE" w:rsidRPr="00C73D35">
        <w:rPr>
          <w:color w:val="000000" w:themeColor="text1"/>
        </w:rPr>
        <w:t>when the single most reactive control rod is withdrawn from the reactor. At BOL conditions this introduces 47¢ of positive reactivity, while for MOL conditions 34¢ of positive reactivity is inserted. In both cases, an average reactivity insertion rate of 2 ¢/s was assumed. This transient was not simulated for EOL conditions because the control rods are withdrawn to the top of the core and one rod withdrawing inserts a negligible amount of reactivity. The steam generators are conservatively assumed to continue performing at their 100% pre-transient heat rejection rate, which results in slight undercooling because steam generator heat rejection efficiency will increase as the temperature difference between sodium in the intermediate loop and water in the steam generators increases.</w:t>
      </w:r>
    </w:p>
    <w:p w14:paraId="7B107F74" w14:textId="5989AD4B" w:rsidR="007C5ABA" w:rsidRPr="00C73D35" w:rsidRDefault="007C5ABA" w:rsidP="0066439B">
      <w:pPr>
        <w:pStyle w:val="BodyText"/>
        <w:rPr>
          <w:color w:val="000000" w:themeColor="text1"/>
        </w:rPr>
      </w:pPr>
      <w:r w:rsidRPr="00C73D35">
        <w:rPr>
          <w:color w:val="000000" w:themeColor="text1"/>
        </w:rPr>
        <w:t xml:space="preserve">During the BOL UTOP, when the control rod withdrawal begins, fission power begins to increase due to the introduction of positive reactivity. Although a single control rod withdrawal introduces 47¢ of positive reactivity at BOL conditions, net reactivity is predicted to reach only 19¢. While the control rod is still withdrawing, the Doppler and radial expansion reactivity feedbacks contribute the most negative reactivity. The temperature of sodium discharged from the core increases and the control rod drivelines heat up and expand, driving the control rods further into the core. The CRDL feedback becomes the dominant source of negative reactivity, and these large negative reactivity contributions more than compensate for the reactivity from the withdrawn rod. Net reactivity becomes negative </w:t>
      </w:r>
      <w:r w:rsidR="00D6511D">
        <w:rPr>
          <w:color w:val="000000" w:themeColor="text1"/>
        </w:rPr>
        <w:t xml:space="preserve">at 34s, </w:t>
      </w:r>
      <w:r w:rsidRPr="00C73D35">
        <w:rPr>
          <w:color w:val="000000" w:themeColor="text1"/>
        </w:rPr>
        <w:t xml:space="preserve">10s after the control rod withdrawal terminates, as illustrated by the left side of Fig. 5. The right side of Fig. 5 illustrates core power, which reaches a maximum of 258% at 24s. Core power </w:t>
      </w:r>
      <w:r w:rsidR="00034197" w:rsidRPr="00C73D35">
        <w:rPr>
          <w:color w:val="000000" w:themeColor="text1"/>
        </w:rPr>
        <w:t>then</w:t>
      </w:r>
      <w:r w:rsidRPr="00C73D35">
        <w:rPr>
          <w:color w:val="000000" w:themeColor="text1"/>
        </w:rPr>
        <w:t xml:space="preserve"> reduces below 200% and gradually decreases to match the total available heat rejection.</w:t>
      </w:r>
    </w:p>
    <w:p w14:paraId="60FF58EE" w14:textId="6C459D01" w:rsidR="007C5ABA" w:rsidRPr="00C73D35" w:rsidRDefault="007C5ABA" w:rsidP="0066439B">
      <w:pPr>
        <w:pStyle w:val="BodyText"/>
        <w:rPr>
          <w:color w:val="000000" w:themeColor="text1"/>
        </w:rPr>
      </w:pPr>
      <w:r w:rsidRPr="00C73D35">
        <w:rPr>
          <w:color w:val="000000" w:themeColor="text1"/>
        </w:rPr>
        <w:t>The left side of Fig. 6 illustrates the hot and cold pool temperatures, which increase 141°C and 132°C, respectively. The temperature increases are necessary to generate the negative reactivity to compensate for the 47¢ of positive reactivity from the control rod withdrawal and return the core to 100% power. Despite an increase of 141°C in the hot pool, a margin of 53°C is maintained to the Service Level D limit.</w:t>
      </w:r>
    </w:p>
    <w:p w14:paraId="30A13743" w14:textId="14D53EF8" w:rsidR="007C5ABA" w:rsidRPr="00765B9B" w:rsidRDefault="007C5ABA" w:rsidP="00147A70">
      <w:pPr>
        <w:pStyle w:val="BodyText"/>
        <w:rPr>
          <w:color w:val="000000" w:themeColor="text1"/>
        </w:rPr>
      </w:pPr>
      <w:r w:rsidRPr="00C73D35">
        <w:rPr>
          <w:color w:val="000000" w:themeColor="text1"/>
        </w:rPr>
        <w:t xml:space="preserve">The right side of Fig. 6 illustrates the peak fuel, cladding, and coolant temperatures. </w:t>
      </w:r>
      <w:r w:rsidR="00147A70" w:rsidRPr="00C73D35">
        <w:rPr>
          <w:color w:val="000000" w:themeColor="text1"/>
        </w:rPr>
        <w:t>For the BOL UTOP, the fuel melting margin is 362°C and the sodium boiling margin is 122°C</w:t>
      </w:r>
      <w:r w:rsidRPr="00C73D35">
        <w:rPr>
          <w:color w:val="000000" w:themeColor="text1"/>
        </w:rPr>
        <w:t xml:space="preserve">. </w:t>
      </w:r>
      <w:r w:rsidR="00147A70" w:rsidRPr="00765B9B">
        <w:rPr>
          <w:color w:val="000000" w:themeColor="text1"/>
        </w:rPr>
        <w:t>The peak c</w:t>
      </w:r>
      <w:r w:rsidRPr="00765B9B">
        <w:rPr>
          <w:color w:val="000000" w:themeColor="text1"/>
        </w:rPr>
        <w:t>ladding temperature</w:t>
      </w:r>
      <w:r w:rsidR="00147A70" w:rsidRPr="00765B9B">
        <w:rPr>
          <w:color w:val="000000" w:themeColor="text1"/>
        </w:rPr>
        <w:t xml:space="preserve"> exceeds the slow eutectic threshold, but quickly decrease</w:t>
      </w:r>
      <w:r w:rsidR="00034197" w:rsidRPr="00765B9B">
        <w:rPr>
          <w:color w:val="000000" w:themeColor="text1"/>
        </w:rPr>
        <w:t>s</w:t>
      </w:r>
      <w:r w:rsidR="00147A70" w:rsidRPr="00765B9B">
        <w:rPr>
          <w:color w:val="000000" w:themeColor="text1"/>
        </w:rPr>
        <w:t xml:space="preserve"> and remain</w:t>
      </w:r>
      <w:r w:rsidR="00034197" w:rsidRPr="00765B9B">
        <w:rPr>
          <w:color w:val="000000" w:themeColor="text1"/>
        </w:rPr>
        <w:t>s</w:t>
      </w:r>
      <w:r w:rsidR="00147A70" w:rsidRPr="00765B9B">
        <w:rPr>
          <w:color w:val="000000" w:themeColor="text1"/>
        </w:rPr>
        <w:t xml:space="preserve"> below the threshold for most of the</w:t>
      </w:r>
      <w:r w:rsidR="00034197" w:rsidRPr="00765B9B">
        <w:rPr>
          <w:color w:val="000000" w:themeColor="text1"/>
        </w:rPr>
        <w:t xml:space="preserve"> rest of the</w:t>
      </w:r>
      <w:r w:rsidR="00147A70" w:rsidRPr="00765B9B">
        <w:rPr>
          <w:color w:val="000000" w:themeColor="text1"/>
        </w:rPr>
        <w:t xml:space="preserve"> </w:t>
      </w:r>
      <w:r w:rsidR="00147A70" w:rsidRPr="00765B9B">
        <w:rPr>
          <w:color w:val="000000" w:themeColor="text1"/>
        </w:rPr>
        <w:lastRenderedPageBreak/>
        <w:t xml:space="preserve">transient, resulting in a total eutectic penetration of 0.5% over the full thirty-minute simulation. There </w:t>
      </w:r>
      <w:r w:rsidRPr="00765B9B">
        <w:rPr>
          <w:color w:val="000000" w:themeColor="text1"/>
        </w:rPr>
        <w:t xml:space="preserve">is no immediate risk of pin failures, other than from stochastic issues related to faulty fuel pins. </w:t>
      </w:r>
      <w:r w:rsidR="00147A70" w:rsidRPr="00765B9B">
        <w:rPr>
          <w:color w:val="000000" w:themeColor="text1"/>
        </w:rPr>
        <w:t xml:space="preserve">All criteria </w:t>
      </w:r>
      <w:r w:rsidR="00034197" w:rsidRPr="00765B9B">
        <w:rPr>
          <w:color w:val="000000" w:themeColor="text1"/>
        </w:rPr>
        <w:t xml:space="preserve">previously </w:t>
      </w:r>
      <w:r w:rsidR="00147A70" w:rsidRPr="00765B9B">
        <w:rPr>
          <w:color w:val="000000" w:themeColor="text1"/>
        </w:rPr>
        <w:t>defined were successfully met.</w:t>
      </w:r>
    </w:p>
    <w:p w14:paraId="6C2E6BDB" w14:textId="21B48048" w:rsidR="007C5ABA" w:rsidRDefault="00147A70" w:rsidP="007C5ABA">
      <w:pPr>
        <w:pStyle w:val="BodyText"/>
        <w:rPr>
          <w:color w:val="000000" w:themeColor="text1"/>
        </w:rPr>
      </w:pPr>
      <w:r w:rsidRPr="00C73D35">
        <w:rPr>
          <w:color w:val="000000" w:themeColor="text1"/>
        </w:rPr>
        <w:t xml:space="preserve">Because the critical position of the control rods is higher in the core at MOL conditions than at BOL conditions, a single rod withdrawal during a UTOP scenario results in a smaller reactivity insertion at MOL. This results in smaller temperature increases for the MOL UTOP scenario, where the fuel melting margin is 443°C and the sodium boiling margin is 231°C. </w:t>
      </w:r>
    </w:p>
    <w:p w14:paraId="29E9B0B6" w14:textId="12C09FB7" w:rsidR="00912054" w:rsidRDefault="00912054" w:rsidP="00912054">
      <w:pPr>
        <w:pStyle w:val="BodyText"/>
        <w:rPr>
          <w:color w:val="000000" w:themeColor="text1"/>
        </w:rPr>
      </w:pPr>
      <w:r>
        <w:rPr>
          <w:color w:val="000000" w:themeColor="text1"/>
        </w:rPr>
        <w:t xml:space="preserve">Table </w:t>
      </w:r>
      <w:r>
        <w:rPr>
          <w:color w:val="000000" w:themeColor="text1"/>
        </w:rPr>
        <w:t>3</w:t>
      </w:r>
      <w:r>
        <w:rPr>
          <w:color w:val="000000" w:themeColor="text1"/>
        </w:rPr>
        <w:t xml:space="preserve"> presents </w:t>
      </w:r>
      <w:r w:rsidRPr="00C73D35">
        <w:rPr>
          <w:color w:val="000000" w:themeColor="text1"/>
        </w:rPr>
        <w:t xml:space="preserve">the peak temperatures and minimum margins predicted for </w:t>
      </w:r>
      <w:r>
        <w:rPr>
          <w:color w:val="000000" w:themeColor="text1"/>
        </w:rPr>
        <w:t xml:space="preserve">the unprotected </w:t>
      </w:r>
      <w:r>
        <w:rPr>
          <w:color w:val="000000" w:themeColor="text1"/>
        </w:rPr>
        <w:t>transient overpower scenario</w:t>
      </w:r>
      <w:r w:rsidRPr="00C73D35">
        <w:rPr>
          <w:color w:val="000000" w:themeColor="text1"/>
        </w:rPr>
        <w:t xml:space="preserve"> at BOL</w:t>
      </w:r>
      <w:r>
        <w:rPr>
          <w:color w:val="000000" w:themeColor="text1"/>
        </w:rPr>
        <w:t xml:space="preserve"> and</w:t>
      </w:r>
      <w:r w:rsidRPr="00C73D35">
        <w:rPr>
          <w:color w:val="000000" w:themeColor="text1"/>
        </w:rPr>
        <w:t xml:space="preserve"> MOL conditions, respectively</w:t>
      </w:r>
      <w:r>
        <w:rPr>
          <w:color w:val="000000" w:themeColor="text1"/>
        </w:rPr>
        <w:t>.</w:t>
      </w:r>
    </w:p>
    <w:p w14:paraId="1DED940D" w14:textId="77777777" w:rsidR="00147A70" w:rsidRPr="00C73D35" w:rsidRDefault="00147A70" w:rsidP="007C5ABA">
      <w:pPr>
        <w:pStyle w:val="BodyText"/>
        <w:rPr>
          <w:color w:val="000000" w:themeColor="text1"/>
        </w:rPr>
      </w:pPr>
    </w:p>
    <w:p w14:paraId="05629064" w14:textId="0B3BE398" w:rsidR="001972CE" w:rsidRPr="00C73D35" w:rsidRDefault="001972CE" w:rsidP="001972CE">
      <w:pPr>
        <w:pStyle w:val="FigureTyler"/>
        <w:rPr>
          <w:color w:val="000000" w:themeColor="text1"/>
        </w:rPr>
      </w:pPr>
      <w:r w:rsidRPr="00C73D35">
        <w:rPr>
          <w:noProof/>
          <w:color w:val="000000" w:themeColor="text1"/>
          <w:lang w:val="en-US" w:eastAsia="en-US"/>
        </w:rPr>
        <w:drawing>
          <wp:inline distT="0" distB="0" distL="0" distR="0" wp14:anchorId="40D0F87C" wp14:editId="37B35D07">
            <wp:extent cx="2926080" cy="203804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rotWithShape="1">
                    <a:blip r:embed="rId17"/>
                    <a:srcRect l="4966" t="10399" r="8795" b="2846"/>
                    <a:stretch/>
                  </pic:blipFill>
                  <pic:spPr bwMode="auto">
                    <a:xfrm>
                      <a:off x="0" y="0"/>
                      <a:ext cx="2926080" cy="2038044"/>
                    </a:xfrm>
                    <a:prstGeom prst="rect">
                      <a:avLst/>
                    </a:prstGeom>
                    <a:ln>
                      <a:noFill/>
                    </a:ln>
                    <a:extLst>
                      <a:ext uri="{53640926-AAD7-44D8-BBD7-CCE9431645EC}">
                        <a14:shadowObscured xmlns:a14="http://schemas.microsoft.com/office/drawing/2010/main"/>
                      </a:ext>
                    </a:extLst>
                  </pic:spPr>
                </pic:pic>
              </a:graphicData>
            </a:graphic>
          </wp:inline>
        </w:drawing>
      </w:r>
      <w:r w:rsidRPr="00C73D35">
        <w:rPr>
          <w:color w:val="000000" w:themeColor="text1"/>
        </w:rPr>
        <w:t xml:space="preserve">  </w:t>
      </w:r>
      <w:r w:rsidRPr="00C73D35">
        <w:rPr>
          <w:noProof/>
          <w:color w:val="000000" w:themeColor="text1"/>
          <w:lang w:val="en-US" w:eastAsia="en-US"/>
        </w:rPr>
        <w:drawing>
          <wp:inline distT="0" distB="0" distL="0" distR="0" wp14:anchorId="37550EE2" wp14:editId="3E4C30D3">
            <wp:extent cx="2926080" cy="2026195"/>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18"/>
                    <a:srcRect l="5719" t="10636" r="8493" b="3553"/>
                    <a:stretch/>
                  </pic:blipFill>
                  <pic:spPr bwMode="auto">
                    <a:xfrm>
                      <a:off x="0" y="0"/>
                      <a:ext cx="2926080" cy="2026195"/>
                    </a:xfrm>
                    <a:prstGeom prst="rect">
                      <a:avLst/>
                    </a:prstGeom>
                    <a:ln>
                      <a:noFill/>
                    </a:ln>
                    <a:extLst>
                      <a:ext uri="{53640926-AAD7-44D8-BBD7-CCE9431645EC}">
                        <a14:shadowObscured xmlns:a14="http://schemas.microsoft.com/office/drawing/2010/main"/>
                      </a:ext>
                    </a:extLst>
                  </pic:spPr>
                </pic:pic>
              </a:graphicData>
            </a:graphic>
          </wp:inline>
        </w:drawing>
      </w:r>
    </w:p>
    <w:p w14:paraId="781BF5EC" w14:textId="38BC9E3E" w:rsidR="001972CE" w:rsidRPr="00C73D35" w:rsidRDefault="001972CE" w:rsidP="001972CE">
      <w:pPr>
        <w:pStyle w:val="Figurecaption"/>
        <w:rPr>
          <w:color w:val="000000" w:themeColor="text1"/>
        </w:rPr>
      </w:pPr>
      <w:r w:rsidRPr="00C73D35">
        <w:rPr>
          <w:caps/>
          <w:color w:val="000000" w:themeColor="text1"/>
        </w:rPr>
        <w:t>Fig</w:t>
      </w:r>
      <w:r w:rsidRPr="00C73D35">
        <w:rPr>
          <w:color w:val="000000" w:themeColor="text1"/>
        </w:rPr>
        <w:t xml:space="preserve">. </w:t>
      </w:r>
      <w:r w:rsidRPr="00C73D35">
        <w:rPr>
          <w:color w:val="000000" w:themeColor="text1"/>
        </w:rPr>
        <w:fldChar w:fldCharType="begin"/>
      </w:r>
      <w:r w:rsidRPr="00C73D35">
        <w:rPr>
          <w:color w:val="000000" w:themeColor="text1"/>
        </w:rPr>
        <w:instrText xml:space="preserve"> SEQ Figure \* ARABIC </w:instrText>
      </w:r>
      <w:r w:rsidRPr="00C73D35">
        <w:rPr>
          <w:color w:val="000000" w:themeColor="text1"/>
        </w:rPr>
        <w:fldChar w:fldCharType="separate"/>
      </w:r>
      <w:r w:rsidRPr="00C73D35">
        <w:rPr>
          <w:noProof/>
          <w:color w:val="000000" w:themeColor="text1"/>
        </w:rPr>
        <w:t>5</w:t>
      </w:r>
      <w:r w:rsidRPr="00C73D35">
        <w:rPr>
          <w:noProof/>
          <w:color w:val="000000" w:themeColor="text1"/>
        </w:rPr>
        <w:fldChar w:fldCharType="end"/>
      </w:r>
      <w:r w:rsidRPr="00C73D35">
        <w:rPr>
          <w:color w:val="000000" w:themeColor="text1"/>
        </w:rPr>
        <w:t>. BOL UTOP – (Left) Reactivity and (Right) Core Power.</w:t>
      </w:r>
    </w:p>
    <w:p w14:paraId="12DF1490" w14:textId="504D8B8B" w:rsidR="003B0D05" w:rsidRPr="00C73D35" w:rsidRDefault="0029549A" w:rsidP="003B0D05">
      <w:pPr>
        <w:pStyle w:val="FigureTyler"/>
        <w:rPr>
          <w:color w:val="000000" w:themeColor="text1"/>
        </w:rPr>
      </w:pPr>
      <w:r w:rsidRPr="00C73D35">
        <w:rPr>
          <w:noProof/>
          <w:color w:val="000000" w:themeColor="text1"/>
          <w:lang w:val="en-US" w:eastAsia="en-US"/>
        </w:rPr>
        <w:drawing>
          <wp:inline distT="0" distB="0" distL="0" distR="0" wp14:anchorId="633896C3" wp14:editId="56642552">
            <wp:extent cx="2926080" cy="20333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19"/>
                    <a:srcRect l="5729" t="10162" r="8307" b="3559"/>
                    <a:stretch/>
                  </pic:blipFill>
                  <pic:spPr bwMode="auto">
                    <a:xfrm>
                      <a:off x="0" y="0"/>
                      <a:ext cx="2926080" cy="2033300"/>
                    </a:xfrm>
                    <a:prstGeom prst="rect">
                      <a:avLst/>
                    </a:prstGeom>
                    <a:ln>
                      <a:noFill/>
                    </a:ln>
                    <a:extLst>
                      <a:ext uri="{53640926-AAD7-44D8-BBD7-CCE9431645EC}">
                        <a14:shadowObscured xmlns:a14="http://schemas.microsoft.com/office/drawing/2010/main"/>
                      </a:ext>
                    </a:extLst>
                  </pic:spPr>
                </pic:pic>
              </a:graphicData>
            </a:graphic>
          </wp:inline>
        </w:drawing>
      </w:r>
      <w:r w:rsidR="003B0D05" w:rsidRPr="00C73D35">
        <w:rPr>
          <w:color w:val="000000" w:themeColor="text1"/>
        </w:rPr>
        <w:t xml:space="preserve">  </w:t>
      </w:r>
      <w:r w:rsidRPr="00C73D35">
        <w:rPr>
          <w:noProof/>
          <w:color w:val="000000" w:themeColor="text1"/>
          <w:lang w:val="en-US" w:eastAsia="en-US"/>
        </w:rPr>
        <w:drawing>
          <wp:inline distT="0" distB="0" distL="0" distR="0" wp14:anchorId="27BCF831" wp14:editId="3CBAFBDD">
            <wp:extent cx="2926080" cy="20577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20"/>
                    <a:srcRect l="5719" t="9926" r="8643" b="3088"/>
                    <a:stretch/>
                  </pic:blipFill>
                  <pic:spPr bwMode="auto">
                    <a:xfrm>
                      <a:off x="0" y="0"/>
                      <a:ext cx="2926080" cy="2057770"/>
                    </a:xfrm>
                    <a:prstGeom prst="rect">
                      <a:avLst/>
                    </a:prstGeom>
                    <a:ln>
                      <a:noFill/>
                    </a:ln>
                    <a:extLst>
                      <a:ext uri="{53640926-AAD7-44D8-BBD7-CCE9431645EC}">
                        <a14:shadowObscured xmlns:a14="http://schemas.microsoft.com/office/drawing/2010/main"/>
                      </a:ext>
                    </a:extLst>
                  </pic:spPr>
                </pic:pic>
              </a:graphicData>
            </a:graphic>
          </wp:inline>
        </w:drawing>
      </w:r>
    </w:p>
    <w:p w14:paraId="132491C9" w14:textId="052D10DC" w:rsidR="003B0D05" w:rsidRDefault="003B0D05" w:rsidP="003B0D05">
      <w:pPr>
        <w:pStyle w:val="Figurecaption"/>
        <w:rPr>
          <w:color w:val="000000" w:themeColor="text1"/>
        </w:rPr>
      </w:pPr>
      <w:r w:rsidRPr="00C73D35">
        <w:rPr>
          <w:caps/>
          <w:color w:val="000000" w:themeColor="text1"/>
        </w:rPr>
        <w:t>Fig</w:t>
      </w:r>
      <w:r w:rsidRPr="00C73D35">
        <w:rPr>
          <w:color w:val="000000" w:themeColor="text1"/>
        </w:rPr>
        <w:t xml:space="preserve">. </w:t>
      </w:r>
      <w:r w:rsidRPr="00C73D35">
        <w:rPr>
          <w:color w:val="000000" w:themeColor="text1"/>
        </w:rPr>
        <w:fldChar w:fldCharType="begin"/>
      </w:r>
      <w:r w:rsidRPr="00C73D35">
        <w:rPr>
          <w:color w:val="000000" w:themeColor="text1"/>
        </w:rPr>
        <w:instrText xml:space="preserve"> SEQ Figure \* ARABIC </w:instrText>
      </w:r>
      <w:r w:rsidRPr="00C73D35">
        <w:rPr>
          <w:color w:val="000000" w:themeColor="text1"/>
        </w:rPr>
        <w:fldChar w:fldCharType="separate"/>
      </w:r>
      <w:r w:rsidRPr="00C73D35">
        <w:rPr>
          <w:noProof/>
          <w:color w:val="000000" w:themeColor="text1"/>
        </w:rPr>
        <w:t>6</w:t>
      </w:r>
      <w:r w:rsidRPr="00C73D35">
        <w:rPr>
          <w:noProof/>
          <w:color w:val="000000" w:themeColor="text1"/>
        </w:rPr>
        <w:fldChar w:fldCharType="end"/>
      </w:r>
      <w:r w:rsidRPr="00C73D35">
        <w:rPr>
          <w:color w:val="000000" w:themeColor="text1"/>
        </w:rPr>
        <w:t>. BOL UTOP – (Left) Hot and Cold Pool Temperatures and (Right) Peak In-Core Temperatures.</w:t>
      </w:r>
    </w:p>
    <w:p w14:paraId="6F08B5D1" w14:textId="0820762D" w:rsidR="00912054" w:rsidRDefault="00912054" w:rsidP="00912054">
      <w:pPr>
        <w:pStyle w:val="BodyText"/>
        <w:rPr>
          <w:color w:val="000000" w:themeColor="text1"/>
        </w:rPr>
      </w:pPr>
    </w:p>
    <w:p w14:paraId="5558BCDC" w14:textId="5A4FCD05" w:rsidR="00912054" w:rsidRPr="00C73D35" w:rsidRDefault="00912054" w:rsidP="00912054">
      <w:pPr>
        <w:pStyle w:val="BodyText"/>
        <w:ind w:firstLine="0"/>
        <w:rPr>
          <w:color w:val="000000" w:themeColor="text1"/>
        </w:rPr>
      </w:pPr>
      <w:r w:rsidRPr="00C73D35">
        <w:rPr>
          <w:color w:val="000000" w:themeColor="text1"/>
        </w:rPr>
        <w:t xml:space="preserve">TABLE </w:t>
      </w:r>
      <w:r>
        <w:rPr>
          <w:color w:val="000000" w:themeColor="text1"/>
        </w:rPr>
        <w:t>3</w:t>
      </w:r>
      <w:r w:rsidRPr="00C73D35">
        <w:rPr>
          <w:color w:val="000000" w:themeColor="text1"/>
        </w:rPr>
        <w:t>.</w:t>
      </w:r>
      <w:r w:rsidRPr="00C73D35">
        <w:rPr>
          <w:color w:val="000000" w:themeColor="text1"/>
        </w:rPr>
        <w:tab/>
      </w:r>
      <w:r>
        <w:rPr>
          <w:color w:val="000000" w:themeColor="text1"/>
        </w:rPr>
        <w:t>UTOP</w:t>
      </w:r>
      <w:r w:rsidRPr="00C73D35">
        <w:rPr>
          <w:color w:val="000000" w:themeColor="text1"/>
        </w:rPr>
        <w:t xml:space="preserve"> </w:t>
      </w:r>
      <w:r w:rsidR="004278DE">
        <w:rPr>
          <w:color w:val="000000" w:themeColor="text1"/>
        </w:rPr>
        <w:t>PEAK TEMPERATURES AND MINIMUM MARGINS</w:t>
      </w:r>
    </w:p>
    <w:p w14:paraId="485233B7" w14:textId="77777777" w:rsidR="00912054" w:rsidRPr="00C73D35" w:rsidRDefault="00912054" w:rsidP="00912054">
      <w:pPr>
        <w:pStyle w:val="BodyText"/>
        <w:rPr>
          <w:color w:val="000000" w:themeColor="text1"/>
        </w:rPr>
      </w:pPr>
    </w:p>
    <w:tbl>
      <w:tblPr>
        <w:tblStyle w:val="TableGrid"/>
        <w:tblW w:w="6833" w:type="dxa"/>
        <w:jc w:val="center"/>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1216"/>
        <w:gridCol w:w="1079"/>
        <w:gridCol w:w="1216"/>
        <w:gridCol w:w="1079"/>
        <w:gridCol w:w="7"/>
      </w:tblGrid>
      <w:tr w:rsidR="00912054" w:rsidRPr="00C73D35" w14:paraId="2D4E8F17" w14:textId="77777777" w:rsidTr="00E14178">
        <w:trPr>
          <w:jc w:val="center"/>
        </w:trPr>
        <w:tc>
          <w:tcPr>
            <w:tcW w:w="2236" w:type="dxa"/>
            <w:tcBorders>
              <w:top w:val="single" w:sz="4" w:space="0" w:color="auto"/>
              <w:bottom w:val="nil"/>
            </w:tcBorders>
            <w:vAlign w:val="center"/>
          </w:tcPr>
          <w:p w14:paraId="1496CD9F"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p>
        </w:tc>
        <w:tc>
          <w:tcPr>
            <w:tcW w:w="2295" w:type="dxa"/>
            <w:gridSpan w:val="2"/>
            <w:tcBorders>
              <w:top w:val="single" w:sz="4" w:space="0" w:color="auto"/>
              <w:bottom w:val="nil"/>
            </w:tcBorders>
            <w:vAlign w:val="center"/>
          </w:tcPr>
          <w:p w14:paraId="785B13F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BOL</w:t>
            </w:r>
          </w:p>
        </w:tc>
        <w:tc>
          <w:tcPr>
            <w:tcW w:w="2302" w:type="dxa"/>
            <w:gridSpan w:val="3"/>
            <w:tcBorders>
              <w:top w:val="single" w:sz="4" w:space="0" w:color="auto"/>
              <w:bottom w:val="nil"/>
            </w:tcBorders>
          </w:tcPr>
          <w:p w14:paraId="5918F3D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MOL</w:t>
            </w:r>
          </w:p>
        </w:tc>
      </w:tr>
      <w:tr w:rsidR="00912054" w:rsidRPr="00C73D35" w14:paraId="623337C5" w14:textId="77777777" w:rsidTr="00E14178">
        <w:trPr>
          <w:gridAfter w:val="1"/>
          <w:wAfter w:w="7" w:type="dxa"/>
          <w:jc w:val="center"/>
        </w:trPr>
        <w:tc>
          <w:tcPr>
            <w:tcW w:w="2236" w:type="dxa"/>
            <w:tcBorders>
              <w:top w:val="nil"/>
              <w:bottom w:val="single" w:sz="2" w:space="0" w:color="auto"/>
            </w:tcBorders>
            <w:vAlign w:val="center"/>
          </w:tcPr>
          <w:p w14:paraId="39D429F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p>
        </w:tc>
        <w:tc>
          <w:tcPr>
            <w:tcW w:w="1216" w:type="dxa"/>
            <w:tcBorders>
              <w:top w:val="nil"/>
              <w:bottom w:val="single" w:sz="2" w:space="0" w:color="auto"/>
            </w:tcBorders>
            <w:vAlign w:val="center"/>
          </w:tcPr>
          <w:p w14:paraId="1B5BB770"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Steady-State</w:t>
            </w:r>
          </w:p>
        </w:tc>
        <w:tc>
          <w:tcPr>
            <w:tcW w:w="1079" w:type="dxa"/>
            <w:tcBorders>
              <w:top w:val="nil"/>
              <w:bottom w:val="single" w:sz="2" w:space="0" w:color="auto"/>
            </w:tcBorders>
            <w:vAlign w:val="center"/>
          </w:tcPr>
          <w:p w14:paraId="28990613" w14:textId="77777777" w:rsidR="00912054"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Transient</w:t>
            </w:r>
          </w:p>
        </w:tc>
        <w:tc>
          <w:tcPr>
            <w:tcW w:w="1216" w:type="dxa"/>
            <w:tcBorders>
              <w:top w:val="nil"/>
              <w:bottom w:val="single" w:sz="2" w:space="0" w:color="auto"/>
            </w:tcBorders>
            <w:vAlign w:val="center"/>
          </w:tcPr>
          <w:p w14:paraId="118ADE32"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Steady-State</w:t>
            </w:r>
          </w:p>
        </w:tc>
        <w:tc>
          <w:tcPr>
            <w:tcW w:w="1079" w:type="dxa"/>
            <w:tcBorders>
              <w:top w:val="nil"/>
              <w:bottom w:val="single" w:sz="2" w:space="0" w:color="auto"/>
            </w:tcBorders>
            <w:vAlign w:val="center"/>
          </w:tcPr>
          <w:p w14:paraId="177AEF18"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Transient</w:t>
            </w:r>
          </w:p>
        </w:tc>
      </w:tr>
      <w:tr w:rsidR="00912054" w:rsidRPr="00C73D35" w14:paraId="0BBCC6AA" w14:textId="77777777" w:rsidTr="00E14178">
        <w:trPr>
          <w:gridAfter w:val="1"/>
          <w:wAfter w:w="7" w:type="dxa"/>
          <w:jc w:val="center"/>
        </w:trPr>
        <w:tc>
          <w:tcPr>
            <w:tcW w:w="2236" w:type="dxa"/>
            <w:tcBorders>
              <w:top w:val="single" w:sz="2" w:space="0" w:color="auto"/>
            </w:tcBorders>
            <w:vAlign w:val="center"/>
          </w:tcPr>
          <w:p w14:paraId="61EF686A"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Fuel Temp.</w:t>
            </w:r>
          </w:p>
        </w:tc>
        <w:tc>
          <w:tcPr>
            <w:tcW w:w="1216" w:type="dxa"/>
            <w:tcBorders>
              <w:top w:val="single" w:sz="2" w:space="0" w:color="auto"/>
            </w:tcBorders>
          </w:tcPr>
          <w:p w14:paraId="3885A14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564°C</w:t>
            </w:r>
          </w:p>
        </w:tc>
        <w:tc>
          <w:tcPr>
            <w:tcW w:w="1079" w:type="dxa"/>
            <w:tcBorders>
              <w:top w:val="single" w:sz="2" w:space="0" w:color="auto"/>
            </w:tcBorders>
          </w:tcPr>
          <w:p w14:paraId="7988AA1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861°C</w:t>
            </w:r>
          </w:p>
        </w:tc>
        <w:tc>
          <w:tcPr>
            <w:tcW w:w="1216" w:type="dxa"/>
            <w:tcBorders>
              <w:top w:val="single" w:sz="2" w:space="0" w:color="auto"/>
            </w:tcBorders>
            <w:vAlign w:val="center"/>
          </w:tcPr>
          <w:p w14:paraId="0AF1D58D"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575°C</w:t>
            </w:r>
          </w:p>
        </w:tc>
        <w:tc>
          <w:tcPr>
            <w:tcW w:w="1079" w:type="dxa"/>
            <w:tcBorders>
              <w:top w:val="single" w:sz="2" w:space="0" w:color="auto"/>
            </w:tcBorders>
          </w:tcPr>
          <w:p w14:paraId="7A9A47A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772°C</w:t>
            </w:r>
          </w:p>
        </w:tc>
      </w:tr>
      <w:tr w:rsidR="00912054" w:rsidRPr="00C73D35" w14:paraId="616DDF56" w14:textId="77777777" w:rsidTr="00E14178">
        <w:trPr>
          <w:gridAfter w:val="1"/>
          <w:wAfter w:w="7" w:type="dxa"/>
          <w:jc w:val="center"/>
        </w:trPr>
        <w:tc>
          <w:tcPr>
            <w:tcW w:w="2236" w:type="dxa"/>
            <w:vAlign w:val="center"/>
          </w:tcPr>
          <w:p w14:paraId="641E2353"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Fuel Melting Margin</w:t>
            </w:r>
          </w:p>
        </w:tc>
        <w:tc>
          <w:tcPr>
            <w:tcW w:w="1216" w:type="dxa"/>
          </w:tcPr>
          <w:p w14:paraId="733E1080"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659°C</w:t>
            </w:r>
          </w:p>
        </w:tc>
        <w:tc>
          <w:tcPr>
            <w:tcW w:w="1079" w:type="dxa"/>
          </w:tcPr>
          <w:p w14:paraId="2F0BE72D"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362°C</w:t>
            </w:r>
          </w:p>
        </w:tc>
        <w:tc>
          <w:tcPr>
            <w:tcW w:w="1216" w:type="dxa"/>
            <w:vAlign w:val="center"/>
          </w:tcPr>
          <w:p w14:paraId="76B079B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640°C</w:t>
            </w:r>
          </w:p>
        </w:tc>
        <w:tc>
          <w:tcPr>
            <w:tcW w:w="1079" w:type="dxa"/>
          </w:tcPr>
          <w:p w14:paraId="6B3B6A67"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443°C</w:t>
            </w:r>
          </w:p>
        </w:tc>
      </w:tr>
      <w:tr w:rsidR="00912054" w:rsidRPr="00C73D35" w14:paraId="381AEDFE" w14:textId="77777777" w:rsidTr="00E14178">
        <w:trPr>
          <w:gridAfter w:val="1"/>
          <w:wAfter w:w="7" w:type="dxa"/>
          <w:jc w:val="center"/>
        </w:trPr>
        <w:tc>
          <w:tcPr>
            <w:tcW w:w="2236" w:type="dxa"/>
          </w:tcPr>
          <w:p w14:paraId="4F1DD210"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Cladding Temp.</w:t>
            </w:r>
          </w:p>
        </w:tc>
        <w:tc>
          <w:tcPr>
            <w:tcW w:w="1216" w:type="dxa"/>
          </w:tcPr>
          <w:p w14:paraId="4610984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548°C</w:t>
            </w:r>
          </w:p>
        </w:tc>
        <w:tc>
          <w:tcPr>
            <w:tcW w:w="1079" w:type="dxa"/>
          </w:tcPr>
          <w:p w14:paraId="05AE2420"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836°C</w:t>
            </w:r>
          </w:p>
        </w:tc>
        <w:tc>
          <w:tcPr>
            <w:tcW w:w="1216" w:type="dxa"/>
            <w:vAlign w:val="center"/>
          </w:tcPr>
          <w:p w14:paraId="04AC94A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544°C</w:t>
            </w:r>
          </w:p>
        </w:tc>
        <w:tc>
          <w:tcPr>
            <w:tcW w:w="1079" w:type="dxa"/>
          </w:tcPr>
          <w:p w14:paraId="6BD07B66"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722°C</w:t>
            </w:r>
          </w:p>
        </w:tc>
      </w:tr>
      <w:tr w:rsidR="00912054" w:rsidRPr="00C73D35" w14:paraId="5BBF37BF" w14:textId="77777777" w:rsidTr="00E14178">
        <w:trPr>
          <w:gridAfter w:val="1"/>
          <w:wAfter w:w="7" w:type="dxa"/>
          <w:jc w:val="center"/>
        </w:trPr>
        <w:tc>
          <w:tcPr>
            <w:tcW w:w="2236" w:type="dxa"/>
          </w:tcPr>
          <w:p w14:paraId="7C28FF83"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Max. Clad Penetration</w:t>
            </w:r>
          </w:p>
        </w:tc>
        <w:tc>
          <w:tcPr>
            <w:tcW w:w="1216" w:type="dxa"/>
          </w:tcPr>
          <w:p w14:paraId="4BDF476A"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c>
          <w:tcPr>
            <w:tcW w:w="1079" w:type="dxa"/>
          </w:tcPr>
          <w:p w14:paraId="4FC38D0A"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0.5%</w:t>
            </w:r>
          </w:p>
        </w:tc>
        <w:tc>
          <w:tcPr>
            <w:tcW w:w="1216" w:type="dxa"/>
            <w:vAlign w:val="center"/>
          </w:tcPr>
          <w:p w14:paraId="1C06A92D"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c>
          <w:tcPr>
            <w:tcW w:w="1079" w:type="dxa"/>
          </w:tcPr>
          <w:p w14:paraId="4694F67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r>
      <w:tr w:rsidR="00912054" w:rsidRPr="00C73D35" w14:paraId="02C7F758" w14:textId="77777777" w:rsidTr="00E14178">
        <w:trPr>
          <w:gridAfter w:val="1"/>
          <w:wAfter w:w="7" w:type="dxa"/>
          <w:jc w:val="center"/>
        </w:trPr>
        <w:tc>
          <w:tcPr>
            <w:tcW w:w="2236" w:type="dxa"/>
          </w:tcPr>
          <w:p w14:paraId="51CA8D67"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Sodium Temp.</w:t>
            </w:r>
          </w:p>
        </w:tc>
        <w:tc>
          <w:tcPr>
            <w:tcW w:w="1216" w:type="dxa"/>
          </w:tcPr>
          <w:p w14:paraId="629F7B4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547°C</w:t>
            </w:r>
          </w:p>
        </w:tc>
        <w:tc>
          <w:tcPr>
            <w:tcW w:w="1079" w:type="dxa"/>
          </w:tcPr>
          <w:p w14:paraId="1B499BA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833°C</w:t>
            </w:r>
          </w:p>
        </w:tc>
        <w:tc>
          <w:tcPr>
            <w:tcW w:w="1216" w:type="dxa"/>
            <w:vAlign w:val="center"/>
          </w:tcPr>
          <w:p w14:paraId="71E614DC"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544°C</w:t>
            </w:r>
          </w:p>
        </w:tc>
        <w:tc>
          <w:tcPr>
            <w:tcW w:w="1079" w:type="dxa"/>
          </w:tcPr>
          <w:p w14:paraId="22BB340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720°C</w:t>
            </w:r>
          </w:p>
        </w:tc>
      </w:tr>
      <w:tr w:rsidR="00912054" w:rsidRPr="00C73D35" w14:paraId="6FD5F6BD" w14:textId="77777777" w:rsidTr="00E14178">
        <w:trPr>
          <w:gridAfter w:val="1"/>
          <w:wAfter w:w="7" w:type="dxa"/>
          <w:jc w:val="center"/>
        </w:trPr>
        <w:tc>
          <w:tcPr>
            <w:tcW w:w="2236" w:type="dxa"/>
          </w:tcPr>
          <w:p w14:paraId="4C6895AD"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Sodium Boiling Margin</w:t>
            </w:r>
          </w:p>
        </w:tc>
        <w:tc>
          <w:tcPr>
            <w:tcW w:w="1216" w:type="dxa"/>
          </w:tcPr>
          <w:p w14:paraId="6342FC38"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396°C</w:t>
            </w:r>
          </w:p>
        </w:tc>
        <w:tc>
          <w:tcPr>
            <w:tcW w:w="1079" w:type="dxa"/>
          </w:tcPr>
          <w:p w14:paraId="1BD2D02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122°C</w:t>
            </w:r>
          </w:p>
        </w:tc>
        <w:tc>
          <w:tcPr>
            <w:tcW w:w="1216" w:type="dxa"/>
            <w:vAlign w:val="center"/>
          </w:tcPr>
          <w:p w14:paraId="01893467"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400°C</w:t>
            </w:r>
          </w:p>
        </w:tc>
        <w:tc>
          <w:tcPr>
            <w:tcW w:w="1079" w:type="dxa"/>
          </w:tcPr>
          <w:p w14:paraId="07AC1608"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231°C</w:t>
            </w:r>
          </w:p>
        </w:tc>
      </w:tr>
      <w:tr w:rsidR="00912054" w:rsidRPr="00C73D35" w14:paraId="619A8D0D" w14:textId="77777777" w:rsidTr="00E14178">
        <w:trPr>
          <w:gridAfter w:val="1"/>
          <w:wAfter w:w="7" w:type="dxa"/>
          <w:jc w:val="center"/>
        </w:trPr>
        <w:tc>
          <w:tcPr>
            <w:tcW w:w="2236" w:type="dxa"/>
          </w:tcPr>
          <w:p w14:paraId="7E67A116"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Hot Pool Temp.</w:t>
            </w:r>
          </w:p>
        </w:tc>
        <w:tc>
          <w:tcPr>
            <w:tcW w:w="1216" w:type="dxa"/>
          </w:tcPr>
          <w:p w14:paraId="689BCB4A"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510°C</w:t>
            </w:r>
          </w:p>
        </w:tc>
        <w:tc>
          <w:tcPr>
            <w:tcW w:w="1079" w:type="dxa"/>
          </w:tcPr>
          <w:p w14:paraId="3BD2D14A"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651°C</w:t>
            </w:r>
          </w:p>
        </w:tc>
        <w:tc>
          <w:tcPr>
            <w:tcW w:w="1216" w:type="dxa"/>
            <w:vAlign w:val="center"/>
          </w:tcPr>
          <w:p w14:paraId="21B3E3F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510°C</w:t>
            </w:r>
          </w:p>
        </w:tc>
        <w:tc>
          <w:tcPr>
            <w:tcW w:w="1079" w:type="dxa"/>
          </w:tcPr>
          <w:p w14:paraId="0D3C6926"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604°C</w:t>
            </w:r>
          </w:p>
        </w:tc>
      </w:tr>
      <w:tr w:rsidR="00912054" w:rsidRPr="00C73D35" w14:paraId="64E3DD45" w14:textId="77777777" w:rsidTr="00E14178">
        <w:trPr>
          <w:gridAfter w:val="1"/>
          <w:wAfter w:w="7" w:type="dxa"/>
          <w:jc w:val="center"/>
        </w:trPr>
        <w:tc>
          <w:tcPr>
            <w:tcW w:w="2236" w:type="dxa"/>
          </w:tcPr>
          <w:p w14:paraId="0122190C"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Margin to Service Level D</w:t>
            </w:r>
          </w:p>
        </w:tc>
        <w:tc>
          <w:tcPr>
            <w:tcW w:w="1216" w:type="dxa"/>
          </w:tcPr>
          <w:p w14:paraId="1427955D"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194°C</w:t>
            </w:r>
          </w:p>
        </w:tc>
        <w:tc>
          <w:tcPr>
            <w:tcW w:w="1079" w:type="dxa"/>
          </w:tcPr>
          <w:p w14:paraId="4D99C682"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53°C</w:t>
            </w:r>
          </w:p>
        </w:tc>
        <w:tc>
          <w:tcPr>
            <w:tcW w:w="1216" w:type="dxa"/>
            <w:vAlign w:val="center"/>
          </w:tcPr>
          <w:p w14:paraId="1F6157A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194°C</w:t>
            </w:r>
          </w:p>
        </w:tc>
        <w:tc>
          <w:tcPr>
            <w:tcW w:w="1079" w:type="dxa"/>
          </w:tcPr>
          <w:p w14:paraId="746BC14F"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100°C</w:t>
            </w:r>
          </w:p>
        </w:tc>
      </w:tr>
    </w:tbl>
    <w:p w14:paraId="14AC9DB9" w14:textId="77777777" w:rsidR="00912054" w:rsidRDefault="00912054" w:rsidP="00912054">
      <w:pPr>
        <w:pStyle w:val="BodyText"/>
        <w:rPr>
          <w:color w:val="000000" w:themeColor="text1"/>
        </w:rPr>
      </w:pPr>
    </w:p>
    <w:p w14:paraId="6062518C" w14:textId="7F7E9E0D" w:rsidR="00912054" w:rsidRDefault="00912054" w:rsidP="00912054">
      <w:pPr>
        <w:pStyle w:val="BodyText"/>
        <w:rPr>
          <w:color w:val="000000" w:themeColor="text1"/>
        </w:rPr>
      </w:pPr>
    </w:p>
    <w:p w14:paraId="37824F7C" w14:textId="1D301E24" w:rsidR="00912054" w:rsidRDefault="00912054" w:rsidP="00912054">
      <w:pPr>
        <w:pStyle w:val="BodyText"/>
        <w:rPr>
          <w:color w:val="000000" w:themeColor="text1"/>
        </w:rPr>
      </w:pPr>
    </w:p>
    <w:p w14:paraId="5A01199A" w14:textId="77777777" w:rsidR="00912054" w:rsidRDefault="00912054" w:rsidP="00912054">
      <w:pPr>
        <w:pStyle w:val="BodyText"/>
        <w:rPr>
          <w:color w:val="000000" w:themeColor="text1"/>
        </w:rPr>
      </w:pPr>
    </w:p>
    <w:p w14:paraId="2DB48407" w14:textId="77777777" w:rsidR="00912054" w:rsidRDefault="00912054" w:rsidP="00912054">
      <w:pPr>
        <w:pStyle w:val="BodyText"/>
        <w:rPr>
          <w:color w:val="000000" w:themeColor="text1"/>
        </w:rPr>
      </w:pPr>
    </w:p>
    <w:p w14:paraId="4F403725" w14:textId="63DAD978" w:rsidR="00115473" w:rsidRPr="00C73D35" w:rsidRDefault="00115473" w:rsidP="00115473">
      <w:pPr>
        <w:pStyle w:val="Heading3"/>
        <w:rPr>
          <w:color w:val="000000" w:themeColor="text1"/>
        </w:rPr>
      </w:pPr>
      <w:r w:rsidRPr="00C73D35">
        <w:rPr>
          <w:color w:val="000000" w:themeColor="text1"/>
        </w:rPr>
        <w:lastRenderedPageBreak/>
        <w:t>Unprotected Loss of Heat Sink</w:t>
      </w:r>
    </w:p>
    <w:p w14:paraId="6E560B51" w14:textId="58E61B59" w:rsidR="00034197" w:rsidRPr="00C73D35" w:rsidRDefault="00034197" w:rsidP="00034197">
      <w:pPr>
        <w:pStyle w:val="BodyText"/>
        <w:rPr>
          <w:color w:val="000000" w:themeColor="text1"/>
        </w:rPr>
      </w:pPr>
      <w:r w:rsidRPr="00C73D35">
        <w:rPr>
          <w:color w:val="000000" w:themeColor="text1"/>
        </w:rPr>
        <w:t xml:space="preserve">The unprotected loss of heat sink transient is initiated by a simultaneous trip of the intermediate sodium pumps, which significantly reduces heat rejection through the IHXs. Additionally, all heat rejection through the balance of plant is assumed to be lost. The mechanism for this loss of the balance of plant heat rejection is not specifically defined; it is included as part of the transient definition </w:t>
      </w:r>
      <w:proofErr w:type="gramStart"/>
      <w:r w:rsidRPr="00C73D35">
        <w:rPr>
          <w:color w:val="000000" w:themeColor="text1"/>
        </w:rPr>
        <w:t>in order to</w:t>
      </w:r>
      <w:proofErr w:type="gramEnd"/>
      <w:r w:rsidRPr="00C73D35">
        <w:rPr>
          <w:color w:val="000000" w:themeColor="text1"/>
        </w:rPr>
        <w:t xml:space="preserve"> demonstrate the system’s response and progression when the normal heat rejection pathway is completely lost. </w:t>
      </w:r>
      <w:r w:rsidRPr="00AE317A">
        <w:rPr>
          <w:color w:val="000000" w:themeColor="text1"/>
        </w:rPr>
        <w:t>It is also assumed that the DRACS air dampers open</w:t>
      </w:r>
      <w:r w:rsidR="00524D39">
        <w:rPr>
          <w:color w:val="000000" w:themeColor="text1"/>
        </w:rPr>
        <w:t xml:space="preserve"> following the loss of heat rejection through the balance of plant</w:t>
      </w:r>
      <w:r w:rsidR="00323F3C" w:rsidRPr="00AE317A">
        <w:rPr>
          <w:color w:val="000000" w:themeColor="text1"/>
        </w:rPr>
        <w:t xml:space="preserve">. </w:t>
      </w:r>
      <w:r w:rsidR="00323F3C">
        <w:rPr>
          <w:color w:val="000000" w:themeColor="text1"/>
        </w:rPr>
        <w:t>L</w:t>
      </w:r>
      <w:r w:rsidRPr="00C73D35">
        <w:rPr>
          <w:color w:val="000000" w:themeColor="text1"/>
        </w:rPr>
        <w:t>ong-term heat rejection responsibilities</w:t>
      </w:r>
      <w:r w:rsidR="00323F3C">
        <w:rPr>
          <w:color w:val="000000" w:themeColor="text1"/>
        </w:rPr>
        <w:t xml:space="preserve">, therefore, </w:t>
      </w:r>
      <w:r w:rsidRPr="00C73D35">
        <w:rPr>
          <w:color w:val="000000" w:themeColor="text1"/>
        </w:rPr>
        <w:t xml:space="preserve">transfer to </w:t>
      </w:r>
      <w:r w:rsidR="00A217AA">
        <w:rPr>
          <w:color w:val="000000" w:themeColor="text1"/>
        </w:rPr>
        <w:t xml:space="preserve">both </w:t>
      </w:r>
      <w:r w:rsidRPr="00C73D35">
        <w:rPr>
          <w:color w:val="000000" w:themeColor="text1"/>
        </w:rPr>
        <w:t xml:space="preserve">the DRACS </w:t>
      </w:r>
      <w:r w:rsidR="00A217AA">
        <w:rPr>
          <w:color w:val="000000" w:themeColor="text1"/>
        </w:rPr>
        <w:t xml:space="preserve">and </w:t>
      </w:r>
      <w:r w:rsidRPr="00C73D35">
        <w:rPr>
          <w:color w:val="000000" w:themeColor="text1"/>
        </w:rPr>
        <w:t>RVACS.</w:t>
      </w:r>
    </w:p>
    <w:p w14:paraId="47C93224" w14:textId="5D79F430" w:rsidR="003608BD" w:rsidRPr="00C73D35" w:rsidRDefault="00034197" w:rsidP="003608BD">
      <w:pPr>
        <w:pStyle w:val="BodyText"/>
        <w:rPr>
          <w:color w:val="000000" w:themeColor="text1"/>
        </w:rPr>
      </w:pPr>
      <w:r w:rsidRPr="00C73D35">
        <w:rPr>
          <w:color w:val="000000" w:themeColor="text1"/>
        </w:rPr>
        <w:t>When the intermediate pumps trip at the start of the unprotected loss of heat sink, heat rejection through the IHXs significantly reduces. The ULOHS transient is driven by the resulting increase of the cold pool temperature, which causes the core inlet temperature to increase and results in negative reactivity feedbacks t</w:t>
      </w:r>
      <w:r w:rsidR="000B2F0F" w:rsidRPr="00C73D35">
        <w:rPr>
          <w:color w:val="000000" w:themeColor="text1"/>
        </w:rPr>
        <w:t>hat</w:t>
      </w:r>
      <w:r w:rsidRPr="00C73D35">
        <w:rPr>
          <w:color w:val="000000" w:themeColor="text1"/>
        </w:rPr>
        <w:t xml:space="preserve"> reduce core power.</w:t>
      </w:r>
      <w:r w:rsidR="003608BD" w:rsidRPr="00C73D35">
        <w:rPr>
          <w:color w:val="000000" w:themeColor="text1"/>
        </w:rPr>
        <w:t xml:space="preserve"> The left side of Fig. 7 illustrates the core inlet and outlet temperatures during the beginning of the transient.</w:t>
      </w:r>
      <w:r w:rsidRPr="00C73D35">
        <w:rPr>
          <w:color w:val="000000" w:themeColor="text1"/>
        </w:rPr>
        <w:t xml:space="preserve"> </w:t>
      </w:r>
      <w:r w:rsidR="003608BD" w:rsidRPr="00C73D35">
        <w:rPr>
          <w:color w:val="000000" w:themeColor="text1"/>
        </w:rPr>
        <w:t>Over the first ten minutes of the transient, the core inlet temperature increases to 492°C, while the core outlet temperature increases up to 519°C and then gradually decreases below its nominal 510°C due to the negative reactivity feedbacks decreasing power. Due to the slower progression of the transient, the magnitudes of the reactivity feedbacks are smaller than for the other transients.</w:t>
      </w:r>
      <w:r w:rsidR="00326B80" w:rsidRPr="00C73D35">
        <w:rPr>
          <w:color w:val="000000" w:themeColor="text1"/>
        </w:rPr>
        <w:t xml:space="preserve"> A</w:t>
      </w:r>
      <w:r w:rsidR="003608BD" w:rsidRPr="00C73D35">
        <w:rPr>
          <w:color w:val="000000" w:themeColor="text1"/>
        </w:rPr>
        <w:t>lthough net reactivity only reaches a minimum of negative 6¢, core power reduce</w:t>
      </w:r>
      <w:r w:rsidR="00326B80" w:rsidRPr="00C73D35">
        <w:rPr>
          <w:color w:val="000000" w:themeColor="text1"/>
        </w:rPr>
        <w:t>s</w:t>
      </w:r>
      <w:r w:rsidR="003608BD" w:rsidRPr="00C73D35">
        <w:rPr>
          <w:color w:val="000000" w:themeColor="text1"/>
        </w:rPr>
        <w:t xml:space="preserve"> below 20% within seven minutes. Fission power reduces below decay heat within ninety minutes, leaving decay heat and pump heating from the still active primary sodium pumps as the main sources of heat generation in the plant, as illustrated by the right side of Fig. 7.</w:t>
      </w:r>
    </w:p>
    <w:p w14:paraId="44BC7ABD" w14:textId="63C51D9D" w:rsidR="003608BD" w:rsidRPr="00C73D35" w:rsidRDefault="003608BD" w:rsidP="003608BD">
      <w:pPr>
        <w:pStyle w:val="BodyText"/>
        <w:rPr>
          <w:color w:val="000000" w:themeColor="text1"/>
        </w:rPr>
      </w:pPr>
      <w:r w:rsidRPr="00C73D35">
        <w:rPr>
          <w:color w:val="000000" w:themeColor="text1"/>
        </w:rPr>
        <w:t xml:space="preserve">The BOL ULOHS transient was simulated for five hours as this is how long it takes for the RVACS and DRACS heat rejection to match total core power and primary pump heating. After five hours, temperatures throughout the system will stabilize and begin to decrease following the gradual decrease of decay heat. The hot and cold pool temperatures stabilize within a few degrees of the nominal hot pool temperature due to total power reducing below 2% and core flow remaining </w:t>
      </w:r>
      <w:r w:rsidR="00CE6BB9">
        <w:rPr>
          <w:color w:val="000000" w:themeColor="text1"/>
        </w:rPr>
        <w:t>at full-flow conditions</w:t>
      </w:r>
      <w:r w:rsidRPr="00C73D35">
        <w:rPr>
          <w:color w:val="000000" w:themeColor="text1"/>
        </w:rPr>
        <w:t xml:space="preserve">. </w:t>
      </w:r>
      <w:r w:rsidR="00227DD3" w:rsidRPr="00C73D35">
        <w:rPr>
          <w:color w:val="000000" w:themeColor="text1"/>
        </w:rPr>
        <w:t xml:space="preserve">Although the core inlet temperature increases significantly, peak temperatures in the core do not increase much from their initial pre-transient values. The peak fuel, cladding, and coolant temperatures only increase 4°C, 6°C, and 6°C, respectively. Because of these small temperature increases, safety margins are not significantly reduced for the ULOHS transient. </w:t>
      </w:r>
    </w:p>
    <w:p w14:paraId="30F343E7" w14:textId="7DF2F7AE" w:rsidR="003608BD" w:rsidRDefault="00227DD3" w:rsidP="00034197">
      <w:pPr>
        <w:pStyle w:val="BodyText"/>
        <w:rPr>
          <w:color w:val="000000" w:themeColor="text1"/>
        </w:rPr>
      </w:pPr>
      <w:r w:rsidRPr="00C73D35">
        <w:rPr>
          <w:color w:val="000000" w:themeColor="text1"/>
        </w:rPr>
        <w:t xml:space="preserve">The ULOHS transient during both MOL and EOL conditions progresses similarly to the BOL ULOHS. In all three cases, peak temperatures in the core increase less than 20°C and large safety margins are maintained even as the cold pool temperature increases up to the hot pool temperature. The biggest difference between the three conditions is that during EOL conditions, the control rods are already fully withdrawn. Therefore, the positive reactivity feedback from the cold pool temperature increasing, which causes the reactor vessel to expand and pull the core down away from the control rod, is significantly smaller. Consequently, fission power decreases to negligible levels after only twenty minutes during the EOL ULOHS. </w:t>
      </w:r>
    </w:p>
    <w:p w14:paraId="516DCAB3" w14:textId="387BD753" w:rsidR="00912054" w:rsidRDefault="00912054" w:rsidP="00912054">
      <w:pPr>
        <w:pStyle w:val="BodyText"/>
        <w:rPr>
          <w:color w:val="000000" w:themeColor="text1"/>
        </w:rPr>
      </w:pPr>
      <w:r>
        <w:rPr>
          <w:color w:val="000000" w:themeColor="text1"/>
        </w:rPr>
        <w:t xml:space="preserve">Table </w:t>
      </w:r>
      <w:r>
        <w:rPr>
          <w:color w:val="000000" w:themeColor="text1"/>
        </w:rPr>
        <w:t>4</w:t>
      </w:r>
      <w:r>
        <w:rPr>
          <w:color w:val="000000" w:themeColor="text1"/>
        </w:rPr>
        <w:t xml:space="preserve"> presents </w:t>
      </w:r>
      <w:r w:rsidRPr="00C73D35">
        <w:rPr>
          <w:color w:val="000000" w:themeColor="text1"/>
        </w:rPr>
        <w:t xml:space="preserve">the peak temperatures and minimum margins predicted for </w:t>
      </w:r>
      <w:r>
        <w:rPr>
          <w:color w:val="000000" w:themeColor="text1"/>
        </w:rPr>
        <w:t xml:space="preserve">the unprotected </w:t>
      </w:r>
      <w:r>
        <w:rPr>
          <w:color w:val="000000" w:themeColor="text1"/>
        </w:rPr>
        <w:t>loss of heat sink</w:t>
      </w:r>
      <w:r w:rsidRPr="00C73D35">
        <w:rPr>
          <w:color w:val="000000" w:themeColor="text1"/>
        </w:rPr>
        <w:t xml:space="preserve"> transient at BOL, MOL, and EOL conditions, respectively</w:t>
      </w:r>
      <w:r>
        <w:rPr>
          <w:color w:val="000000" w:themeColor="text1"/>
        </w:rPr>
        <w:t>.</w:t>
      </w:r>
    </w:p>
    <w:p w14:paraId="6D14C8F2" w14:textId="77777777" w:rsidR="00912054" w:rsidRPr="00C73D35" w:rsidRDefault="00912054" w:rsidP="00034197">
      <w:pPr>
        <w:pStyle w:val="BodyText"/>
        <w:rPr>
          <w:color w:val="000000" w:themeColor="text1"/>
        </w:rPr>
      </w:pPr>
    </w:p>
    <w:p w14:paraId="3797A3CC" w14:textId="01F7351F" w:rsidR="00034197" w:rsidRPr="00C73D35" w:rsidRDefault="00034197" w:rsidP="00034197">
      <w:pPr>
        <w:pStyle w:val="FigureTyler"/>
        <w:rPr>
          <w:color w:val="000000" w:themeColor="text1"/>
        </w:rPr>
      </w:pPr>
      <w:r w:rsidRPr="00C73D35">
        <w:rPr>
          <w:noProof/>
          <w:color w:val="000000" w:themeColor="text1"/>
          <w:lang w:val="en-US" w:eastAsia="en-US"/>
        </w:rPr>
        <w:drawing>
          <wp:inline distT="0" distB="0" distL="0" distR="0" wp14:anchorId="23C8E43C" wp14:editId="238DE1ED">
            <wp:extent cx="2926080" cy="201382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rotWithShape="1">
                    <a:blip r:embed="rId21"/>
                    <a:srcRect l="5418" t="10398" r="8491" b="4030"/>
                    <a:stretch/>
                  </pic:blipFill>
                  <pic:spPr bwMode="auto">
                    <a:xfrm>
                      <a:off x="0" y="0"/>
                      <a:ext cx="2926080" cy="2013825"/>
                    </a:xfrm>
                    <a:prstGeom prst="rect">
                      <a:avLst/>
                    </a:prstGeom>
                    <a:ln>
                      <a:noFill/>
                    </a:ln>
                    <a:extLst>
                      <a:ext uri="{53640926-AAD7-44D8-BBD7-CCE9431645EC}">
                        <a14:shadowObscured xmlns:a14="http://schemas.microsoft.com/office/drawing/2010/main"/>
                      </a:ext>
                    </a:extLst>
                  </pic:spPr>
                </pic:pic>
              </a:graphicData>
            </a:graphic>
          </wp:inline>
        </w:drawing>
      </w:r>
      <w:r w:rsidRPr="00C73D35">
        <w:rPr>
          <w:color w:val="000000" w:themeColor="text1"/>
        </w:rPr>
        <w:t xml:space="preserve">  </w:t>
      </w:r>
      <w:r w:rsidR="003608BD" w:rsidRPr="00C73D35">
        <w:rPr>
          <w:noProof/>
          <w:color w:val="000000" w:themeColor="text1"/>
          <w:lang w:val="en-US" w:eastAsia="en-US"/>
        </w:rPr>
        <w:drawing>
          <wp:inline distT="0" distB="0" distL="0" distR="0" wp14:anchorId="03BDA43B" wp14:editId="1D52273B">
            <wp:extent cx="2926080" cy="2093703"/>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rotWithShape="1">
                    <a:blip r:embed="rId22"/>
                    <a:srcRect l="7826" t="10401" r="8936" b="3568"/>
                    <a:stretch/>
                  </pic:blipFill>
                  <pic:spPr bwMode="auto">
                    <a:xfrm>
                      <a:off x="0" y="0"/>
                      <a:ext cx="2926080" cy="2093703"/>
                    </a:xfrm>
                    <a:prstGeom prst="rect">
                      <a:avLst/>
                    </a:prstGeom>
                    <a:ln>
                      <a:noFill/>
                    </a:ln>
                    <a:extLst>
                      <a:ext uri="{53640926-AAD7-44D8-BBD7-CCE9431645EC}">
                        <a14:shadowObscured xmlns:a14="http://schemas.microsoft.com/office/drawing/2010/main"/>
                      </a:ext>
                    </a:extLst>
                  </pic:spPr>
                </pic:pic>
              </a:graphicData>
            </a:graphic>
          </wp:inline>
        </w:drawing>
      </w:r>
    </w:p>
    <w:p w14:paraId="797B2EAD" w14:textId="12BD972B" w:rsidR="003608BD" w:rsidRDefault="00034197" w:rsidP="00034197">
      <w:pPr>
        <w:pStyle w:val="Figurecaption"/>
        <w:rPr>
          <w:color w:val="000000" w:themeColor="text1"/>
        </w:rPr>
      </w:pPr>
      <w:r w:rsidRPr="00C73D35">
        <w:rPr>
          <w:caps/>
          <w:color w:val="000000" w:themeColor="text1"/>
        </w:rPr>
        <w:t>Fig</w:t>
      </w:r>
      <w:r w:rsidRPr="00C73D35">
        <w:rPr>
          <w:color w:val="000000" w:themeColor="text1"/>
        </w:rPr>
        <w:t xml:space="preserve">. </w:t>
      </w:r>
      <w:r w:rsidRPr="00C73D35">
        <w:rPr>
          <w:color w:val="000000" w:themeColor="text1"/>
        </w:rPr>
        <w:fldChar w:fldCharType="begin"/>
      </w:r>
      <w:r w:rsidRPr="00C73D35">
        <w:rPr>
          <w:color w:val="000000" w:themeColor="text1"/>
        </w:rPr>
        <w:instrText xml:space="preserve"> SEQ Figure \* ARABIC </w:instrText>
      </w:r>
      <w:r w:rsidRPr="00C73D35">
        <w:rPr>
          <w:color w:val="000000" w:themeColor="text1"/>
        </w:rPr>
        <w:fldChar w:fldCharType="separate"/>
      </w:r>
      <w:r w:rsidR="003608BD" w:rsidRPr="00C73D35">
        <w:rPr>
          <w:noProof/>
          <w:color w:val="000000" w:themeColor="text1"/>
        </w:rPr>
        <w:t>7</w:t>
      </w:r>
      <w:r w:rsidRPr="00C73D35">
        <w:rPr>
          <w:noProof/>
          <w:color w:val="000000" w:themeColor="text1"/>
        </w:rPr>
        <w:fldChar w:fldCharType="end"/>
      </w:r>
      <w:r w:rsidRPr="00C73D35">
        <w:rPr>
          <w:color w:val="000000" w:themeColor="text1"/>
        </w:rPr>
        <w:t>. BOL ULOHS – (Left) Core Inlet and Outlet Temperatures and (Right)</w:t>
      </w:r>
      <w:r w:rsidR="003608BD" w:rsidRPr="00C73D35">
        <w:rPr>
          <w:color w:val="000000" w:themeColor="text1"/>
        </w:rPr>
        <w:t xml:space="preserve"> Power</w:t>
      </w:r>
    </w:p>
    <w:p w14:paraId="5092B7E2" w14:textId="77777777" w:rsidR="00912054" w:rsidRDefault="00912054" w:rsidP="00912054">
      <w:pPr>
        <w:pStyle w:val="BodyText"/>
        <w:ind w:firstLine="0"/>
        <w:rPr>
          <w:color w:val="000000" w:themeColor="text1"/>
        </w:rPr>
      </w:pPr>
    </w:p>
    <w:p w14:paraId="08D3AB63" w14:textId="77777777" w:rsidR="00912054" w:rsidRDefault="00912054" w:rsidP="00912054">
      <w:pPr>
        <w:pStyle w:val="BodyText"/>
        <w:ind w:firstLine="0"/>
        <w:rPr>
          <w:color w:val="000000" w:themeColor="text1"/>
        </w:rPr>
      </w:pPr>
    </w:p>
    <w:p w14:paraId="22971CB6" w14:textId="4DDADB8B" w:rsidR="00912054" w:rsidRPr="00C73D35" w:rsidRDefault="00912054" w:rsidP="00912054">
      <w:pPr>
        <w:pStyle w:val="BodyText"/>
        <w:ind w:firstLine="0"/>
        <w:rPr>
          <w:color w:val="000000" w:themeColor="text1"/>
        </w:rPr>
      </w:pPr>
      <w:r w:rsidRPr="00C73D35">
        <w:rPr>
          <w:color w:val="000000" w:themeColor="text1"/>
        </w:rPr>
        <w:lastRenderedPageBreak/>
        <w:t xml:space="preserve">TABLE </w:t>
      </w:r>
      <w:r>
        <w:rPr>
          <w:color w:val="000000" w:themeColor="text1"/>
        </w:rPr>
        <w:t>4</w:t>
      </w:r>
      <w:r w:rsidRPr="00C73D35">
        <w:rPr>
          <w:color w:val="000000" w:themeColor="text1"/>
        </w:rPr>
        <w:t>.</w:t>
      </w:r>
      <w:r w:rsidRPr="00C73D35">
        <w:rPr>
          <w:color w:val="000000" w:themeColor="text1"/>
        </w:rPr>
        <w:tab/>
      </w:r>
      <w:r>
        <w:rPr>
          <w:color w:val="000000" w:themeColor="text1"/>
        </w:rPr>
        <w:t>ULOHS</w:t>
      </w:r>
      <w:r w:rsidRPr="00C73D35">
        <w:rPr>
          <w:color w:val="000000" w:themeColor="text1"/>
        </w:rPr>
        <w:t xml:space="preserve"> </w:t>
      </w:r>
      <w:r w:rsidR="004278DE">
        <w:rPr>
          <w:color w:val="000000" w:themeColor="text1"/>
        </w:rPr>
        <w:t>PEAK TEMPERATURES AND MINIMUM MARGINS</w:t>
      </w:r>
      <w:r w:rsidRPr="00C73D35">
        <w:rPr>
          <w:color w:val="000000" w:themeColor="text1"/>
        </w:rPr>
        <w:t xml:space="preserve"> </w:t>
      </w:r>
    </w:p>
    <w:p w14:paraId="1A35328F" w14:textId="77777777" w:rsidR="00912054" w:rsidRPr="00C73D35" w:rsidRDefault="00912054" w:rsidP="00912054">
      <w:pPr>
        <w:pStyle w:val="BodyText"/>
        <w:rPr>
          <w:color w:val="000000" w:themeColor="text1"/>
        </w:rPr>
      </w:pPr>
    </w:p>
    <w:tbl>
      <w:tblPr>
        <w:tblStyle w:val="TableGrid"/>
        <w:tblW w:w="8401" w:type="dxa"/>
        <w:jc w:val="center"/>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976"/>
        <w:gridCol w:w="1079"/>
        <w:gridCol w:w="976"/>
        <w:gridCol w:w="1079"/>
        <w:gridCol w:w="976"/>
        <w:gridCol w:w="1079"/>
      </w:tblGrid>
      <w:tr w:rsidR="00912054" w:rsidRPr="00C73D35" w14:paraId="3A96998A" w14:textId="77777777" w:rsidTr="00E14178">
        <w:trPr>
          <w:jc w:val="center"/>
        </w:trPr>
        <w:tc>
          <w:tcPr>
            <w:tcW w:w="2236" w:type="dxa"/>
            <w:tcBorders>
              <w:top w:val="single" w:sz="4" w:space="0" w:color="auto"/>
              <w:bottom w:val="nil"/>
            </w:tcBorders>
            <w:vAlign w:val="center"/>
          </w:tcPr>
          <w:p w14:paraId="05E1538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p>
        </w:tc>
        <w:tc>
          <w:tcPr>
            <w:tcW w:w="2055" w:type="dxa"/>
            <w:gridSpan w:val="2"/>
            <w:tcBorders>
              <w:top w:val="single" w:sz="4" w:space="0" w:color="auto"/>
              <w:bottom w:val="nil"/>
            </w:tcBorders>
            <w:vAlign w:val="center"/>
          </w:tcPr>
          <w:p w14:paraId="304DD84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BOL</w:t>
            </w:r>
          </w:p>
        </w:tc>
        <w:tc>
          <w:tcPr>
            <w:tcW w:w="2055" w:type="dxa"/>
            <w:gridSpan w:val="2"/>
            <w:tcBorders>
              <w:top w:val="single" w:sz="4" w:space="0" w:color="auto"/>
              <w:bottom w:val="nil"/>
            </w:tcBorders>
          </w:tcPr>
          <w:p w14:paraId="356FEAA6"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MOL</w:t>
            </w:r>
          </w:p>
        </w:tc>
        <w:tc>
          <w:tcPr>
            <w:tcW w:w="2055" w:type="dxa"/>
            <w:gridSpan w:val="2"/>
            <w:tcBorders>
              <w:top w:val="single" w:sz="4" w:space="0" w:color="auto"/>
              <w:bottom w:val="nil"/>
            </w:tcBorders>
          </w:tcPr>
          <w:p w14:paraId="2189B2A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EOC</w:t>
            </w:r>
          </w:p>
        </w:tc>
      </w:tr>
      <w:tr w:rsidR="00912054" w:rsidRPr="00C73D35" w14:paraId="56EE8E25" w14:textId="77777777" w:rsidTr="00E14178">
        <w:trPr>
          <w:jc w:val="center"/>
        </w:trPr>
        <w:tc>
          <w:tcPr>
            <w:tcW w:w="2236" w:type="dxa"/>
            <w:tcBorders>
              <w:top w:val="nil"/>
              <w:bottom w:val="single" w:sz="2" w:space="0" w:color="auto"/>
            </w:tcBorders>
            <w:vAlign w:val="center"/>
          </w:tcPr>
          <w:p w14:paraId="3E8D0ED0"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p>
        </w:tc>
        <w:tc>
          <w:tcPr>
            <w:tcW w:w="976" w:type="dxa"/>
            <w:tcBorders>
              <w:top w:val="nil"/>
              <w:bottom w:val="single" w:sz="2" w:space="0" w:color="auto"/>
            </w:tcBorders>
            <w:vAlign w:val="center"/>
          </w:tcPr>
          <w:p w14:paraId="447E0692"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Steady-State</w:t>
            </w:r>
          </w:p>
        </w:tc>
        <w:tc>
          <w:tcPr>
            <w:tcW w:w="1079" w:type="dxa"/>
            <w:tcBorders>
              <w:top w:val="nil"/>
              <w:bottom w:val="single" w:sz="2" w:space="0" w:color="auto"/>
            </w:tcBorders>
            <w:vAlign w:val="center"/>
          </w:tcPr>
          <w:p w14:paraId="31CEF40B" w14:textId="77777777" w:rsidR="00912054"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Transient</w:t>
            </w:r>
          </w:p>
        </w:tc>
        <w:tc>
          <w:tcPr>
            <w:tcW w:w="976" w:type="dxa"/>
            <w:tcBorders>
              <w:top w:val="nil"/>
              <w:bottom w:val="single" w:sz="2" w:space="0" w:color="auto"/>
            </w:tcBorders>
            <w:vAlign w:val="center"/>
          </w:tcPr>
          <w:p w14:paraId="6B751E2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Steady-State</w:t>
            </w:r>
          </w:p>
        </w:tc>
        <w:tc>
          <w:tcPr>
            <w:tcW w:w="1079" w:type="dxa"/>
            <w:tcBorders>
              <w:top w:val="nil"/>
              <w:bottom w:val="single" w:sz="2" w:space="0" w:color="auto"/>
            </w:tcBorders>
            <w:vAlign w:val="center"/>
          </w:tcPr>
          <w:p w14:paraId="0712243F"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Transient</w:t>
            </w:r>
          </w:p>
        </w:tc>
        <w:tc>
          <w:tcPr>
            <w:tcW w:w="976" w:type="dxa"/>
            <w:tcBorders>
              <w:top w:val="nil"/>
              <w:bottom w:val="single" w:sz="2" w:space="0" w:color="auto"/>
            </w:tcBorders>
            <w:vAlign w:val="center"/>
          </w:tcPr>
          <w:p w14:paraId="5E053E5B"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Steady-State</w:t>
            </w:r>
          </w:p>
        </w:tc>
        <w:tc>
          <w:tcPr>
            <w:tcW w:w="1079" w:type="dxa"/>
            <w:tcBorders>
              <w:top w:val="nil"/>
              <w:bottom w:val="single" w:sz="2" w:space="0" w:color="auto"/>
            </w:tcBorders>
            <w:vAlign w:val="center"/>
          </w:tcPr>
          <w:p w14:paraId="0A360F1D"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Pr>
                <w:color w:val="000000" w:themeColor="text1"/>
                <w:sz w:val="18"/>
                <w:szCs w:val="18"/>
              </w:rPr>
              <w:t>Transient</w:t>
            </w:r>
          </w:p>
        </w:tc>
      </w:tr>
      <w:tr w:rsidR="00912054" w:rsidRPr="00C73D35" w14:paraId="7A6DD962" w14:textId="77777777" w:rsidTr="00E14178">
        <w:trPr>
          <w:jc w:val="center"/>
        </w:trPr>
        <w:tc>
          <w:tcPr>
            <w:tcW w:w="2236" w:type="dxa"/>
            <w:tcBorders>
              <w:top w:val="single" w:sz="2" w:space="0" w:color="auto"/>
            </w:tcBorders>
            <w:vAlign w:val="center"/>
          </w:tcPr>
          <w:p w14:paraId="18D00DA4"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Fuel Temp.</w:t>
            </w:r>
          </w:p>
        </w:tc>
        <w:tc>
          <w:tcPr>
            <w:tcW w:w="976" w:type="dxa"/>
            <w:tcBorders>
              <w:top w:val="single" w:sz="2" w:space="0" w:color="auto"/>
            </w:tcBorders>
          </w:tcPr>
          <w:p w14:paraId="00A80B26"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564°C</w:t>
            </w:r>
          </w:p>
        </w:tc>
        <w:tc>
          <w:tcPr>
            <w:tcW w:w="1079" w:type="dxa"/>
            <w:tcBorders>
              <w:top w:val="single" w:sz="2" w:space="0" w:color="auto"/>
            </w:tcBorders>
          </w:tcPr>
          <w:p w14:paraId="49C0579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568°C</w:t>
            </w:r>
          </w:p>
        </w:tc>
        <w:tc>
          <w:tcPr>
            <w:tcW w:w="976" w:type="dxa"/>
            <w:tcBorders>
              <w:top w:val="single" w:sz="2" w:space="0" w:color="auto"/>
            </w:tcBorders>
            <w:vAlign w:val="center"/>
          </w:tcPr>
          <w:p w14:paraId="72EE25AF"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575°C</w:t>
            </w:r>
          </w:p>
        </w:tc>
        <w:tc>
          <w:tcPr>
            <w:tcW w:w="1079" w:type="dxa"/>
            <w:tcBorders>
              <w:top w:val="single" w:sz="2" w:space="0" w:color="auto"/>
            </w:tcBorders>
          </w:tcPr>
          <w:p w14:paraId="3528955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580°C</w:t>
            </w:r>
          </w:p>
        </w:tc>
        <w:tc>
          <w:tcPr>
            <w:tcW w:w="976" w:type="dxa"/>
            <w:tcBorders>
              <w:top w:val="single" w:sz="2" w:space="0" w:color="auto"/>
            </w:tcBorders>
            <w:vAlign w:val="center"/>
          </w:tcPr>
          <w:p w14:paraId="70F64B06"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586°C</w:t>
            </w:r>
          </w:p>
        </w:tc>
        <w:tc>
          <w:tcPr>
            <w:tcW w:w="1079" w:type="dxa"/>
            <w:tcBorders>
              <w:top w:val="single" w:sz="2" w:space="0" w:color="auto"/>
            </w:tcBorders>
          </w:tcPr>
          <w:p w14:paraId="33A9214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598°C</w:t>
            </w:r>
          </w:p>
        </w:tc>
      </w:tr>
      <w:tr w:rsidR="00912054" w:rsidRPr="00C73D35" w14:paraId="1392741C" w14:textId="77777777" w:rsidTr="00E14178">
        <w:trPr>
          <w:jc w:val="center"/>
        </w:trPr>
        <w:tc>
          <w:tcPr>
            <w:tcW w:w="2236" w:type="dxa"/>
            <w:vAlign w:val="center"/>
          </w:tcPr>
          <w:p w14:paraId="633980D5"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Fuel Melting Margin</w:t>
            </w:r>
          </w:p>
        </w:tc>
        <w:tc>
          <w:tcPr>
            <w:tcW w:w="976" w:type="dxa"/>
          </w:tcPr>
          <w:p w14:paraId="30104B8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659°C</w:t>
            </w:r>
          </w:p>
        </w:tc>
        <w:tc>
          <w:tcPr>
            <w:tcW w:w="1079" w:type="dxa"/>
          </w:tcPr>
          <w:p w14:paraId="7C2DBC26"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655°C</w:t>
            </w:r>
          </w:p>
        </w:tc>
        <w:tc>
          <w:tcPr>
            <w:tcW w:w="976" w:type="dxa"/>
            <w:vAlign w:val="center"/>
          </w:tcPr>
          <w:p w14:paraId="0197FCAA"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640°C</w:t>
            </w:r>
          </w:p>
        </w:tc>
        <w:tc>
          <w:tcPr>
            <w:tcW w:w="1079" w:type="dxa"/>
          </w:tcPr>
          <w:p w14:paraId="3EC4A6CD"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635°C</w:t>
            </w:r>
          </w:p>
        </w:tc>
        <w:tc>
          <w:tcPr>
            <w:tcW w:w="976" w:type="dxa"/>
            <w:vAlign w:val="center"/>
          </w:tcPr>
          <w:p w14:paraId="193FE44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615°C</w:t>
            </w:r>
          </w:p>
        </w:tc>
        <w:tc>
          <w:tcPr>
            <w:tcW w:w="1079" w:type="dxa"/>
          </w:tcPr>
          <w:p w14:paraId="43259358"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603°C</w:t>
            </w:r>
          </w:p>
        </w:tc>
      </w:tr>
      <w:tr w:rsidR="00912054" w:rsidRPr="00C73D35" w14:paraId="1447F7FE" w14:textId="77777777" w:rsidTr="00E14178">
        <w:trPr>
          <w:jc w:val="center"/>
        </w:trPr>
        <w:tc>
          <w:tcPr>
            <w:tcW w:w="2236" w:type="dxa"/>
          </w:tcPr>
          <w:p w14:paraId="747D012E"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Cladding Temp.</w:t>
            </w:r>
          </w:p>
        </w:tc>
        <w:tc>
          <w:tcPr>
            <w:tcW w:w="976" w:type="dxa"/>
          </w:tcPr>
          <w:p w14:paraId="7AA32596"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548°C</w:t>
            </w:r>
          </w:p>
        </w:tc>
        <w:tc>
          <w:tcPr>
            <w:tcW w:w="1079" w:type="dxa"/>
          </w:tcPr>
          <w:p w14:paraId="5FE5F0A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554°C</w:t>
            </w:r>
          </w:p>
        </w:tc>
        <w:tc>
          <w:tcPr>
            <w:tcW w:w="976" w:type="dxa"/>
            <w:vAlign w:val="center"/>
          </w:tcPr>
          <w:p w14:paraId="134D94E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544°C</w:t>
            </w:r>
          </w:p>
        </w:tc>
        <w:tc>
          <w:tcPr>
            <w:tcW w:w="1079" w:type="dxa"/>
          </w:tcPr>
          <w:p w14:paraId="2255324A"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550°C</w:t>
            </w:r>
          </w:p>
        </w:tc>
        <w:tc>
          <w:tcPr>
            <w:tcW w:w="976" w:type="dxa"/>
            <w:vAlign w:val="center"/>
          </w:tcPr>
          <w:p w14:paraId="3976FD5A"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551°C</w:t>
            </w:r>
          </w:p>
        </w:tc>
        <w:tc>
          <w:tcPr>
            <w:tcW w:w="1079" w:type="dxa"/>
          </w:tcPr>
          <w:p w14:paraId="24E22F94"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569°C</w:t>
            </w:r>
          </w:p>
        </w:tc>
      </w:tr>
      <w:tr w:rsidR="00912054" w:rsidRPr="00C73D35" w14:paraId="13129176" w14:textId="77777777" w:rsidTr="00E14178">
        <w:trPr>
          <w:jc w:val="center"/>
        </w:trPr>
        <w:tc>
          <w:tcPr>
            <w:tcW w:w="2236" w:type="dxa"/>
          </w:tcPr>
          <w:p w14:paraId="280179BB"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Max. Clad Penetration</w:t>
            </w:r>
          </w:p>
        </w:tc>
        <w:tc>
          <w:tcPr>
            <w:tcW w:w="976" w:type="dxa"/>
          </w:tcPr>
          <w:p w14:paraId="5BA7C616"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c>
          <w:tcPr>
            <w:tcW w:w="1079" w:type="dxa"/>
          </w:tcPr>
          <w:p w14:paraId="4E671AF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c>
          <w:tcPr>
            <w:tcW w:w="976" w:type="dxa"/>
            <w:vAlign w:val="center"/>
          </w:tcPr>
          <w:p w14:paraId="6481B7C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c>
          <w:tcPr>
            <w:tcW w:w="1079" w:type="dxa"/>
          </w:tcPr>
          <w:p w14:paraId="5F73ABB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c>
          <w:tcPr>
            <w:tcW w:w="976" w:type="dxa"/>
            <w:vAlign w:val="center"/>
          </w:tcPr>
          <w:p w14:paraId="738FCA0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c>
          <w:tcPr>
            <w:tcW w:w="1079" w:type="dxa"/>
          </w:tcPr>
          <w:p w14:paraId="6E461EA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0%</w:t>
            </w:r>
          </w:p>
        </w:tc>
      </w:tr>
      <w:tr w:rsidR="00912054" w:rsidRPr="00C73D35" w14:paraId="6FAD703D" w14:textId="77777777" w:rsidTr="00E14178">
        <w:trPr>
          <w:jc w:val="center"/>
        </w:trPr>
        <w:tc>
          <w:tcPr>
            <w:tcW w:w="2236" w:type="dxa"/>
          </w:tcPr>
          <w:p w14:paraId="4A631689"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Sodium Temp.</w:t>
            </w:r>
          </w:p>
        </w:tc>
        <w:tc>
          <w:tcPr>
            <w:tcW w:w="976" w:type="dxa"/>
          </w:tcPr>
          <w:p w14:paraId="5664683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547°C</w:t>
            </w:r>
          </w:p>
        </w:tc>
        <w:tc>
          <w:tcPr>
            <w:tcW w:w="1079" w:type="dxa"/>
          </w:tcPr>
          <w:p w14:paraId="64FF4678"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553°C</w:t>
            </w:r>
          </w:p>
        </w:tc>
        <w:tc>
          <w:tcPr>
            <w:tcW w:w="976" w:type="dxa"/>
            <w:vAlign w:val="center"/>
          </w:tcPr>
          <w:p w14:paraId="303F5BC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544°C</w:t>
            </w:r>
          </w:p>
        </w:tc>
        <w:tc>
          <w:tcPr>
            <w:tcW w:w="1079" w:type="dxa"/>
          </w:tcPr>
          <w:p w14:paraId="09B100F8"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550°C</w:t>
            </w:r>
          </w:p>
        </w:tc>
        <w:tc>
          <w:tcPr>
            <w:tcW w:w="976" w:type="dxa"/>
            <w:vAlign w:val="center"/>
          </w:tcPr>
          <w:p w14:paraId="667EE07D"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549°C</w:t>
            </w:r>
          </w:p>
        </w:tc>
        <w:tc>
          <w:tcPr>
            <w:tcW w:w="1079" w:type="dxa"/>
          </w:tcPr>
          <w:p w14:paraId="2C7716AB"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568°C</w:t>
            </w:r>
          </w:p>
        </w:tc>
      </w:tr>
      <w:tr w:rsidR="00912054" w:rsidRPr="00C73D35" w14:paraId="7BFB5404" w14:textId="77777777" w:rsidTr="00E14178">
        <w:trPr>
          <w:jc w:val="center"/>
        </w:trPr>
        <w:tc>
          <w:tcPr>
            <w:tcW w:w="2236" w:type="dxa"/>
          </w:tcPr>
          <w:p w14:paraId="6BB7D75B"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Sodium Boiling Margin</w:t>
            </w:r>
          </w:p>
        </w:tc>
        <w:tc>
          <w:tcPr>
            <w:tcW w:w="976" w:type="dxa"/>
          </w:tcPr>
          <w:p w14:paraId="06CDC05D"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396°C</w:t>
            </w:r>
          </w:p>
        </w:tc>
        <w:tc>
          <w:tcPr>
            <w:tcW w:w="1079" w:type="dxa"/>
          </w:tcPr>
          <w:p w14:paraId="1E595E78"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388°C</w:t>
            </w:r>
          </w:p>
        </w:tc>
        <w:tc>
          <w:tcPr>
            <w:tcW w:w="976" w:type="dxa"/>
            <w:vAlign w:val="center"/>
          </w:tcPr>
          <w:p w14:paraId="6589DB4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400°C</w:t>
            </w:r>
          </w:p>
        </w:tc>
        <w:tc>
          <w:tcPr>
            <w:tcW w:w="1079" w:type="dxa"/>
          </w:tcPr>
          <w:p w14:paraId="74AE7A7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391°C</w:t>
            </w:r>
          </w:p>
        </w:tc>
        <w:tc>
          <w:tcPr>
            <w:tcW w:w="976" w:type="dxa"/>
            <w:vAlign w:val="center"/>
          </w:tcPr>
          <w:p w14:paraId="649D76EE"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395°C</w:t>
            </w:r>
          </w:p>
        </w:tc>
        <w:tc>
          <w:tcPr>
            <w:tcW w:w="1079" w:type="dxa"/>
          </w:tcPr>
          <w:p w14:paraId="07E875C9"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371°C</w:t>
            </w:r>
          </w:p>
        </w:tc>
      </w:tr>
      <w:tr w:rsidR="00912054" w:rsidRPr="00C73D35" w14:paraId="4BB9BB04" w14:textId="77777777" w:rsidTr="00E14178">
        <w:trPr>
          <w:jc w:val="center"/>
        </w:trPr>
        <w:tc>
          <w:tcPr>
            <w:tcW w:w="2236" w:type="dxa"/>
          </w:tcPr>
          <w:p w14:paraId="73D31FE7"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Peak Hot Pool Temp.</w:t>
            </w:r>
          </w:p>
        </w:tc>
        <w:tc>
          <w:tcPr>
            <w:tcW w:w="976" w:type="dxa"/>
          </w:tcPr>
          <w:p w14:paraId="057BC3E7"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510°C</w:t>
            </w:r>
          </w:p>
        </w:tc>
        <w:tc>
          <w:tcPr>
            <w:tcW w:w="1079" w:type="dxa"/>
          </w:tcPr>
          <w:p w14:paraId="7817267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516°C</w:t>
            </w:r>
          </w:p>
        </w:tc>
        <w:tc>
          <w:tcPr>
            <w:tcW w:w="976" w:type="dxa"/>
            <w:vAlign w:val="center"/>
          </w:tcPr>
          <w:p w14:paraId="2B2ABFBA"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510°C</w:t>
            </w:r>
          </w:p>
        </w:tc>
        <w:tc>
          <w:tcPr>
            <w:tcW w:w="1079" w:type="dxa"/>
          </w:tcPr>
          <w:p w14:paraId="220A1405"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516°C</w:t>
            </w:r>
          </w:p>
        </w:tc>
        <w:tc>
          <w:tcPr>
            <w:tcW w:w="976" w:type="dxa"/>
            <w:vAlign w:val="center"/>
          </w:tcPr>
          <w:p w14:paraId="77AEC84C"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510°C</w:t>
            </w:r>
          </w:p>
        </w:tc>
        <w:tc>
          <w:tcPr>
            <w:tcW w:w="1079" w:type="dxa"/>
          </w:tcPr>
          <w:p w14:paraId="07470C91"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530°C</w:t>
            </w:r>
          </w:p>
        </w:tc>
      </w:tr>
      <w:tr w:rsidR="00912054" w:rsidRPr="00C73D35" w14:paraId="17B57BCB" w14:textId="77777777" w:rsidTr="00E14178">
        <w:trPr>
          <w:jc w:val="center"/>
        </w:trPr>
        <w:tc>
          <w:tcPr>
            <w:tcW w:w="2236" w:type="dxa"/>
          </w:tcPr>
          <w:p w14:paraId="2F4865F7" w14:textId="77777777" w:rsidR="00912054" w:rsidRPr="00CE6BB9" w:rsidRDefault="00912054" w:rsidP="00E14178">
            <w:pPr>
              <w:pStyle w:val="BodyText"/>
              <w:keepNext/>
              <w:keepLines/>
              <w:tabs>
                <w:tab w:val="left" w:pos="1381"/>
              </w:tabs>
              <w:spacing w:line="200" w:lineRule="atLeast"/>
              <w:ind w:firstLine="0"/>
              <w:jc w:val="left"/>
              <w:rPr>
                <w:color w:val="000000" w:themeColor="text1"/>
                <w:sz w:val="18"/>
                <w:szCs w:val="18"/>
              </w:rPr>
            </w:pPr>
            <w:r w:rsidRPr="00CE6BB9">
              <w:rPr>
                <w:color w:val="000000" w:themeColor="text1"/>
                <w:sz w:val="18"/>
                <w:szCs w:val="18"/>
              </w:rPr>
              <w:t>Margin to Service Level D</w:t>
            </w:r>
          </w:p>
        </w:tc>
        <w:tc>
          <w:tcPr>
            <w:tcW w:w="976" w:type="dxa"/>
          </w:tcPr>
          <w:p w14:paraId="077C8296"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194°C</w:t>
            </w:r>
          </w:p>
        </w:tc>
        <w:tc>
          <w:tcPr>
            <w:tcW w:w="1079" w:type="dxa"/>
          </w:tcPr>
          <w:p w14:paraId="4EAA5D67"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188°C</w:t>
            </w:r>
          </w:p>
        </w:tc>
        <w:tc>
          <w:tcPr>
            <w:tcW w:w="976" w:type="dxa"/>
            <w:vAlign w:val="center"/>
          </w:tcPr>
          <w:p w14:paraId="78CE18FF"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194°C</w:t>
            </w:r>
          </w:p>
        </w:tc>
        <w:tc>
          <w:tcPr>
            <w:tcW w:w="1079" w:type="dxa"/>
          </w:tcPr>
          <w:p w14:paraId="15A1F403"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188°C</w:t>
            </w:r>
          </w:p>
        </w:tc>
        <w:tc>
          <w:tcPr>
            <w:tcW w:w="976" w:type="dxa"/>
            <w:vAlign w:val="center"/>
          </w:tcPr>
          <w:p w14:paraId="011AD6DC"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194°C</w:t>
            </w:r>
          </w:p>
        </w:tc>
        <w:tc>
          <w:tcPr>
            <w:tcW w:w="1079" w:type="dxa"/>
          </w:tcPr>
          <w:p w14:paraId="7DB15922" w14:textId="77777777" w:rsidR="00912054" w:rsidRPr="00CE6BB9" w:rsidRDefault="00912054" w:rsidP="00E14178">
            <w:pPr>
              <w:pStyle w:val="BodyText"/>
              <w:keepNext/>
              <w:keepLines/>
              <w:tabs>
                <w:tab w:val="left" w:pos="1381"/>
              </w:tabs>
              <w:spacing w:line="200" w:lineRule="atLeast"/>
              <w:ind w:firstLine="0"/>
              <w:jc w:val="center"/>
              <w:rPr>
                <w:color w:val="000000" w:themeColor="text1"/>
                <w:sz w:val="18"/>
                <w:szCs w:val="18"/>
              </w:rPr>
            </w:pPr>
            <w:r w:rsidRPr="00CE6BB9">
              <w:rPr>
                <w:color w:val="000000" w:themeColor="text1"/>
                <w:sz w:val="18"/>
                <w:szCs w:val="18"/>
              </w:rPr>
              <w:t>174°C</w:t>
            </w:r>
          </w:p>
        </w:tc>
      </w:tr>
    </w:tbl>
    <w:p w14:paraId="285AE54D" w14:textId="77777777" w:rsidR="00912054" w:rsidRDefault="00912054" w:rsidP="00912054">
      <w:pPr>
        <w:pStyle w:val="BodyText"/>
        <w:rPr>
          <w:color w:val="000000" w:themeColor="text1"/>
        </w:rPr>
      </w:pPr>
    </w:p>
    <w:p w14:paraId="6BAFD6B2" w14:textId="6A9E0A3B" w:rsidR="00115473" w:rsidRPr="00C73D35" w:rsidRDefault="00115473" w:rsidP="00115473">
      <w:pPr>
        <w:pStyle w:val="Heading2"/>
        <w:numPr>
          <w:ilvl w:val="1"/>
          <w:numId w:val="10"/>
        </w:numPr>
        <w:rPr>
          <w:color w:val="000000" w:themeColor="text1"/>
        </w:rPr>
      </w:pPr>
      <w:r w:rsidRPr="00C73D35">
        <w:rPr>
          <w:color w:val="000000" w:themeColor="text1"/>
        </w:rPr>
        <w:t>CONCLUSIONS</w:t>
      </w:r>
    </w:p>
    <w:p w14:paraId="46E2B12F" w14:textId="6A014525" w:rsidR="00C73D35" w:rsidRPr="00C73D35" w:rsidRDefault="00D6511D" w:rsidP="00C73D35">
      <w:pPr>
        <w:pStyle w:val="BodyText"/>
        <w:rPr>
          <w:color w:val="000000" w:themeColor="text1"/>
        </w:rPr>
      </w:pPr>
      <w:r>
        <w:rPr>
          <w:color w:val="000000" w:themeColor="text1"/>
        </w:rPr>
        <w:t xml:space="preserve">A series of severe unprotected transient scenarios were analyzed with SAS4A/SASSYS-1 to assess the safety characteristics of the ARC-100 design. The postulated transients are very unlikely double-fault events with an assumed failure of the highly reliable reactor protection system. </w:t>
      </w:r>
      <w:r w:rsidR="00C73D35" w:rsidRPr="00C73D35">
        <w:rPr>
          <w:color w:val="000000" w:themeColor="text1"/>
        </w:rPr>
        <w:t>During the</w:t>
      </w:r>
      <w:r>
        <w:rPr>
          <w:color w:val="000000" w:themeColor="text1"/>
        </w:rPr>
        <w:t>se transients</w:t>
      </w:r>
      <w:r w:rsidR="00C73D35" w:rsidRPr="00C73D35">
        <w:rPr>
          <w:color w:val="000000" w:themeColor="text1"/>
        </w:rPr>
        <w:t xml:space="preserve">, the ARC-100 </w:t>
      </w:r>
      <w:proofErr w:type="gramStart"/>
      <w:r w:rsidR="00C73D35" w:rsidRPr="00C73D35">
        <w:rPr>
          <w:color w:val="000000" w:themeColor="text1"/>
        </w:rPr>
        <w:t>is able to</w:t>
      </w:r>
      <w:proofErr w:type="gramEnd"/>
      <w:r w:rsidR="00C73D35" w:rsidRPr="00C73D35">
        <w:rPr>
          <w:color w:val="000000" w:themeColor="text1"/>
        </w:rPr>
        <w:t xml:space="preserve"> maintain large safety margins due to the design features that utilize inherent passive responses to unanticipated conditions and equipment failures. The sodium coolant provides superior heat removal and transport characteristics at near atmospheric pressures with large margins to boiling, while the metallic fuel operates at relatively low temperatures due to its high thermal conductivity. The pool-type primary system provides a large thermal capacity while allowing for shutdown heat removal through the RVACS and DRACS systems via natural circulation. </w:t>
      </w:r>
    </w:p>
    <w:p w14:paraId="425649B6" w14:textId="3B62BB66" w:rsidR="00C73D35" w:rsidRPr="00C73D35" w:rsidRDefault="00C73D35" w:rsidP="00C73D35">
      <w:pPr>
        <w:pStyle w:val="BodyText"/>
        <w:rPr>
          <w:color w:val="000000" w:themeColor="text1"/>
        </w:rPr>
      </w:pPr>
      <w:r w:rsidRPr="00C73D35">
        <w:rPr>
          <w:color w:val="000000" w:themeColor="text1"/>
        </w:rPr>
        <w:t>Without a reactor protection system to scram the control rods, the inherent reactivity feedbacks are responsible for reducing power to match the total available heat rejection provided by the RVACS and DRACS, as well as the balance of plant if it is assumed to remain operational. The results of these accident simulations demonstrate the capability of the ARC-100 design to provide protection against reactor damage during low probability accident sequences resulting from multiple equipment failures.</w:t>
      </w:r>
    </w:p>
    <w:p w14:paraId="0CB41700" w14:textId="0C545078" w:rsidR="00CE6BB9" w:rsidRDefault="00CE6BB9">
      <w:pPr>
        <w:overflowPunct/>
        <w:autoSpaceDE/>
        <w:autoSpaceDN/>
        <w:adjustRightInd/>
        <w:textAlignment w:val="auto"/>
        <w:rPr>
          <w:color w:val="000000" w:themeColor="text1"/>
          <w:sz w:val="20"/>
        </w:rPr>
      </w:pPr>
    </w:p>
    <w:p w14:paraId="433FE095" w14:textId="77777777" w:rsidR="00285755" w:rsidRPr="00C73D35" w:rsidRDefault="00285755" w:rsidP="00537496">
      <w:pPr>
        <w:pStyle w:val="Otherunnumberedheadings"/>
        <w:rPr>
          <w:color w:val="000000" w:themeColor="text1"/>
        </w:rPr>
      </w:pPr>
      <w:r w:rsidRPr="00C73D35">
        <w:rPr>
          <w:color w:val="000000" w:themeColor="text1"/>
        </w:rPr>
        <w:t>ACKNOWLEDGEMENTS</w:t>
      </w:r>
    </w:p>
    <w:p w14:paraId="433FE096" w14:textId="4AAB19BD" w:rsidR="00D26ADA" w:rsidRPr="00C73D35" w:rsidRDefault="007B2395" w:rsidP="00537496">
      <w:pPr>
        <w:pStyle w:val="BodyText"/>
        <w:rPr>
          <w:color w:val="000000" w:themeColor="text1"/>
        </w:rPr>
      </w:pPr>
      <w:r w:rsidRPr="00C73D35">
        <w:rPr>
          <w:color w:val="000000" w:themeColor="text1"/>
        </w:rPr>
        <w:t>The submitted manuscript has been created by UChicago Argonne, LLC, Operator of Argonne National Laboratory (“Argonne”). Argonne National Laboratory’s work was supported by Advanced Reactor Concepts, LLC under the Strategic Partnership Project Agreement No. 854V0: The ARC Reactor.</w:t>
      </w:r>
    </w:p>
    <w:p w14:paraId="433FE097" w14:textId="77777777" w:rsidR="00D26ADA" w:rsidRPr="00C73D35" w:rsidRDefault="00D26ADA" w:rsidP="00537496">
      <w:pPr>
        <w:pStyle w:val="Otherunnumberedheadings"/>
        <w:rPr>
          <w:color w:val="000000" w:themeColor="text1"/>
        </w:rPr>
      </w:pPr>
      <w:r w:rsidRPr="00C73D35">
        <w:rPr>
          <w:color w:val="000000" w:themeColor="text1"/>
        </w:rPr>
        <w:t>References</w:t>
      </w:r>
    </w:p>
    <w:p w14:paraId="1D866EF0" w14:textId="633F0603" w:rsidR="001177A8" w:rsidRDefault="001177A8" w:rsidP="007B2395">
      <w:pPr>
        <w:pStyle w:val="Referencelist"/>
        <w:rPr>
          <w:color w:val="000000" w:themeColor="text1"/>
        </w:rPr>
      </w:pPr>
      <w:bookmarkStart w:id="2" w:name="_Ref62632941"/>
      <w:r>
        <w:rPr>
          <w:color w:val="000000" w:themeColor="text1"/>
        </w:rPr>
        <w:t xml:space="preserve">Advanced Reactor Concepts, LLC (2021), </w:t>
      </w:r>
      <w:r w:rsidRPr="001177A8">
        <w:rPr>
          <w:color w:val="000000" w:themeColor="text1"/>
        </w:rPr>
        <w:t>https://www.arcenergy.co</w:t>
      </w:r>
    </w:p>
    <w:p w14:paraId="48B20AE4" w14:textId="3EECCD22" w:rsidR="007B2395" w:rsidRPr="00C73D35" w:rsidRDefault="007B2395" w:rsidP="007B2395">
      <w:pPr>
        <w:pStyle w:val="Referencelist"/>
        <w:rPr>
          <w:color w:val="000000" w:themeColor="text1"/>
        </w:rPr>
      </w:pPr>
      <w:r w:rsidRPr="00C73D35">
        <w:rPr>
          <w:color w:val="000000" w:themeColor="text1"/>
        </w:rPr>
        <w:t>FANNING, T. H., et. al. eds., The SAS4A/SASSYS-1 Safety Analysis Code System, Version 5, ANL/NE-16/19, Nuclear Engineering Division, Argonne National Laboratory, March 31, 2017.</w:t>
      </w:r>
      <w:bookmarkEnd w:id="2"/>
    </w:p>
    <w:p w14:paraId="549D1554" w14:textId="2F660A48" w:rsidR="008D4788" w:rsidRPr="00C73D35" w:rsidRDefault="008D4788" w:rsidP="008D4788">
      <w:pPr>
        <w:pStyle w:val="Referencelist"/>
        <w:rPr>
          <w:color w:val="000000" w:themeColor="text1"/>
          <w:lang w:val="en-US"/>
        </w:rPr>
      </w:pPr>
      <w:r w:rsidRPr="00C73D35">
        <w:rPr>
          <w:color w:val="000000" w:themeColor="text1"/>
          <w:lang w:val="en-US"/>
        </w:rPr>
        <w:t xml:space="preserve">R. D. Lawrence, “The DIF3D Nodal Neutronics Option for Two- and Three- Dimensional Diffusion Theory Calculations in Hexagonal Geometry,” ANL-83-1, Argonne National Laboratory (1983). </w:t>
      </w:r>
    </w:p>
    <w:p w14:paraId="78A52681" w14:textId="1A332A9E" w:rsidR="008D4788" w:rsidRPr="00C73D35" w:rsidRDefault="008D4788" w:rsidP="008D4788">
      <w:pPr>
        <w:pStyle w:val="Referencelist"/>
        <w:rPr>
          <w:color w:val="000000" w:themeColor="text1"/>
          <w:lang w:val="en-US"/>
        </w:rPr>
      </w:pPr>
      <w:bookmarkStart w:id="3" w:name="_Ref51588810"/>
      <w:bookmarkStart w:id="4" w:name="_Ref427227960"/>
      <w:r w:rsidRPr="00C73D35">
        <w:rPr>
          <w:color w:val="000000" w:themeColor="text1"/>
        </w:rPr>
        <w:t xml:space="preserve">BASEHORE, K. L. and TODREAS, N. E., 1980. SUPERENERGY-2: A </w:t>
      </w:r>
      <w:proofErr w:type="spellStart"/>
      <w:r w:rsidRPr="00C73D35">
        <w:rPr>
          <w:color w:val="000000" w:themeColor="text1"/>
        </w:rPr>
        <w:t>Multiassembly</w:t>
      </w:r>
      <w:proofErr w:type="spellEnd"/>
      <w:r w:rsidRPr="00C73D35">
        <w:rPr>
          <w:color w:val="000000" w:themeColor="text1"/>
        </w:rPr>
        <w:t>, Steady- State Computer Code for LMFBR Core Thermal-Hydraulic Analysis. Technical Report. Pacific Northwest Laboratory, PNL-3379, COO-2245-57TR.</w:t>
      </w:r>
      <w:bookmarkEnd w:id="3"/>
      <w:bookmarkEnd w:id="4"/>
    </w:p>
    <w:p w14:paraId="29482C2E" w14:textId="476A0B32" w:rsidR="008D4788" w:rsidRPr="00C73D35" w:rsidRDefault="008D4788" w:rsidP="008D4788">
      <w:pPr>
        <w:pStyle w:val="Referencelist"/>
        <w:rPr>
          <w:color w:val="000000" w:themeColor="text1"/>
          <w:lang w:val="en-US"/>
        </w:rPr>
      </w:pPr>
      <w:r w:rsidRPr="00C73D35">
        <w:rPr>
          <w:color w:val="000000" w:themeColor="text1"/>
          <w:lang w:val="en-US"/>
        </w:rPr>
        <w:t xml:space="preserve">M. A. Smith, et al., “VARI3D &amp; PERSENT: Perturbation and Sensitivity Analysis,” ANL/NE-13/8, Argonne National Laboratory, Argonne, IL (2013). </w:t>
      </w:r>
    </w:p>
    <w:p w14:paraId="4A3C5B33" w14:textId="34DF89E8" w:rsidR="008D4788" w:rsidRPr="00907F14" w:rsidRDefault="008D4788" w:rsidP="008D4788">
      <w:pPr>
        <w:pStyle w:val="Referencelist"/>
        <w:rPr>
          <w:color w:val="000000" w:themeColor="text1"/>
          <w:lang w:val="en-US"/>
        </w:rPr>
      </w:pPr>
      <w:bookmarkStart w:id="5" w:name="_Ref427228419"/>
      <w:r w:rsidRPr="00C73D35">
        <w:rPr>
          <w:color w:val="000000" w:themeColor="text1"/>
        </w:rPr>
        <w:t>PRISM Preliminary Safety Information Document, GEFR-00793, Chapter 15, Volume IV.</w:t>
      </w:r>
      <w:bookmarkEnd w:id="5"/>
    </w:p>
    <w:p w14:paraId="7EBA5D7F" w14:textId="4EA1D7A2" w:rsidR="00907F14" w:rsidRDefault="00907F14" w:rsidP="00907F14">
      <w:pPr>
        <w:pStyle w:val="Referencelist"/>
        <w:numPr>
          <w:ilvl w:val="0"/>
          <w:numId w:val="0"/>
        </w:numPr>
        <w:ind w:left="720" w:hanging="360"/>
        <w:rPr>
          <w:color w:val="000000" w:themeColor="text1"/>
        </w:rPr>
      </w:pPr>
    </w:p>
    <w:p w14:paraId="1B2AF297" w14:textId="77777777" w:rsidR="008B3E4E" w:rsidRPr="00C73D35" w:rsidRDefault="008B3E4E" w:rsidP="00907F14">
      <w:pPr>
        <w:pStyle w:val="Referencelist"/>
        <w:numPr>
          <w:ilvl w:val="0"/>
          <w:numId w:val="0"/>
        </w:numPr>
        <w:ind w:left="720" w:hanging="360"/>
        <w:rPr>
          <w:color w:val="000000" w:themeColor="text1"/>
          <w:lang w:val="en-US"/>
        </w:rPr>
      </w:pPr>
    </w:p>
    <w:sectPr w:rsidR="008B3E4E" w:rsidRPr="00C73D35" w:rsidSect="0026525A">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E6BFC" w14:textId="77777777" w:rsidR="005B108B" w:rsidRDefault="005B108B">
      <w:r>
        <w:separator/>
      </w:r>
    </w:p>
  </w:endnote>
  <w:endnote w:type="continuationSeparator" w:id="0">
    <w:p w14:paraId="0334D1D0" w14:textId="77777777" w:rsidR="005B108B" w:rsidRDefault="005B1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327F85" w:rsidRDefault="00327F85">
    <w:pPr>
      <w:pStyle w:val="zyxClassification1"/>
    </w:pPr>
    <w:r>
      <w:fldChar w:fldCharType="begin"/>
    </w:r>
    <w:r>
      <w:instrText xml:space="preserve"> DOCPROPERTY "IaeaClassification"  \* MERGEFORMAT </w:instrText>
    </w:r>
    <w:r>
      <w:fldChar w:fldCharType="end"/>
    </w:r>
  </w:p>
  <w:p w14:paraId="433FE0C7" w14:textId="77777777" w:rsidR="00327F85" w:rsidRDefault="00327F85">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327F85" w:rsidRDefault="00327F85">
    <w:pPr>
      <w:pStyle w:val="zyxClassification1"/>
    </w:pPr>
    <w:r>
      <w:fldChar w:fldCharType="begin"/>
    </w:r>
    <w:r>
      <w:instrText xml:space="preserve"> DOCPROPERTY "IaeaClassification"  \* MERGEFORMAT </w:instrText>
    </w:r>
    <w:r>
      <w:fldChar w:fldCharType="end"/>
    </w:r>
  </w:p>
  <w:p w14:paraId="433FE0C9" w14:textId="436416A9" w:rsidR="00327F85" w:rsidRPr="00037321" w:rsidRDefault="00327F85">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8B3E4E">
      <w:rPr>
        <w:rFonts w:ascii="Times New Roman" w:hAnsi="Times New Roman" w:cs="Times New Roman"/>
        <w:noProof/>
        <w:sz w:val="20"/>
      </w:rPr>
      <w:t>11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327F85" w14:paraId="433FE0D8" w14:textId="77777777">
      <w:trPr>
        <w:cantSplit/>
      </w:trPr>
      <w:tc>
        <w:tcPr>
          <w:tcW w:w="4644" w:type="dxa"/>
        </w:tcPr>
        <w:p w14:paraId="433FE0D4" w14:textId="77777777" w:rsidR="00327F85" w:rsidRDefault="00327F85">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327F85" w:rsidRDefault="00327F85">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7" w:name="DOC_bkmClassification2"/>
      <w:tc>
        <w:tcPr>
          <w:tcW w:w="5670" w:type="dxa"/>
          <w:tcMar>
            <w:right w:w="249" w:type="dxa"/>
          </w:tcMar>
        </w:tcPr>
        <w:p w14:paraId="433FE0D6" w14:textId="77777777" w:rsidR="00327F85" w:rsidRDefault="00327F8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7"/>
        <w:p w14:paraId="433FE0D7" w14:textId="77777777" w:rsidR="00327F85" w:rsidRDefault="00327F85">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8" w:name="DOC_bkmFileName"/>
  <w:p w14:paraId="433FE0D9" w14:textId="77777777" w:rsidR="00327F85" w:rsidRDefault="00327F85">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6BEDC" w14:textId="77777777" w:rsidR="005B108B" w:rsidRDefault="005B108B">
      <w:r>
        <w:t>___________________________________________________________________________</w:t>
      </w:r>
    </w:p>
  </w:footnote>
  <w:footnote w:type="continuationSeparator" w:id="0">
    <w:p w14:paraId="031B8E3D" w14:textId="77777777" w:rsidR="005B108B" w:rsidRDefault="005B108B">
      <w:r>
        <w:t>___________________________________________________________________________</w:t>
      </w:r>
    </w:p>
  </w:footnote>
  <w:footnote w:type="continuationNotice" w:id="1">
    <w:p w14:paraId="68772EE8" w14:textId="77777777" w:rsidR="005B108B" w:rsidRDefault="005B1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F6A09" w14:textId="77777777" w:rsidR="00327F85" w:rsidRDefault="00327F85" w:rsidP="0093387B">
    <w:pPr>
      <w:pStyle w:val="Runninghead"/>
    </w:pPr>
    <w:r>
      <w:tab/>
      <w:t>FR21: IAEA-CN-291/240</w:t>
    </w:r>
  </w:p>
  <w:p w14:paraId="433FE0C3" w14:textId="77777777" w:rsidR="00327F85" w:rsidRDefault="00327F85">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ABB7" w14:textId="5CAEC755" w:rsidR="00327F85" w:rsidRDefault="00327F85" w:rsidP="0093387B">
    <w:pPr>
      <w:pStyle w:val="Runninghead"/>
    </w:pPr>
    <w:r>
      <w:t xml:space="preserve">T. SUMNER </w:t>
    </w:r>
    <w:r w:rsidR="00AF5796">
      <w:t>and A. MOISSEYTSEV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327F85" w14:paraId="433FE0CE" w14:textId="77777777">
      <w:trPr>
        <w:cantSplit/>
        <w:trHeight w:val="716"/>
      </w:trPr>
      <w:tc>
        <w:tcPr>
          <w:tcW w:w="979" w:type="dxa"/>
          <w:vMerge w:val="restart"/>
        </w:tcPr>
        <w:p w14:paraId="433FE0CA" w14:textId="77777777" w:rsidR="00327F85" w:rsidRDefault="00327F85">
          <w:pPr>
            <w:spacing w:before="180"/>
            <w:ind w:left="17"/>
          </w:pPr>
        </w:p>
      </w:tc>
      <w:tc>
        <w:tcPr>
          <w:tcW w:w="3638" w:type="dxa"/>
          <w:vAlign w:val="bottom"/>
        </w:tcPr>
        <w:p w14:paraId="433FE0CB" w14:textId="77777777" w:rsidR="00327F85" w:rsidRDefault="00327F85">
          <w:pPr>
            <w:spacing w:after="20"/>
          </w:pPr>
        </w:p>
      </w:tc>
      <w:bookmarkStart w:id="6" w:name="DOC_bkmClassification1"/>
      <w:tc>
        <w:tcPr>
          <w:tcW w:w="5702" w:type="dxa"/>
          <w:vMerge w:val="restart"/>
          <w:tcMar>
            <w:right w:w="193" w:type="dxa"/>
          </w:tcMar>
        </w:tcPr>
        <w:p w14:paraId="433FE0CC" w14:textId="77777777" w:rsidR="00327F85" w:rsidRDefault="00327F8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6"/>
        <w:p w14:paraId="433FE0CD" w14:textId="77777777" w:rsidR="00327F85" w:rsidRDefault="00327F85">
          <w:pPr>
            <w:pStyle w:val="zyxConfid2Red"/>
          </w:pPr>
          <w:r>
            <w:fldChar w:fldCharType="begin"/>
          </w:r>
          <w:r>
            <w:instrText>DOCPROPERTY "IaeaClassification2"  \* MERGEFORMAT</w:instrText>
          </w:r>
          <w:r>
            <w:fldChar w:fldCharType="end"/>
          </w:r>
        </w:p>
      </w:tc>
    </w:tr>
    <w:tr w:rsidR="00327F85" w14:paraId="433FE0D2" w14:textId="77777777">
      <w:trPr>
        <w:cantSplit/>
        <w:trHeight w:val="167"/>
      </w:trPr>
      <w:tc>
        <w:tcPr>
          <w:tcW w:w="979" w:type="dxa"/>
          <w:vMerge/>
        </w:tcPr>
        <w:p w14:paraId="433FE0CF" w14:textId="77777777" w:rsidR="00327F85" w:rsidRDefault="00327F85">
          <w:pPr>
            <w:spacing w:before="57"/>
          </w:pPr>
        </w:p>
      </w:tc>
      <w:tc>
        <w:tcPr>
          <w:tcW w:w="3638" w:type="dxa"/>
          <w:vAlign w:val="bottom"/>
        </w:tcPr>
        <w:p w14:paraId="433FE0D0" w14:textId="77777777" w:rsidR="00327F85" w:rsidRDefault="00327F85">
          <w:pPr>
            <w:pStyle w:val="Heading9"/>
            <w:spacing w:before="0" w:after="10"/>
          </w:pPr>
        </w:p>
      </w:tc>
      <w:tc>
        <w:tcPr>
          <w:tcW w:w="5702" w:type="dxa"/>
          <w:vMerge/>
          <w:vAlign w:val="bottom"/>
        </w:tcPr>
        <w:p w14:paraId="433FE0D1" w14:textId="77777777" w:rsidR="00327F85" w:rsidRDefault="00327F85">
          <w:pPr>
            <w:pStyle w:val="Heading9"/>
            <w:spacing w:before="0" w:after="10"/>
          </w:pPr>
        </w:p>
      </w:tc>
    </w:tr>
  </w:tbl>
  <w:p w14:paraId="433FE0D3" w14:textId="77777777" w:rsidR="00327F85" w:rsidRDefault="00327F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73D7"/>
    <w:multiLevelType w:val="hybridMultilevel"/>
    <w:tmpl w:val="D092EB56"/>
    <w:lvl w:ilvl="0" w:tplc="93303A4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8A25AAA"/>
    <w:multiLevelType w:val="multilevel"/>
    <w:tmpl w:val="017C3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A632A8B"/>
    <w:multiLevelType w:val="hybridMultilevel"/>
    <w:tmpl w:val="A40CF0FC"/>
    <w:lvl w:ilvl="0" w:tplc="F2FC6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80275A"/>
    <w:multiLevelType w:val="hybridMultilevel"/>
    <w:tmpl w:val="26F4B8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7E217D0D"/>
    <w:multiLevelType w:val="hybridMultilevel"/>
    <w:tmpl w:val="7AAEE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4"/>
  </w:num>
  <w:num w:numId="4">
    <w:abstractNumId w:val="14"/>
  </w:num>
  <w:num w:numId="5">
    <w:abstractNumId w:val="14"/>
  </w:num>
  <w:num w:numId="6">
    <w:abstractNumId w:val="7"/>
  </w:num>
  <w:num w:numId="7">
    <w:abstractNumId w:val="11"/>
  </w:num>
  <w:num w:numId="8">
    <w:abstractNumId w:val="15"/>
  </w:num>
  <w:num w:numId="9">
    <w:abstractNumId w:val="3"/>
  </w:num>
  <w:num w:numId="10">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4"/>
  </w:num>
  <w:num w:numId="12">
    <w:abstractNumId w:val="14"/>
  </w:num>
  <w:num w:numId="13">
    <w:abstractNumId w:val="14"/>
  </w:num>
  <w:num w:numId="14">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4"/>
  </w:num>
  <w:num w:numId="16">
    <w:abstractNumId w:val="14"/>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
  </w:num>
  <w:num w:numId="21">
    <w:abstractNumId w:val="14"/>
  </w:num>
  <w:num w:numId="22">
    <w:abstractNumId w:val="5"/>
  </w:num>
  <w:num w:numId="23">
    <w:abstractNumId w:val="2"/>
  </w:num>
  <w:num w:numId="24">
    <w:abstractNumId w:val="13"/>
  </w:num>
  <w:num w:numId="25">
    <w:abstractNumId w:val="14"/>
  </w:num>
  <w:num w:numId="26">
    <w:abstractNumId w:val="14"/>
  </w:num>
  <w:num w:numId="27">
    <w:abstractNumId w:val="14"/>
  </w:num>
  <w:num w:numId="28">
    <w:abstractNumId w:val="14"/>
  </w:num>
  <w:num w:numId="29">
    <w:abstractNumId w:val="14"/>
  </w:num>
  <w:num w:numId="30">
    <w:abstractNumId w:val="9"/>
  </w:num>
  <w:num w:numId="31">
    <w:abstractNumId w:val="9"/>
  </w:num>
  <w:num w:numId="32">
    <w:abstractNumId w:val="14"/>
  </w:num>
  <w:num w:numId="33">
    <w:abstractNumId w:val="0"/>
  </w:num>
  <w:num w:numId="34">
    <w:abstractNumId w:val="4"/>
  </w:num>
  <w:num w:numId="35">
    <w:abstractNumId w:val="1"/>
  </w:num>
  <w:num w:numId="36">
    <w:abstractNumId w:val="12"/>
  </w:num>
  <w:num w:numId="37">
    <w:abstractNumId w:val="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it-IT"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4AD9"/>
    <w:rsid w:val="0002569A"/>
    <w:rsid w:val="00034197"/>
    <w:rsid w:val="00037321"/>
    <w:rsid w:val="00056807"/>
    <w:rsid w:val="00063BF2"/>
    <w:rsid w:val="000642A0"/>
    <w:rsid w:val="00082782"/>
    <w:rsid w:val="00093A64"/>
    <w:rsid w:val="000A0299"/>
    <w:rsid w:val="000A2990"/>
    <w:rsid w:val="000B2F0F"/>
    <w:rsid w:val="000C025D"/>
    <w:rsid w:val="000C4332"/>
    <w:rsid w:val="000F0E11"/>
    <w:rsid w:val="000F7E94"/>
    <w:rsid w:val="001119D6"/>
    <w:rsid w:val="00115473"/>
    <w:rsid w:val="00116279"/>
    <w:rsid w:val="001177A8"/>
    <w:rsid w:val="001308F2"/>
    <w:rsid w:val="001313E8"/>
    <w:rsid w:val="00147A70"/>
    <w:rsid w:val="00183594"/>
    <w:rsid w:val="001837A8"/>
    <w:rsid w:val="00183BC4"/>
    <w:rsid w:val="001972CE"/>
    <w:rsid w:val="001C368C"/>
    <w:rsid w:val="001C58F5"/>
    <w:rsid w:val="001D5CEE"/>
    <w:rsid w:val="002071D9"/>
    <w:rsid w:val="00224113"/>
    <w:rsid w:val="00227DD3"/>
    <w:rsid w:val="00230B8D"/>
    <w:rsid w:val="002518E1"/>
    <w:rsid w:val="00256822"/>
    <w:rsid w:val="0026525A"/>
    <w:rsid w:val="00274790"/>
    <w:rsid w:val="00285755"/>
    <w:rsid w:val="0029549A"/>
    <w:rsid w:val="002A1F9C"/>
    <w:rsid w:val="002B29C2"/>
    <w:rsid w:val="002B5F7C"/>
    <w:rsid w:val="002C29DB"/>
    <w:rsid w:val="002C4208"/>
    <w:rsid w:val="00323F3C"/>
    <w:rsid w:val="00326B80"/>
    <w:rsid w:val="00327B78"/>
    <w:rsid w:val="00327F85"/>
    <w:rsid w:val="00352DE1"/>
    <w:rsid w:val="003608BD"/>
    <w:rsid w:val="003728E6"/>
    <w:rsid w:val="0037781D"/>
    <w:rsid w:val="003A65BD"/>
    <w:rsid w:val="003B0D05"/>
    <w:rsid w:val="003B2720"/>
    <w:rsid w:val="003B5E0E"/>
    <w:rsid w:val="003B6642"/>
    <w:rsid w:val="003B71CF"/>
    <w:rsid w:val="003C602E"/>
    <w:rsid w:val="003D255A"/>
    <w:rsid w:val="003F038C"/>
    <w:rsid w:val="00416949"/>
    <w:rsid w:val="00425B6A"/>
    <w:rsid w:val="004278DE"/>
    <w:rsid w:val="00430C0F"/>
    <w:rsid w:val="004370D8"/>
    <w:rsid w:val="004650A0"/>
    <w:rsid w:val="00472C43"/>
    <w:rsid w:val="004B2971"/>
    <w:rsid w:val="00503C31"/>
    <w:rsid w:val="00524D39"/>
    <w:rsid w:val="00537496"/>
    <w:rsid w:val="00544ED3"/>
    <w:rsid w:val="005464E4"/>
    <w:rsid w:val="0058477B"/>
    <w:rsid w:val="0058654F"/>
    <w:rsid w:val="00596ACA"/>
    <w:rsid w:val="005A7B9A"/>
    <w:rsid w:val="005B108B"/>
    <w:rsid w:val="005D2DF4"/>
    <w:rsid w:val="005D6992"/>
    <w:rsid w:val="005E39BC"/>
    <w:rsid w:val="005F00A0"/>
    <w:rsid w:val="006113E3"/>
    <w:rsid w:val="00612D66"/>
    <w:rsid w:val="006273FD"/>
    <w:rsid w:val="00647F33"/>
    <w:rsid w:val="00653FAD"/>
    <w:rsid w:val="00662532"/>
    <w:rsid w:val="0066439B"/>
    <w:rsid w:val="006667EF"/>
    <w:rsid w:val="006B2274"/>
    <w:rsid w:val="006C1D51"/>
    <w:rsid w:val="006D5D24"/>
    <w:rsid w:val="006E022E"/>
    <w:rsid w:val="006F00E7"/>
    <w:rsid w:val="006F3832"/>
    <w:rsid w:val="006F5B46"/>
    <w:rsid w:val="00717C6F"/>
    <w:rsid w:val="00726D8D"/>
    <w:rsid w:val="00736C73"/>
    <w:rsid w:val="007445DA"/>
    <w:rsid w:val="0075272A"/>
    <w:rsid w:val="00765B9B"/>
    <w:rsid w:val="0077274A"/>
    <w:rsid w:val="007B2395"/>
    <w:rsid w:val="007B4FD1"/>
    <w:rsid w:val="007C5ABA"/>
    <w:rsid w:val="007D5C60"/>
    <w:rsid w:val="007F5A54"/>
    <w:rsid w:val="00802381"/>
    <w:rsid w:val="0083096A"/>
    <w:rsid w:val="00841783"/>
    <w:rsid w:val="00847420"/>
    <w:rsid w:val="00855EBD"/>
    <w:rsid w:val="0086759F"/>
    <w:rsid w:val="00871F40"/>
    <w:rsid w:val="008804EB"/>
    <w:rsid w:val="00883848"/>
    <w:rsid w:val="00893B2A"/>
    <w:rsid w:val="00893BCE"/>
    <w:rsid w:val="00897ED5"/>
    <w:rsid w:val="008B11C9"/>
    <w:rsid w:val="008B3E4E"/>
    <w:rsid w:val="008B6BB9"/>
    <w:rsid w:val="008D4788"/>
    <w:rsid w:val="00907F14"/>
    <w:rsid w:val="00911543"/>
    <w:rsid w:val="00912054"/>
    <w:rsid w:val="009120FB"/>
    <w:rsid w:val="00916BC6"/>
    <w:rsid w:val="00921471"/>
    <w:rsid w:val="009226FE"/>
    <w:rsid w:val="0093387B"/>
    <w:rsid w:val="009519C9"/>
    <w:rsid w:val="009953E4"/>
    <w:rsid w:val="009A373A"/>
    <w:rsid w:val="009D0B86"/>
    <w:rsid w:val="009E0D5B"/>
    <w:rsid w:val="009E1558"/>
    <w:rsid w:val="009E51DF"/>
    <w:rsid w:val="00A217AA"/>
    <w:rsid w:val="00A233D1"/>
    <w:rsid w:val="00A42898"/>
    <w:rsid w:val="00A44A7B"/>
    <w:rsid w:val="00A524BF"/>
    <w:rsid w:val="00A57919"/>
    <w:rsid w:val="00A967EE"/>
    <w:rsid w:val="00AB6ACE"/>
    <w:rsid w:val="00AB7E06"/>
    <w:rsid w:val="00AC5A3A"/>
    <w:rsid w:val="00AE317A"/>
    <w:rsid w:val="00AF5796"/>
    <w:rsid w:val="00B604BE"/>
    <w:rsid w:val="00B80DBA"/>
    <w:rsid w:val="00B82FA5"/>
    <w:rsid w:val="00BC2975"/>
    <w:rsid w:val="00BD1400"/>
    <w:rsid w:val="00BD605C"/>
    <w:rsid w:val="00BE1C94"/>
    <w:rsid w:val="00BE2A76"/>
    <w:rsid w:val="00C02AE1"/>
    <w:rsid w:val="00C06C29"/>
    <w:rsid w:val="00C204F9"/>
    <w:rsid w:val="00C62521"/>
    <w:rsid w:val="00C65E60"/>
    <w:rsid w:val="00C73D35"/>
    <w:rsid w:val="00C77BA7"/>
    <w:rsid w:val="00CA0102"/>
    <w:rsid w:val="00CE5A52"/>
    <w:rsid w:val="00CE6BB9"/>
    <w:rsid w:val="00CE711E"/>
    <w:rsid w:val="00CF6AA0"/>
    <w:rsid w:val="00CF7AF3"/>
    <w:rsid w:val="00D01EE5"/>
    <w:rsid w:val="00D203F2"/>
    <w:rsid w:val="00D235A5"/>
    <w:rsid w:val="00D26ADA"/>
    <w:rsid w:val="00D35A78"/>
    <w:rsid w:val="00D555A1"/>
    <w:rsid w:val="00D60478"/>
    <w:rsid w:val="00D61948"/>
    <w:rsid w:val="00D64DC2"/>
    <w:rsid w:val="00D6511D"/>
    <w:rsid w:val="00D725D0"/>
    <w:rsid w:val="00DA46CA"/>
    <w:rsid w:val="00DD2B7F"/>
    <w:rsid w:val="00DE0CA0"/>
    <w:rsid w:val="00DF21EB"/>
    <w:rsid w:val="00E20E70"/>
    <w:rsid w:val="00E25B68"/>
    <w:rsid w:val="00E557DC"/>
    <w:rsid w:val="00E60BCA"/>
    <w:rsid w:val="00E82CF0"/>
    <w:rsid w:val="00E84003"/>
    <w:rsid w:val="00E84C16"/>
    <w:rsid w:val="00EB3A33"/>
    <w:rsid w:val="00EB6259"/>
    <w:rsid w:val="00EC10FC"/>
    <w:rsid w:val="00ED0A99"/>
    <w:rsid w:val="00EE0041"/>
    <w:rsid w:val="00EE29B9"/>
    <w:rsid w:val="00F004EE"/>
    <w:rsid w:val="00F14348"/>
    <w:rsid w:val="00F42E23"/>
    <w:rsid w:val="00F45EEE"/>
    <w:rsid w:val="00F51E9C"/>
    <w:rsid w:val="00F523CA"/>
    <w:rsid w:val="00F74A9D"/>
    <w:rsid w:val="00F93F98"/>
    <w:rsid w:val="00FE1239"/>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66439B"/>
    <w:pPr>
      <w:ind w:firstLine="0"/>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66439B"/>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unhideWhenUsed/>
    <w:locked/>
    <w:rsid w:val="00A233D1"/>
    <w:rPr>
      <w:sz w:val="20"/>
    </w:rPr>
  </w:style>
  <w:style w:type="character" w:customStyle="1" w:styleId="CommentTextChar">
    <w:name w:val="Comment Text Char"/>
    <w:basedOn w:val="DefaultParagraphFont"/>
    <w:link w:val="CommentText"/>
    <w:uiPriority w:val="49"/>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Revision">
    <w:name w:val="Revision"/>
    <w:hidden/>
    <w:uiPriority w:val="99"/>
    <w:semiHidden/>
    <w:rsid w:val="0093387B"/>
    <w:rPr>
      <w:sz w:val="22"/>
      <w:lang w:eastAsia="en-US"/>
    </w:rPr>
  </w:style>
  <w:style w:type="paragraph" w:customStyle="1" w:styleId="FigureTyler">
    <w:name w:val="Figure Tyler"/>
    <w:basedOn w:val="Figurecaption"/>
    <w:qFormat/>
    <w:rsid w:val="00BE1C94"/>
    <w:pPr>
      <w:ind w:left="-180" w:right="-153"/>
    </w:pPr>
    <w:rPr>
      <w:lang w:eastAsia="es-ES"/>
    </w:rPr>
  </w:style>
  <w:style w:type="paragraph" w:customStyle="1" w:styleId="TableCaption">
    <w:name w:val="Table Caption"/>
    <w:next w:val="Normal"/>
    <w:qFormat/>
    <w:rsid w:val="0066439B"/>
    <w:pPr>
      <w:keepNext/>
      <w:keepLines/>
      <w:spacing w:before="360"/>
      <w:jc w:val="center"/>
    </w:pPr>
    <w:rPr>
      <w:sz w:val="24"/>
      <w:lang w:val="en-US" w:eastAsia="en-US"/>
    </w:rPr>
  </w:style>
  <w:style w:type="paragraph" w:customStyle="1" w:styleId="AfterTableLittleLine">
    <w:name w:val="After Table Little Line"/>
    <w:basedOn w:val="BodyText"/>
    <w:uiPriority w:val="99"/>
    <w:qFormat/>
    <w:rsid w:val="0066439B"/>
    <w:pPr>
      <w:spacing w:after="120" w:line="240" w:lineRule="auto"/>
      <w:ind w:firstLine="360"/>
      <w:contextualSpacing w:val="0"/>
    </w:pPr>
    <w:rPr>
      <w:rFonts w:eastAsia="Cambria"/>
      <w:sz w:val="12"/>
      <w:szCs w:val="12"/>
      <w:lang w:val="en-US"/>
    </w:rPr>
  </w:style>
  <w:style w:type="paragraph" w:styleId="ListParagraph">
    <w:name w:val="List Paragraph"/>
    <w:basedOn w:val="Normal"/>
    <w:uiPriority w:val="34"/>
    <w:qFormat/>
    <w:locked/>
    <w:rsid w:val="00907F14"/>
    <w:pPr>
      <w:overflowPunct/>
      <w:autoSpaceDE/>
      <w:autoSpaceDN/>
      <w:adjustRightInd/>
      <w:spacing w:after="160" w:line="259" w:lineRule="auto"/>
      <w:ind w:left="720"/>
      <w:contextualSpacing/>
      <w:textAlignment w:val="auto"/>
    </w:pPr>
    <w:rPr>
      <w:rFonts w:asciiTheme="minorHAnsi" w:hAnsiTheme="minorHAns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355354">
      <w:bodyDiv w:val="1"/>
      <w:marLeft w:val="0"/>
      <w:marRight w:val="0"/>
      <w:marTop w:val="0"/>
      <w:marBottom w:val="0"/>
      <w:divBdr>
        <w:top w:val="none" w:sz="0" w:space="0" w:color="auto"/>
        <w:left w:val="none" w:sz="0" w:space="0" w:color="auto"/>
        <w:bottom w:val="none" w:sz="0" w:space="0" w:color="auto"/>
        <w:right w:val="none" w:sz="0" w:space="0" w:color="auto"/>
      </w:divBdr>
      <w:divsChild>
        <w:div w:id="518352315">
          <w:marLeft w:val="0"/>
          <w:marRight w:val="0"/>
          <w:marTop w:val="0"/>
          <w:marBottom w:val="0"/>
          <w:divBdr>
            <w:top w:val="none" w:sz="0" w:space="0" w:color="auto"/>
            <w:left w:val="none" w:sz="0" w:space="0" w:color="auto"/>
            <w:bottom w:val="none" w:sz="0" w:space="0" w:color="auto"/>
            <w:right w:val="none" w:sz="0" w:space="0" w:color="auto"/>
          </w:divBdr>
          <w:divsChild>
            <w:div w:id="842279499">
              <w:marLeft w:val="0"/>
              <w:marRight w:val="0"/>
              <w:marTop w:val="0"/>
              <w:marBottom w:val="0"/>
              <w:divBdr>
                <w:top w:val="none" w:sz="0" w:space="0" w:color="auto"/>
                <w:left w:val="none" w:sz="0" w:space="0" w:color="auto"/>
                <w:bottom w:val="none" w:sz="0" w:space="0" w:color="auto"/>
                <w:right w:val="none" w:sz="0" w:space="0" w:color="auto"/>
              </w:divBdr>
              <w:divsChild>
                <w:div w:id="5328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8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CDFBA4-FBD0-4D66-8120-4558713D1F32}">
  <ds:schemaRefs>
    <ds:schemaRef ds:uri="http://schemas.openxmlformats.org/officeDocument/2006/bibliography"/>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7</TotalTime>
  <Pages>10</Pages>
  <Words>4698</Words>
  <Characters>26782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Sumner, Tyler S.</cp:lastModifiedBy>
  <cp:revision>4</cp:revision>
  <cp:lastPrinted>2015-12-01T10:27:00Z</cp:lastPrinted>
  <dcterms:created xsi:type="dcterms:W3CDTF">2022-03-07T17:13:00Z</dcterms:created>
  <dcterms:modified xsi:type="dcterms:W3CDTF">2022-03-07T17:28:00Z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