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33FE03C" w14:textId="2336B692" w:rsidR="00E20E70" w:rsidRPr="006637C0" w:rsidRDefault="00D509BF" w:rsidP="00CE259B">
      <w:pPr>
        <w:pStyle w:val="Heading1"/>
        <w:rPr>
          <w:b w:val="0"/>
          <w:bCs/>
          <w:sz w:val="22"/>
          <w:szCs w:val="18"/>
        </w:rPr>
      </w:pPr>
      <w:bookmarkStart w:id="0" w:name="_Hlk70434426"/>
      <w:bookmarkEnd w:id="0"/>
      <w:r w:rsidRPr="006637C0">
        <w:rPr>
          <w:b w:val="0"/>
          <w:bCs/>
          <w:sz w:val="22"/>
          <w:szCs w:val="18"/>
        </w:rPr>
        <w:t>Core Design of 100MW</w:t>
      </w:r>
      <w:r w:rsidRPr="005B07AF">
        <w:rPr>
          <w:b w:val="0"/>
          <w:bCs/>
          <w:caps w:val="0"/>
          <w:sz w:val="22"/>
          <w:szCs w:val="18"/>
          <w:vertAlign w:val="subscript"/>
        </w:rPr>
        <w:t>e</w:t>
      </w:r>
      <w:r w:rsidRPr="006637C0">
        <w:rPr>
          <w:b w:val="0"/>
          <w:bCs/>
          <w:sz w:val="22"/>
          <w:szCs w:val="18"/>
        </w:rPr>
        <w:t xml:space="preserve"> </w:t>
      </w:r>
      <w:r w:rsidR="00CE259B">
        <w:rPr>
          <w:b w:val="0"/>
          <w:bCs/>
          <w:sz w:val="22"/>
          <w:szCs w:val="18"/>
        </w:rPr>
        <w:br/>
      </w:r>
      <w:r w:rsidRPr="006637C0">
        <w:rPr>
          <w:b w:val="0"/>
          <w:bCs/>
          <w:sz w:val="22"/>
          <w:szCs w:val="18"/>
        </w:rPr>
        <w:t xml:space="preserve">Advanced Nitride-fueled Simplified </w:t>
      </w:r>
      <w:r w:rsidR="00CE259B">
        <w:rPr>
          <w:b w:val="0"/>
          <w:bCs/>
          <w:sz w:val="22"/>
          <w:szCs w:val="18"/>
        </w:rPr>
        <w:br/>
      </w:r>
      <w:r w:rsidRPr="006637C0">
        <w:rPr>
          <w:b w:val="0"/>
          <w:bCs/>
          <w:sz w:val="22"/>
          <w:szCs w:val="18"/>
        </w:rPr>
        <w:t>Liquid Metal Cooled Fast Reactor</w:t>
      </w:r>
    </w:p>
    <w:p w14:paraId="433FE03F" w14:textId="77777777" w:rsidR="00802381" w:rsidRDefault="00802381" w:rsidP="00537496">
      <w:pPr>
        <w:pStyle w:val="Authornameandaffiliation"/>
      </w:pPr>
    </w:p>
    <w:p w14:paraId="433FE040" w14:textId="61DD6796" w:rsidR="003B5E0E" w:rsidRDefault="006637C0" w:rsidP="00537496">
      <w:pPr>
        <w:pStyle w:val="Authornameandaffiliation"/>
      </w:pPr>
      <w:r>
        <w:t>T.D.C. NGUYEN, J.Y. KIM, J. CHOE, I.C. BANG, D. LEE</w:t>
      </w:r>
      <w:r w:rsidRPr="006637C0">
        <w:rPr>
          <w:vertAlign w:val="superscript"/>
        </w:rPr>
        <w:t>*</w:t>
      </w:r>
    </w:p>
    <w:p w14:paraId="433FE041" w14:textId="46E2B655" w:rsidR="00FF386F" w:rsidRDefault="006637C0" w:rsidP="00537496">
      <w:pPr>
        <w:pStyle w:val="Authornameandaffiliation"/>
      </w:pPr>
      <w:r>
        <w:t>Ulsan National Institute of Science and Technology</w:t>
      </w:r>
    </w:p>
    <w:p w14:paraId="433FE042" w14:textId="028C77D2" w:rsidR="00FF386F" w:rsidRDefault="006637C0" w:rsidP="00537496">
      <w:pPr>
        <w:pStyle w:val="Authornameandaffiliation"/>
      </w:pPr>
      <w:proofErr w:type="spellStart"/>
      <w:r>
        <w:t>Ulju</w:t>
      </w:r>
      <w:proofErr w:type="spellEnd"/>
      <w:r>
        <w:t>-gun</w:t>
      </w:r>
      <w:r w:rsidR="00FF386F">
        <w:t>/</w:t>
      </w:r>
      <w:r>
        <w:t>Ulsan</w:t>
      </w:r>
      <w:r w:rsidR="00FF386F">
        <w:t xml:space="preserve">, </w:t>
      </w:r>
      <w:r>
        <w:t>Republic of Korea</w:t>
      </w:r>
    </w:p>
    <w:p w14:paraId="433FE043" w14:textId="6C2C0F33" w:rsidR="00FF386F" w:rsidRDefault="00FF386F" w:rsidP="00537496">
      <w:pPr>
        <w:pStyle w:val="Authornameandaffiliation"/>
      </w:pPr>
      <w:r>
        <w:t xml:space="preserve">Email: </w:t>
      </w:r>
      <w:r w:rsidR="006637C0">
        <w:t>deokjung</w:t>
      </w:r>
      <w:r>
        <w:t>@</w:t>
      </w:r>
      <w:r w:rsidR="006637C0">
        <w:t>unist.ac.kr</w:t>
      </w:r>
      <w:r w:rsidR="006637C0" w:rsidRPr="006637C0">
        <w:rPr>
          <w:vertAlign w:val="superscript"/>
        </w:rPr>
        <w:t>*</w:t>
      </w:r>
    </w:p>
    <w:p w14:paraId="433FE048" w14:textId="77777777" w:rsidR="00FF386F" w:rsidRDefault="00FF386F" w:rsidP="006637C0">
      <w:pPr>
        <w:pStyle w:val="Authornameandaffiliation"/>
        <w:ind w:left="0"/>
      </w:pPr>
    </w:p>
    <w:p w14:paraId="433FE049" w14:textId="77777777" w:rsidR="00647F33" w:rsidRPr="00647F33" w:rsidRDefault="00647F33" w:rsidP="00537496">
      <w:pPr>
        <w:pStyle w:val="Authornameandaffiliation"/>
        <w:rPr>
          <w:b/>
        </w:rPr>
      </w:pPr>
      <w:r w:rsidRPr="00647F33">
        <w:rPr>
          <w:b/>
        </w:rPr>
        <w:t>Abstract</w:t>
      </w:r>
    </w:p>
    <w:p w14:paraId="433FE04A" w14:textId="77777777" w:rsidR="00647F33" w:rsidRDefault="00647F33" w:rsidP="00537496">
      <w:pPr>
        <w:pStyle w:val="Authornameandaffiliation"/>
      </w:pPr>
    </w:p>
    <w:p w14:paraId="433FE04B" w14:textId="1E80B0E1" w:rsidR="00647F33" w:rsidRPr="00BD605C" w:rsidRDefault="006637C0" w:rsidP="006637C0">
      <w:pPr>
        <w:pStyle w:val="Abstracttext"/>
        <w:jc w:val="both"/>
      </w:pPr>
      <w:r w:rsidRPr="006637C0">
        <w:t>A preliminary core design of 100MW</w:t>
      </w:r>
      <w:r w:rsidRPr="00F35978">
        <w:rPr>
          <w:vertAlign w:val="subscript"/>
        </w:rPr>
        <w:t>e</w:t>
      </w:r>
      <w:r w:rsidRPr="006637C0">
        <w:t xml:space="preserve"> Advanced Nitride-fueled Simplified (ANTS) Lead-bismuth</w:t>
      </w:r>
      <w:r>
        <w:t>-</w:t>
      </w:r>
      <w:r w:rsidRPr="006637C0">
        <w:t>cooled Fast Reactor for civilian multi-cycle nuclear power plant has been investigated. The prime design constraint is on the core size with the active core diameter and height equal to 2</w:t>
      </w:r>
      <w:r w:rsidR="00D1378F">
        <w:t>35</w:t>
      </w:r>
      <w:r w:rsidRPr="006637C0">
        <w:t xml:space="preserve"> </w:t>
      </w:r>
      <w:r w:rsidR="00D1378F">
        <w:t>c</w:t>
      </w:r>
      <w:r w:rsidRPr="006637C0">
        <w:t>m and 1</w:t>
      </w:r>
      <w:r w:rsidR="00D1378F">
        <w:t>0</w:t>
      </w:r>
      <w:r w:rsidRPr="006637C0">
        <w:t xml:space="preserve">0 </w:t>
      </w:r>
      <w:r w:rsidR="00D1378F">
        <w:t>c</w:t>
      </w:r>
      <w:r w:rsidRPr="006637C0">
        <w:t xml:space="preserve">m, respectively. The core is composed of </w:t>
      </w:r>
      <w:r w:rsidR="00CF06C0">
        <w:t>138</w:t>
      </w:r>
      <w:r w:rsidRPr="006637C0">
        <w:t xml:space="preserve"> hexagonal fuel assemblies enclosed with 15-15Ti steel duct. The core adopts the onion zoning with the two zones of low-enriched uranium for a better breeding capability to maximize the core lifetime for long cycle operation. Neutronic calculation is performed by the fast reactor analysis code system Argonne Reactor Computation and the UNIST in-house Monte Carlo code MCS. It is confirmed that the cycle length of more than 1</w:t>
      </w:r>
      <w:r w:rsidR="002E1017">
        <w:t>0</w:t>
      </w:r>
      <w:r w:rsidRPr="006637C0">
        <w:t xml:space="preserve"> years with a small burnup reactivity swing of less than 1,000 pcm is feasible. Power profiles generated by MCS are employed for thermal-hydraulic analysis with three different mass flow rates depending on the core power to flatten to fuel temperature distribution. The research designs a reactor that is capable of natural circulation at inlet temperature 300°C. The total mass flow rate of 13,700 kg/s produces an outlet temperature of 450°C. </w:t>
      </w:r>
      <w:r>
        <w:t>T</w:t>
      </w:r>
      <w:r w:rsidRPr="006637C0">
        <w:t xml:space="preserve">hermal-hydraulic analysis also demonstrates that the fuel and cladding temperatures are within normal operation range. Furthermore, several reactivity feedback coefficients have been computed by MCS to confirm the initial safety features of the suggested </w:t>
      </w:r>
      <w:r>
        <w:t>fast reactor</w:t>
      </w:r>
      <w:r w:rsidRPr="006637C0">
        <w:t>.</w:t>
      </w:r>
    </w:p>
    <w:p w14:paraId="433FE04C" w14:textId="77777777" w:rsidR="00647F33" w:rsidRDefault="00F523CA" w:rsidP="007B63D3">
      <w:pPr>
        <w:pStyle w:val="Heading2"/>
      </w:pPr>
      <w:r>
        <w:t>INTRODUCTION</w:t>
      </w:r>
    </w:p>
    <w:p w14:paraId="2353F48D" w14:textId="30F934AB" w:rsidR="00E8062A" w:rsidRDefault="004C56A5" w:rsidP="00537496">
      <w:pPr>
        <w:pStyle w:val="BodyText"/>
      </w:pPr>
      <w:r>
        <w:t>I</w:t>
      </w:r>
      <w:r w:rsidRPr="00F476DC">
        <w:t>n recent years</w:t>
      </w:r>
      <w:r>
        <w:t>,</w:t>
      </w:r>
      <w:r w:rsidRPr="00F476DC">
        <w:t xml:space="preserve"> </w:t>
      </w:r>
      <w:r>
        <w:t>w</w:t>
      </w:r>
      <w:r w:rsidR="00F476DC" w:rsidRPr="00F476DC">
        <w:t xml:space="preserve">orldwide interest in </w:t>
      </w:r>
      <w:r w:rsidR="007439EB">
        <w:t>s</w:t>
      </w:r>
      <w:r w:rsidR="007D1F8A">
        <w:t>mall</w:t>
      </w:r>
      <w:r w:rsidR="003F7F96">
        <w:t xml:space="preserve"> </w:t>
      </w:r>
      <w:r w:rsidR="007439EB">
        <w:t>m</w:t>
      </w:r>
      <w:r w:rsidR="007D1F8A">
        <w:t xml:space="preserve">odular </w:t>
      </w:r>
      <w:r w:rsidR="007439EB">
        <w:t>r</w:t>
      </w:r>
      <w:r w:rsidR="007D1F8A">
        <w:t>eactors (</w:t>
      </w:r>
      <w:r w:rsidR="00F476DC" w:rsidRPr="00F476DC">
        <w:t>SMRs</w:t>
      </w:r>
      <w:r w:rsidR="007D1F8A">
        <w:t>)</w:t>
      </w:r>
      <w:r w:rsidR="00F476DC" w:rsidRPr="00F476DC">
        <w:t xml:space="preserve"> has been renewed owing to claimed advantages of simplicity, flexibility, and enhanced inherent and passive safety features</w:t>
      </w:r>
      <w:r w:rsidR="004D3D4E">
        <w:t xml:space="preserve"> </w:t>
      </w:r>
      <w:r w:rsidR="00C760F0">
        <w:fldChar w:fldCharType="begin"/>
      </w:r>
      <w:r w:rsidR="00C760F0">
        <w:instrText xml:space="preserve"> REF _Ref70588457 \n \h </w:instrText>
      </w:r>
      <w:r w:rsidR="00C760F0">
        <w:fldChar w:fldCharType="separate"/>
      </w:r>
      <w:r w:rsidR="00C760F0">
        <w:t>[1]</w:t>
      </w:r>
      <w:r w:rsidR="00C760F0">
        <w:fldChar w:fldCharType="end"/>
      </w:r>
      <w:r w:rsidR="009D19AE">
        <w:t xml:space="preserve">. </w:t>
      </w:r>
      <w:r w:rsidR="00F476DC" w:rsidRPr="00F476DC">
        <w:t xml:space="preserve">Fast-spectrum SMR concepts </w:t>
      </w:r>
      <w:r w:rsidR="00243A0A">
        <w:t>employing</w:t>
      </w:r>
      <w:r w:rsidR="00F476DC" w:rsidRPr="00F476DC">
        <w:t xml:space="preserve"> liquid lead or LBE coolants </w:t>
      </w:r>
      <w:r w:rsidR="00243A0A">
        <w:t>own</w:t>
      </w:r>
      <w:r w:rsidR="00F476DC" w:rsidRPr="00F476DC">
        <w:t xml:space="preserve"> favourable </w:t>
      </w:r>
      <w:r w:rsidR="00C22526">
        <w:t>features</w:t>
      </w:r>
      <w:r w:rsidR="00F476DC" w:rsidRPr="00F476DC">
        <w:t xml:space="preserve"> of low-pressure operation, natural circulation capability, gamma-shielding properties, low melting point (for LBE), high boiling point, and chemical stability with water and air </w:t>
      </w:r>
      <w:r w:rsidR="00C760F0">
        <w:fldChar w:fldCharType="begin"/>
      </w:r>
      <w:r w:rsidR="00C760F0">
        <w:instrText xml:space="preserve"> REF _Ref70588795 \n \h </w:instrText>
      </w:r>
      <w:r w:rsidR="00C760F0">
        <w:fldChar w:fldCharType="separate"/>
      </w:r>
      <w:r w:rsidR="00C760F0">
        <w:t>[2]</w:t>
      </w:r>
      <w:r w:rsidR="00C760F0">
        <w:fldChar w:fldCharType="end"/>
      </w:r>
      <w:r w:rsidR="00F476DC" w:rsidRPr="00F476DC">
        <w:t xml:space="preserve">. These SMRs belong to the general reactor category liquid-metal fast reactor (LMFR). </w:t>
      </w:r>
      <w:r w:rsidR="00E8062A" w:rsidRPr="00E8062A">
        <w:t xml:space="preserve">This paper presents the </w:t>
      </w:r>
      <w:r w:rsidR="003F7F96" w:rsidRPr="00F476DC">
        <w:t>LMFR</w:t>
      </w:r>
      <w:r w:rsidR="003F7F96" w:rsidRPr="00E8062A">
        <w:t xml:space="preserve"> </w:t>
      </w:r>
      <w:r w:rsidR="00E8062A" w:rsidRPr="00E8062A">
        <w:t xml:space="preserve">core design for </w:t>
      </w:r>
      <w:r w:rsidR="00E8062A">
        <w:t>ANTS-100e</w:t>
      </w:r>
      <w:r w:rsidR="00311501">
        <w:t>,</w:t>
      </w:r>
      <w:r w:rsidR="00E8062A" w:rsidRPr="00E8062A">
        <w:t xml:space="preserve"> which is a</w:t>
      </w:r>
      <w:r w:rsidR="00E8062A">
        <w:t xml:space="preserve">n Advanced Nitride-fuelled Simplified </w:t>
      </w:r>
      <w:r w:rsidR="00F476DC">
        <w:t>LBE</w:t>
      </w:r>
      <w:r w:rsidR="00E8062A">
        <w:t>-</w:t>
      </w:r>
      <w:r w:rsidR="00E8062A" w:rsidRPr="00E8062A">
        <w:t xml:space="preserve">cooled fast reactor </w:t>
      </w:r>
      <w:r w:rsidR="00C22526">
        <w:t>for power generation purpose</w:t>
      </w:r>
      <w:r w:rsidR="0013403C">
        <w:t>s</w:t>
      </w:r>
      <w:r w:rsidR="00E8062A" w:rsidRPr="00E8062A">
        <w:t xml:space="preserve">. The supercritical carbon dioxide (S-CO2) recompression cycle </w:t>
      </w:r>
      <w:r w:rsidR="00C760F0">
        <w:fldChar w:fldCharType="begin"/>
      </w:r>
      <w:r w:rsidR="00C760F0">
        <w:instrText xml:space="preserve"> REF _Ref70588807 \n \h </w:instrText>
      </w:r>
      <w:r w:rsidR="00C760F0">
        <w:fldChar w:fldCharType="separate"/>
      </w:r>
      <w:r w:rsidR="00C760F0">
        <w:t>[3]</w:t>
      </w:r>
      <w:r w:rsidR="00C760F0">
        <w:fldChar w:fldCharType="end"/>
      </w:r>
      <w:r w:rsidR="00E8062A" w:rsidRPr="00E8062A">
        <w:t xml:space="preserve"> is adopted to </w:t>
      </w:r>
      <w:r w:rsidR="0009772D">
        <w:t>generate</w:t>
      </w:r>
      <w:r w:rsidR="00E8062A" w:rsidRPr="00E8062A">
        <w:t xml:space="preserve"> a maximum electric power of </w:t>
      </w:r>
      <w:r w:rsidR="0009772D">
        <w:t>100</w:t>
      </w:r>
      <w:r w:rsidR="00E8062A" w:rsidRPr="00E8062A">
        <w:t xml:space="preserve"> MW</w:t>
      </w:r>
      <w:r w:rsidR="00E8062A" w:rsidRPr="0009772D">
        <w:rPr>
          <w:vertAlign w:val="subscript"/>
        </w:rPr>
        <w:t>e</w:t>
      </w:r>
      <w:r w:rsidR="00337812">
        <w:t xml:space="preserve"> from a thermal power of 300MW</w:t>
      </w:r>
      <w:r w:rsidR="00E8062A" w:rsidRPr="00E8062A">
        <w:t xml:space="preserve">. </w:t>
      </w:r>
      <w:r w:rsidR="00EE6A4A" w:rsidRPr="00EE6A4A">
        <w:t>It is also designed</w:t>
      </w:r>
      <w:r w:rsidR="00EE6A4A">
        <w:t xml:space="preserve"> for multi-cycle operation with </w:t>
      </w:r>
      <w:r w:rsidR="0013403C">
        <w:t>a</w:t>
      </w:r>
      <w:r w:rsidR="00EE6A4A">
        <w:t xml:space="preserve"> refuelling interval of</w:t>
      </w:r>
      <w:r w:rsidR="00EE6A4A" w:rsidRPr="00EE6A4A">
        <w:t xml:space="preserve"> around 10 years. </w:t>
      </w:r>
      <w:r w:rsidR="00E8062A" w:rsidRPr="00E8062A">
        <w:t xml:space="preserve">The LBE coolant is circulated by an electromagnetic pump system. </w:t>
      </w:r>
      <w:r w:rsidR="00545562" w:rsidRPr="00545562">
        <w:t xml:space="preserve">In addition, uranium nitride (UN) </w:t>
      </w:r>
      <w:r w:rsidR="004C5CBA">
        <w:fldChar w:fldCharType="begin"/>
      </w:r>
      <w:r w:rsidR="004C5CBA">
        <w:instrText xml:space="preserve"> REF _Ref70589422 \n \h </w:instrText>
      </w:r>
      <w:r w:rsidR="004C5CBA">
        <w:fldChar w:fldCharType="separate"/>
      </w:r>
      <w:r w:rsidR="004C5CBA">
        <w:t>[4]</w:t>
      </w:r>
      <w:r w:rsidR="004C5CBA">
        <w:fldChar w:fldCharType="end"/>
      </w:r>
      <w:r w:rsidR="00545562" w:rsidRPr="00545562">
        <w:t xml:space="preserve"> with high thermal conductivity is chosen as one of the primary fuel candidates for the L</w:t>
      </w:r>
      <w:r w:rsidR="00E73C13">
        <w:t>M</w:t>
      </w:r>
      <w:r w:rsidR="00545562" w:rsidRPr="00545562">
        <w:t>FR due to better compatibility with the LBE coolant and providing an immense improvement in neutron economy compared to uranium oxide fuel. The core inlet and outlet temperatures are 300</w:t>
      </w:r>
      <w:r w:rsidR="00545562" w:rsidRPr="00545562">
        <w:rPr>
          <w:vertAlign w:val="superscript"/>
        </w:rPr>
        <w:t>o</w:t>
      </w:r>
      <w:r w:rsidR="00545562" w:rsidRPr="00545562">
        <w:t>C and 450</w:t>
      </w:r>
      <w:r w:rsidR="00545562" w:rsidRPr="00545562">
        <w:rPr>
          <w:vertAlign w:val="superscript"/>
        </w:rPr>
        <w:t>o</w:t>
      </w:r>
      <w:r w:rsidR="00545562" w:rsidRPr="00545562">
        <w:t xml:space="preserve">C, respectively. The 15-15Ti </w:t>
      </w:r>
      <w:r w:rsidR="004C5CBA">
        <w:fldChar w:fldCharType="begin"/>
      </w:r>
      <w:r w:rsidR="004C5CBA">
        <w:instrText xml:space="preserve"> REF _Ref70589499 \n \h </w:instrText>
      </w:r>
      <w:r w:rsidR="004C5CBA">
        <w:fldChar w:fldCharType="separate"/>
      </w:r>
      <w:r w:rsidR="004C5CBA">
        <w:t>[5]</w:t>
      </w:r>
      <w:r w:rsidR="004C5CBA">
        <w:fldChar w:fldCharType="end"/>
      </w:r>
      <w:r w:rsidR="00545562" w:rsidRPr="00545562">
        <w:t xml:space="preserve"> stabilized steel is selected as cladding material due to its excellent swelling resistance and stability up to 550°C or even 570°C in LBE. This temperature is well above the operating temperature of this suggested core.</w:t>
      </w:r>
    </w:p>
    <w:p w14:paraId="7924D514" w14:textId="26346312" w:rsidR="002D4B32" w:rsidRDefault="002D4B32" w:rsidP="00537496">
      <w:pPr>
        <w:pStyle w:val="BodyText"/>
      </w:pPr>
      <w:r w:rsidRPr="002D4B32">
        <w:t>The design and analysis of this core are performed with the fast reactor analysis code suite</w:t>
      </w:r>
      <w:r>
        <w:t>,</w:t>
      </w:r>
      <w:r w:rsidRPr="002D4B32">
        <w:t xml:space="preserve"> </w:t>
      </w:r>
      <w:r w:rsidRPr="001F3E5D">
        <w:rPr>
          <w:szCs w:val="24"/>
        </w:rPr>
        <w:t>Argonne Reactor Computation (ARC</w:t>
      </w:r>
      <w:r>
        <w:rPr>
          <w:szCs w:val="24"/>
        </w:rPr>
        <w:t>)</w:t>
      </w:r>
      <w:r w:rsidRPr="002D4B32">
        <w:t xml:space="preserve">, developed by Argonne National Laboratory (ANL) with ENDF/B-VII.0 cross-section library. </w:t>
      </w:r>
      <w:r w:rsidR="003B61CF">
        <w:t>C</w:t>
      </w:r>
      <w:r w:rsidRPr="002D4B32">
        <w:t xml:space="preserve">ore performance characteristics </w:t>
      </w:r>
      <w:r w:rsidR="0075023D">
        <w:t>are</w:t>
      </w:r>
      <w:r w:rsidRPr="002D4B32">
        <w:t xml:space="preserve"> analy</w:t>
      </w:r>
      <w:r w:rsidR="00B804DA">
        <w:t>s</w:t>
      </w:r>
      <w:r w:rsidRPr="002D4B32">
        <w:t xml:space="preserve">ed for isotopic inventory, criticality, and radial and axial power profiles using the </w:t>
      </w:r>
      <w:r w:rsidR="0013403C">
        <w:t xml:space="preserve">UNIST </w:t>
      </w:r>
      <w:r w:rsidRPr="002D4B32">
        <w:t>in</w:t>
      </w:r>
      <w:r w:rsidR="0013403C">
        <w:t>-</w:t>
      </w:r>
      <w:r w:rsidRPr="002D4B32">
        <w:t>house Monte Carlo (MC) code MCS. A thermal-hydraulic (T-H) analysis is invested</w:t>
      </w:r>
      <w:r w:rsidR="00B804DA">
        <w:t xml:space="preserve"> for evaluating the</w:t>
      </w:r>
      <w:r w:rsidRPr="002D4B32">
        <w:t xml:space="preserve"> fuel and cladding temperature profiles. ANTS-100e core is also evaluated in terms of various significant safety parameters, including control rod worth, fuel temperature coefficient, coolant density coefficient</w:t>
      </w:r>
      <w:r w:rsidR="00B804DA">
        <w:t>,</w:t>
      </w:r>
      <w:r w:rsidRPr="002D4B32">
        <w:t xml:space="preserve"> and expansion coefficients.</w:t>
      </w:r>
    </w:p>
    <w:p w14:paraId="04882ED8" w14:textId="77777777" w:rsidR="0075347A" w:rsidRDefault="00177807" w:rsidP="007B63D3">
      <w:pPr>
        <w:pStyle w:val="Heading2"/>
      </w:pPr>
      <w:r>
        <w:t>COMPUTER CODES</w:t>
      </w:r>
    </w:p>
    <w:p w14:paraId="77190BDC" w14:textId="088C2C32" w:rsidR="00177807" w:rsidRDefault="00177807" w:rsidP="00860FDD">
      <w:pPr>
        <w:pStyle w:val="Heading3"/>
      </w:pPr>
      <w:r>
        <w:t>Fast reactor analysis code system ARC</w:t>
      </w:r>
    </w:p>
    <w:p w14:paraId="391BC651" w14:textId="058548F0" w:rsidR="00177807" w:rsidRPr="00337B87" w:rsidRDefault="00177807" w:rsidP="00177807">
      <w:pPr>
        <w:pStyle w:val="BodyText"/>
        <w:adjustRightInd w:val="0"/>
        <w:snapToGrid w:val="0"/>
        <w:ind w:firstLine="720"/>
        <w:rPr>
          <w:rFonts w:eastAsiaTheme="minorEastAsia"/>
          <w:lang w:eastAsia="ko-KR"/>
        </w:rPr>
      </w:pPr>
      <w:bookmarkStart w:id="1" w:name="OLE_LINK26"/>
      <w:bookmarkStart w:id="2" w:name="OLE_LINK28"/>
      <w:r w:rsidRPr="00337B87">
        <w:rPr>
          <w:rFonts w:eastAsiaTheme="minorEastAsia"/>
          <w:lang w:eastAsia="ko-KR"/>
        </w:rPr>
        <w:t xml:space="preserve">ARC </w:t>
      </w:r>
      <w:r w:rsidR="004C5CBA">
        <w:rPr>
          <w:rFonts w:eastAsiaTheme="minorEastAsia"/>
          <w:lang w:eastAsia="ko-KR"/>
        </w:rPr>
        <w:fldChar w:fldCharType="begin"/>
      </w:r>
      <w:r w:rsidR="004C5CBA">
        <w:rPr>
          <w:rFonts w:eastAsiaTheme="minorEastAsia"/>
          <w:lang w:eastAsia="ko-KR"/>
        </w:rPr>
        <w:instrText xml:space="preserve"> REF _Ref70590392 \n \h </w:instrText>
      </w:r>
      <w:r w:rsidR="004C5CBA">
        <w:rPr>
          <w:rFonts w:eastAsiaTheme="minorEastAsia"/>
          <w:lang w:eastAsia="ko-KR"/>
        </w:rPr>
      </w:r>
      <w:r w:rsidR="004C5CBA">
        <w:rPr>
          <w:rFonts w:eastAsiaTheme="minorEastAsia"/>
          <w:lang w:eastAsia="ko-KR"/>
        </w:rPr>
        <w:fldChar w:fldCharType="separate"/>
      </w:r>
      <w:r w:rsidR="004C5CBA">
        <w:rPr>
          <w:rFonts w:eastAsiaTheme="minorEastAsia"/>
          <w:lang w:eastAsia="ko-KR"/>
        </w:rPr>
        <w:t>[6]</w:t>
      </w:r>
      <w:r w:rsidR="004C5CBA">
        <w:rPr>
          <w:rFonts w:eastAsiaTheme="minorEastAsia"/>
          <w:lang w:eastAsia="ko-KR"/>
        </w:rPr>
        <w:fldChar w:fldCharType="end"/>
      </w:r>
      <w:r w:rsidRPr="00337B87">
        <w:rPr>
          <w:rFonts w:eastAsiaTheme="minorEastAsia"/>
          <w:lang w:eastAsia="ko-KR"/>
        </w:rPr>
        <w:t xml:space="preserve"> is a code package for fast reactor analysis developed by ANL, which includes three main modules: (</w:t>
      </w:r>
      <w:r w:rsidR="00AB7DD1">
        <w:rPr>
          <w:rFonts w:eastAsiaTheme="minorEastAsia"/>
          <w:lang w:eastAsia="ko-KR"/>
        </w:rPr>
        <w:t>a</w:t>
      </w:r>
      <w:r w:rsidRPr="00337B87">
        <w:rPr>
          <w:rFonts w:eastAsiaTheme="minorEastAsia"/>
          <w:lang w:eastAsia="ko-KR"/>
        </w:rPr>
        <w:t xml:space="preserve">) </w:t>
      </w:r>
      <w:r w:rsidRPr="00337B87">
        <w:rPr>
          <w:rFonts w:eastAsia="맑은 고딕"/>
          <w:lang w:eastAsia="ko-KR"/>
        </w:rPr>
        <w:t xml:space="preserve">a </w:t>
      </w:r>
      <w:r w:rsidRPr="00337B87">
        <w:rPr>
          <w:rFonts w:eastAsiaTheme="minorEastAsia"/>
          <w:lang w:eastAsia="ko-KR"/>
        </w:rPr>
        <w:t>multigroup cross-section generation code (MC</w:t>
      </w:r>
      <w:r w:rsidRPr="00337B87">
        <w:rPr>
          <w:rFonts w:eastAsiaTheme="minorEastAsia"/>
          <w:vertAlign w:val="superscript"/>
          <w:lang w:eastAsia="ko-KR"/>
        </w:rPr>
        <w:t>2</w:t>
      </w:r>
      <w:r w:rsidRPr="00337B87">
        <w:rPr>
          <w:rFonts w:eastAsiaTheme="minorEastAsia"/>
          <w:lang w:eastAsia="ko-KR"/>
        </w:rPr>
        <w:t>-3) that generates problem-dependent ultrafine-</w:t>
      </w:r>
      <w:r w:rsidRPr="00337B87">
        <w:rPr>
          <w:rFonts w:eastAsiaTheme="minorEastAsia"/>
          <w:lang w:eastAsia="ko-KR"/>
        </w:rPr>
        <w:lastRenderedPageBreak/>
        <w:t>group (UFG) cross-sections (XSs); (</w:t>
      </w:r>
      <w:r w:rsidR="00AB7DD1">
        <w:rPr>
          <w:rFonts w:eastAsiaTheme="minorEastAsia"/>
          <w:lang w:eastAsia="ko-KR"/>
        </w:rPr>
        <w:t>b</w:t>
      </w:r>
      <w:r w:rsidRPr="00337B87">
        <w:rPr>
          <w:rFonts w:eastAsiaTheme="minorEastAsia"/>
          <w:lang w:eastAsia="ko-KR"/>
        </w:rPr>
        <w:t>) TWODANT</w:t>
      </w:r>
      <w:r w:rsidRPr="00337B87">
        <w:rPr>
          <w:rFonts w:eastAsia="맑은 고딕"/>
          <w:lang w:eastAsia="ko-KR"/>
        </w:rPr>
        <w:t>,</w:t>
      </w:r>
      <w:r w:rsidRPr="00337B87">
        <w:rPr>
          <w:rFonts w:eastAsiaTheme="minorEastAsia"/>
          <w:lang w:eastAsia="ko-KR"/>
        </w:rPr>
        <w:t xml:space="preserve"> which produces UFG fluxes derived from the Boltzmann transport equation using the discrete ordinate method; and (</w:t>
      </w:r>
      <w:r w:rsidR="00AB7DD1">
        <w:rPr>
          <w:rFonts w:eastAsiaTheme="minorEastAsia"/>
          <w:lang w:eastAsia="ko-KR"/>
        </w:rPr>
        <w:t>c</w:t>
      </w:r>
      <w:r w:rsidRPr="00337B87">
        <w:rPr>
          <w:rFonts w:eastAsiaTheme="minorEastAsia"/>
          <w:lang w:eastAsia="ko-KR"/>
        </w:rPr>
        <w:t>) REBUS-3</w:t>
      </w:r>
      <w:r w:rsidRPr="00337B87">
        <w:rPr>
          <w:rFonts w:eastAsia="맑은 고딕"/>
          <w:lang w:eastAsia="ko-KR"/>
        </w:rPr>
        <w:t xml:space="preserve">, which performs nodal diffusion </w:t>
      </w:r>
      <w:r w:rsidRPr="00337B87">
        <w:rPr>
          <w:rFonts w:eastAsia="맑은 고딕"/>
        </w:rPr>
        <w:t xml:space="preserve">(DIF3D) or transport (VARIANT) </w:t>
      </w:r>
      <w:r w:rsidRPr="00337B87">
        <w:rPr>
          <w:rFonts w:eastAsia="맑은 고딕"/>
          <w:lang w:eastAsia="ko-KR"/>
        </w:rPr>
        <w:t>and depletion calculations for fast reactor fuel analyses</w:t>
      </w:r>
      <w:r w:rsidRPr="00337B87">
        <w:rPr>
          <w:rFonts w:eastAsiaTheme="minorEastAsia"/>
          <w:lang w:eastAsia="ko-KR"/>
        </w:rPr>
        <w:t>.</w:t>
      </w:r>
      <w:bookmarkStart w:id="3" w:name="_Hlk516229692"/>
      <w:r w:rsidRPr="00337B87">
        <w:rPr>
          <w:rFonts w:eastAsiaTheme="minorEastAsia"/>
          <w:lang w:eastAsia="ko-KR"/>
        </w:rPr>
        <w:t xml:space="preserve"> A typical procedure for the ARC simulation is a three-step sequence, as described in Fig</w:t>
      </w:r>
      <w:r w:rsidR="00FA669E">
        <w:rPr>
          <w:rFonts w:eastAsiaTheme="minorEastAsia"/>
          <w:lang w:eastAsia="ko-KR"/>
        </w:rPr>
        <w:t>.</w:t>
      </w:r>
      <w:r w:rsidRPr="00337B87">
        <w:rPr>
          <w:rFonts w:eastAsiaTheme="minorEastAsia"/>
          <w:lang w:eastAsia="ko-KR"/>
        </w:rPr>
        <w:t xml:space="preserve"> 1. </w:t>
      </w:r>
      <w:r w:rsidRPr="00337B87">
        <w:rPr>
          <w:rFonts w:eastAsia="맑은 고딕"/>
          <w:lang w:eastAsia="ko-KR"/>
        </w:rPr>
        <w:t xml:space="preserve">The </w:t>
      </w:r>
      <w:r w:rsidRPr="00337B87">
        <w:rPr>
          <w:rFonts w:eastAsiaTheme="minorEastAsia"/>
          <w:lang w:eastAsia="ko-KR"/>
        </w:rPr>
        <w:t>first step requires TWODANT to generate UFG region-wise flux spectra using UFG XS from MC</w:t>
      </w:r>
      <w:r w:rsidRPr="00337B87">
        <w:rPr>
          <w:rFonts w:eastAsiaTheme="minorEastAsia"/>
          <w:vertAlign w:val="superscript"/>
          <w:lang w:eastAsia="ko-KR"/>
        </w:rPr>
        <w:t>2</w:t>
      </w:r>
      <w:r w:rsidRPr="00337B87">
        <w:rPr>
          <w:rFonts w:eastAsiaTheme="minorEastAsia"/>
          <w:lang w:eastAsia="ko-KR"/>
        </w:rPr>
        <w:t>-3. These region-wise spectra allow MC</w:t>
      </w:r>
      <w:r w:rsidRPr="00337B87">
        <w:rPr>
          <w:rFonts w:eastAsiaTheme="minorEastAsia"/>
          <w:vertAlign w:val="superscript"/>
          <w:lang w:eastAsia="ko-KR"/>
        </w:rPr>
        <w:t>2</w:t>
      </w:r>
      <w:r w:rsidRPr="00337B87">
        <w:rPr>
          <w:rFonts w:eastAsiaTheme="minorEastAsia"/>
          <w:lang w:eastAsia="ko-KR"/>
        </w:rPr>
        <w:t xml:space="preserve">-3 to conduct an XS condensation process from UFG into </w:t>
      </w:r>
      <w:r w:rsidRPr="00337B87">
        <w:rPr>
          <w:rFonts w:eastAsia="맑은 고딕"/>
          <w:lang w:eastAsia="ko-KR"/>
        </w:rPr>
        <w:t>a broad-group</w:t>
      </w:r>
      <w:r w:rsidRPr="00337B87">
        <w:rPr>
          <w:rFonts w:eastAsiaTheme="minorEastAsia"/>
          <w:lang w:eastAsia="ko-KR"/>
        </w:rPr>
        <w:t xml:space="preserve"> (BG) in the second run. Finally, REBUS-3 uses the generated BG XSs to perform nodal diffusion and depletion calculations. </w:t>
      </w:r>
      <w:bookmarkEnd w:id="3"/>
      <w:r w:rsidRPr="00337B87">
        <w:t>In this work, a 2082-group structure was used as the UFG structure in MC</w:t>
      </w:r>
      <w:r w:rsidRPr="00337B87">
        <w:rPr>
          <w:vertAlign w:val="superscript"/>
        </w:rPr>
        <w:t>2</w:t>
      </w:r>
      <w:r w:rsidRPr="00337B87">
        <w:t>-3 to obtain flux spectra for high-accuracy XS condensation into the BG structure. The number of BG for fast reactor analyses usually ranges from 15 to 40. Therefore, the 33-group structure available in REBUS-3 was selected to conduct the condensation and nodal diffusion calculations.</w:t>
      </w:r>
      <w:bookmarkEnd w:id="1"/>
      <w:bookmarkEnd w:id="2"/>
      <w:r w:rsidRPr="00337B87">
        <w:t xml:space="preserve"> </w:t>
      </w:r>
    </w:p>
    <w:p w14:paraId="7993E185" w14:textId="77777777" w:rsidR="00177807" w:rsidRPr="00337B87" w:rsidRDefault="00177807" w:rsidP="00177807">
      <w:pPr>
        <w:pStyle w:val="BodyText"/>
        <w:adjustRightInd w:val="0"/>
        <w:snapToGrid w:val="0"/>
      </w:pPr>
    </w:p>
    <w:p w14:paraId="7FD5ACE8" w14:textId="19E03886" w:rsidR="00177807" w:rsidRPr="00177807" w:rsidRDefault="00177807" w:rsidP="005E5356">
      <w:pPr>
        <w:pStyle w:val="Table"/>
        <w:spacing w:line="360" w:lineRule="auto"/>
        <w:jc w:val="center"/>
      </w:pPr>
      <w:r w:rsidRPr="00177807">
        <w:rPr>
          <w:noProof/>
          <w:lang w:val="en-GB"/>
        </w:rPr>
        <w:drawing>
          <wp:inline distT="0" distB="0" distL="0" distR="0" wp14:anchorId="2CE226CC" wp14:editId="2608E6B5">
            <wp:extent cx="3600000" cy="1549263"/>
            <wp:effectExtent l="0" t="0" r="635" b="0"/>
            <wp:docPr id="24" name="Picture 23">
              <a:extLst xmlns:a="http://schemas.openxmlformats.org/drawingml/2006/main">
                <a:ext uri="{FF2B5EF4-FFF2-40B4-BE49-F238E27FC236}">
                  <a16:creationId xmlns:a16="http://schemas.microsoft.com/office/drawing/2014/main" id="{D5455FCA-3919-42BC-B678-15E1B7B9BDE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3">
                      <a:extLst>
                        <a:ext uri="{FF2B5EF4-FFF2-40B4-BE49-F238E27FC236}">
                          <a16:creationId xmlns:a16="http://schemas.microsoft.com/office/drawing/2014/main" id="{D5455FCA-3919-42BC-B678-15E1B7B9BDEE}"/>
                        </a:ext>
                      </a:extLst>
                    </pic:cNvPr>
                    <pic:cNvPicPr>
                      <a:picLocks noChangeAspect="1"/>
                    </pic:cNvPicPr>
                  </pic:nvPicPr>
                  <pic:blipFill>
                    <a:blip r:embed="rId11"/>
                    <a:stretch>
                      <a:fillRect/>
                    </a:stretch>
                  </pic:blipFill>
                  <pic:spPr>
                    <a:xfrm>
                      <a:off x="0" y="0"/>
                      <a:ext cx="3600000" cy="1549263"/>
                    </a:xfrm>
                    <a:prstGeom prst="rect">
                      <a:avLst/>
                    </a:prstGeom>
                  </pic:spPr>
                </pic:pic>
              </a:graphicData>
            </a:graphic>
          </wp:inline>
        </w:drawing>
      </w:r>
    </w:p>
    <w:p w14:paraId="536F431F" w14:textId="0DEF0105" w:rsidR="0075347A" w:rsidRDefault="00177807" w:rsidP="0075347A">
      <w:pPr>
        <w:pStyle w:val="Figurecaption"/>
        <w:rPr>
          <w:lang w:eastAsia="es-ES"/>
        </w:rPr>
      </w:pPr>
      <w:r w:rsidRPr="00FA5F27">
        <w:rPr>
          <w:caps/>
          <w:lang w:eastAsia="es-ES"/>
        </w:rPr>
        <w:t>Fig</w:t>
      </w:r>
      <w:r w:rsidRPr="00FA5F27">
        <w:rPr>
          <w:lang w:eastAsia="es-ES"/>
        </w:rPr>
        <w:t>.</w:t>
      </w:r>
      <w:r>
        <w:rPr>
          <w:lang w:eastAsia="es-ES"/>
        </w:rPr>
        <w:t> </w:t>
      </w:r>
      <w:r w:rsidRPr="00FA5F27">
        <w:rPr>
          <w:b/>
          <w:lang w:eastAsia="es-ES"/>
        </w:rPr>
        <w:fldChar w:fldCharType="begin"/>
      </w:r>
      <w:r w:rsidRPr="00FA5F27">
        <w:rPr>
          <w:lang w:eastAsia="es-ES"/>
        </w:rPr>
        <w:instrText xml:space="preserve"> SEQ Figure \* ARABIC </w:instrText>
      </w:r>
      <w:r w:rsidRPr="00FA5F27">
        <w:rPr>
          <w:b/>
          <w:lang w:eastAsia="es-ES"/>
        </w:rPr>
        <w:fldChar w:fldCharType="separate"/>
      </w:r>
      <w:r w:rsidR="00696297">
        <w:rPr>
          <w:noProof/>
          <w:lang w:eastAsia="es-ES"/>
        </w:rPr>
        <w:t>1</w:t>
      </w:r>
      <w:r w:rsidRPr="00FA5F27">
        <w:rPr>
          <w:b/>
          <w:lang w:eastAsia="es-ES"/>
        </w:rPr>
        <w:fldChar w:fldCharType="end"/>
      </w:r>
      <w:r w:rsidRPr="00FA5F27">
        <w:rPr>
          <w:lang w:eastAsia="es-ES"/>
        </w:rPr>
        <w:t xml:space="preserve">. </w:t>
      </w:r>
      <w:r w:rsidRPr="00177807">
        <w:rPr>
          <w:lang w:eastAsia="es-ES"/>
        </w:rPr>
        <w:t xml:space="preserve">Fast </w:t>
      </w:r>
      <w:r w:rsidR="00F54DE8" w:rsidRPr="00177807">
        <w:rPr>
          <w:lang w:eastAsia="es-ES"/>
        </w:rPr>
        <w:t>reactor analysis flow.</w:t>
      </w:r>
    </w:p>
    <w:p w14:paraId="0C0221FA" w14:textId="143514E5" w:rsidR="00177807" w:rsidRPr="00EE0041" w:rsidRDefault="00177807" w:rsidP="00860FDD">
      <w:pPr>
        <w:pStyle w:val="Heading3"/>
      </w:pPr>
      <w:r w:rsidRPr="00177807">
        <w:t>UNIST Monte Carlo code MCS</w:t>
      </w:r>
    </w:p>
    <w:p w14:paraId="4AA1CE70" w14:textId="5143ED9B" w:rsidR="00177807" w:rsidRPr="00177807" w:rsidRDefault="00177807" w:rsidP="00177807">
      <w:pPr>
        <w:pStyle w:val="BodyText"/>
      </w:pPr>
      <w:r w:rsidRPr="00177807">
        <w:t xml:space="preserve">MCS is a 3D continuous-energy neutron physics code for particle transport based on the MC method, which has been under development at UNIST since 2013 </w:t>
      </w:r>
      <w:r w:rsidR="004C5CBA">
        <w:fldChar w:fldCharType="begin"/>
      </w:r>
      <w:r w:rsidR="004C5CBA">
        <w:instrText xml:space="preserve"> REF _Ref70590384 \n \h </w:instrText>
      </w:r>
      <w:r w:rsidR="004C5CBA">
        <w:fldChar w:fldCharType="separate"/>
      </w:r>
      <w:r w:rsidR="004C5CBA">
        <w:t>[7]</w:t>
      </w:r>
      <w:r w:rsidR="004C5CBA">
        <w:fldChar w:fldCharType="end"/>
      </w:r>
      <w:r w:rsidRPr="00177807">
        <w:t>. MCS allows users to perform two calculation modes: criticality run for reactivity calculations and fixed source run for shielding problems. MCS was developed from scratch to perform whole-core criticality simulations featuring pin-wise depletion and T/H feedback. The neutron transport capability of MCS has been validated and verified against numerous benchmark problems, including the BEAVRS benchmark, the VERA benchmark, ~300 cases from the International Criticality Safety Benchmark Experimental Problem, and the OECD/NEA SFR benchmark. MCS whole-core pin-wise depletion coupled with the internal T/H feedback module has been validated against the solutions of BEAVRS, VERA, OPR-1000 reactors, and APR-1400.</w:t>
      </w:r>
    </w:p>
    <w:p w14:paraId="3A21FF85" w14:textId="4C4C482F" w:rsidR="005F7A96" w:rsidRDefault="00177807" w:rsidP="007B63D3">
      <w:pPr>
        <w:pStyle w:val="Heading2"/>
      </w:pPr>
      <w:r w:rsidRPr="007B63D3">
        <w:t>The</w:t>
      </w:r>
      <w:r w:rsidRPr="00177807">
        <w:t xml:space="preserve"> design strategy of the </w:t>
      </w:r>
      <w:r w:rsidRPr="004E5C1A">
        <w:t>conceptual</w:t>
      </w:r>
      <w:r w:rsidRPr="00177807">
        <w:t xml:space="preserve"> core</w:t>
      </w:r>
    </w:p>
    <w:p w14:paraId="257A0C04" w14:textId="2EF18BCE" w:rsidR="004E5C1A" w:rsidRDefault="007B63D3" w:rsidP="003E3F2C">
      <w:pPr>
        <w:pStyle w:val="Heading3"/>
        <w:numPr>
          <w:ilvl w:val="2"/>
          <w:numId w:val="9"/>
        </w:numPr>
      </w:pPr>
      <w:r w:rsidRPr="007B63D3">
        <w:t>Design objectives and constraints</w:t>
      </w:r>
    </w:p>
    <w:p w14:paraId="0DBE1C1C" w14:textId="11A07515" w:rsidR="003A06D6" w:rsidRDefault="007B63D3" w:rsidP="00913D17">
      <w:pPr>
        <w:pStyle w:val="BodyText"/>
      </w:pPr>
      <w:r w:rsidRPr="007B63D3">
        <w:t xml:space="preserve">Table 1 summarizes the technological, material, and regulatory constraints and performance objectives for the </w:t>
      </w:r>
      <w:r w:rsidR="00723A76">
        <w:t>ANTS-100e</w:t>
      </w:r>
      <w:r w:rsidRPr="007B63D3">
        <w:t xml:space="preserve"> core with assumed </w:t>
      </w:r>
      <w:r>
        <w:t>300</w:t>
      </w:r>
      <w:r w:rsidRPr="007B63D3">
        <w:t xml:space="preserve"> </w:t>
      </w:r>
      <w:proofErr w:type="spellStart"/>
      <w:r w:rsidRPr="007B63D3">
        <w:t>MW</w:t>
      </w:r>
      <w:r w:rsidRPr="007B63D3">
        <w:rPr>
          <w:vertAlign w:val="subscript"/>
        </w:rPr>
        <w:t>th</w:t>
      </w:r>
      <w:proofErr w:type="spellEnd"/>
      <w:r w:rsidRPr="007B63D3">
        <w:t>/</w:t>
      </w:r>
      <w:r>
        <w:t>10</w:t>
      </w:r>
      <w:r w:rsidRPr="007B63D3">
        <w:t>0 MW</w:t>
      </w:r>
      <w:r w:rsidRPr="007B63D3">
        <w:rPr>
          <w:vertAlign w:val="subscript"/>
        </w:rPr>
        <w:t>e</w:t>
      </w:r>
      <w:r w:rsidRPr="007B63D3">
        <w:t xml:space="preserve"> power output</w:t>
      </w:r>
      <w:r>
        <w:t xml:space="preserve">. </w:t>
      </w:r>
      <w:r w:rsidR="00B5387C" w:rsidRPr="00B5387C">
        <w:t xml:space="preserve">The target average </w:t>
      </w:r>
      <w:r w:rsidR="00B5387C">
        <w:t xml:space="preserve">cycle length of the first cycle </w:t>
      </w:r>
      <w:r w:rsidR="00B5387C" w:rsidRPr="00B5387C">
        <w:t>is more than 10 years.</w:t>
      </w:r>
      <w:r w:rsidR="003A06D6">
        <w:t xml:space="preserve"> </w:t>
      </w:r>
      <w:r w:rsidR="003A06D6" w:rsidRPr="003A06D6">
        <w:t>the hexagonal-lattice concept is employed for the ANTS-100e because of its higher fuel-to-coolant volume fraction, allowing for increasing average power density compared to the square-lattice pin. The fuel enrichment should be lower than 20</w:t>
      </w:r>
      <w:r w:rsidR="00517DBF">
        <w:t>%</w:t>
      </w:r>
      <w:r w:rsidR="003A06D6" w:rsidRPr="003A06D6">
        <w:t xml:space="preserve"> </w:t>
      </w:r>
      <w:r w:rsidR="003A06D6" w:rsidRPr="003A06D6">
        <w:rPr>
          <w:vertAlign w:val="superscript"/>
        </w:rPr>
        <w:t>235</w:t>
      </w:r>
      <w:r w:rsidR="003A06D6" w:rsidRPr="003A06D6">
        <w:t xml:space="preserve">U - low-enriched uranium (LEU) - </w:t>
      </w:r>
      <w:r w:rsidR="00517DBF" w:rsidRPr="00337B87">
        <w:t>corresponding to restriction on uranium enrichment for civilian use</w:t>
      </w:r>
      <w:r w:rsidR="003A06D6" w:rsidRPr="003A06D6">
        <w:t xml:space="preserve"> (uranium enriched above 20</w:t>
      </w:r>
      <w:r w:rsidR="0008054E">
        <w:t>%</w:t>
      </w:r>
      <w:r w:rsidR="003A06D6" w:rsidRPr="003A06D6">
        <w:t xml:space="preserve"> is considered military grade uranium). In this work, the maximum enrichment is not higher than 19.75</w:t>
      </w:r>
      <w:r w:rsidR="0008054E">
        <w:t xml:space="preserve">% </w:t>
      </w:r>
      <w:r w:rsidR="003A06D6" w:rsidRPr="003A06D6">
        <w:t xml:space="preserve">due to the fuel fabrication uncertainties. </w:t>
      </w:r>
      <w:r w:rsidR="0008054E">
        <w:t xml:space="preserve">UN </w:t>
      </w:r>
      <w:r w:rsidR="003A06D6" w:rsidRPr="003A06D6">
        <w:t xml:space="preserve">fuel </w:t>
      </w:r>
      <w:r w:rsidR="00B94937">
        <w:fldChar w:fldCharType="begin"/>
      </w:r>
      <w:r w:rsidR="00B94937">
        <w:instrText xml:space="preserve"> REF _Ref70589422 \n \h </w:instrText>
      </w:r>
      <w:r w:rsidR="00B94937">
        <w:fldChar w:fldCharType="separate"/>
      </w:r>
      <w:r w:rsidR="00B94937">
        <w:t>[4]</w:t>
      </w:r>
      <w:r w:rsidR="00B94937">
        <w:fldChar w:fldCharType="end"/>
      </w:r>
      <w:r w:rsidR="003A06D6" w:rsidRPr="003A06D6">
        <w:t xml:space="preserve"> is considered as the nuclear fuel in this study because it exhibits several favourable properties in comparison to oxide fuel. </w:t>
      </w:r>
      <w:r w:rsidR="0008054E">
        <w:t>It</w:t>
      </w:r>
      <w:r w:rsidR="003A06D6" w:rsidRPr="003A06D6">
        <w:t xml:space="preserve"> has a higher thermal conductivity, melting temperature, and fissile density than oxide fuel. Nonetheless, UN also presents some drawbacks, such as the high neutron capture cross section of </w:t>
      </w:r>
      <w:r w:rsidR="003A06D6" w:rsidRPr="0008054E">
        <w:rPr>
          <w:vertAlign w:val="superscript"/>
        </w:rPr>
        <w:t>14</w:t>
      </w:r>
      <w:r w:rsidR="003A06D6" w:rsidRPr="003A06D6">
        <w:t xml:space="preserve">N, the production of the radioactive </w:t>
      </w:r>
      <w:r w:rsidR="003A06D6" w:rsidRPr="0008054E">
        <w:rPr>
          <w:vertAlign w:val="superscript"/>
        </w:rPr>
        <w:t>14</w:t>
      </w:r>
      <w:r w:rsidR="003A06D6" w:rsidRPr="003A06D6">
        <w:t xml:space="preserve">C isotope through neutron absorption by </w:t>
      </w:r>
      <w:r w:rsidR="003A06D6" w:rsidRPr="0008054E">
        <w:rPr>
          <w:vertAlign w:val="superscript"/>
        </w:rPr>
        <w:t>14</w:t>
      </w:r>
      <w:r w:rsidR="003A06D6" w:rsidRPr="003A06D6">
        <w:t xml:space="preserve">N with a subsequent proton emission, and significant swelling under irradiation. The fuel fabrication to enrich the fuel in </w:t>
      </w:r>
      <w:r w:rsidR="003A06D6" w:rsidRPr="0008054E">
        <w:rPr>
          <w:vertAlign w:val="superscript"/>
        </w:rPr>
        <w:t>15</w:t>
      </w:r>
      <w:r w:rsidR="003A06D6" w:rsidRPr="003A06D6">
        <w:t xml:space="preserve">N to reduce the amount of </w:t>
      </w:r>
      <w:r w:rsidR="003A06D6" w:rsidRPr="0008054E">
        <w:rPr>
          <w:vertAlign w:val="superscript"/>
        </w:rPr>
        <w:t>14</w:t>
      </w:r>
      <w:r w:rsidR="003A06D6" w:rsidRPr="003A06D6">
        <w:t>N can mitigate the first two drawbacks. Despite these challenges, the choice of UN fuel enables a significant improvement in the fuel efficiency.</w:t>
      </w:r>
      <w:r w:rsidR="00913D17">
        <w:t xml:space="preserve"> </w:t>
      </w:r>
      <w:r w:rsidR="00532A95" w:rsidRPr="00532A95">
        <w:t xml:space="preserve">The </w:t>
      </w:r>
      <w:proofErr w:type="spellStart"/>
      <w:r w:rsidR="00532A95" w:rsidRPr="00532A95">
        <w:t>Ti</w:t>
      </w:r>
      <w:proofErr w:type="spellEnd"/>
      <w:r w:rsidR="00532A95" w:rsidRPr="00532A95">
        <w:t xml:space="preserve">-stabilized austenitic stainless steel 15-15Ti was selected as the cladding </w:t>
      </w:r>
      <w:r w:rsidR="00532A95" w:rsidRPr="00532A95">
        <w:lastRenderedPageBreak/>
        <w:t xml:space="preserve">material, because of its outstanding thermal conductivity, irradiation resistance, and superior swelling resistance compared to other alloys </w:t>
      </w:r>
      <w:r w:rsidR="00B94937">
        <w:fldChar w:fldCharType="begin"/>
      </w:r>
      <w:r w:rsidR="00B94937">
        <w:instrText xml:space="preserve"> REF _Ref70589499 \n \h </w:instrText>
      </w:r>
      <w:r w:rsidR="00B94937">
        <w:fldChar w:fldCharType="separate"/>
      </w:r>
      <w:r w:rsidR="00B94937">
        <w:t>[5]</w:t>
      </w:r>
      <w:r w:rsidR="00B94937">
        <w:fldChar w:fldCharType="end"/>
      </w:r>
      <w:r w:rsidR="00532A95" w:rsidRPr="00532A95">
        <w:t xml:space="preserve">. The corrosion temperature limit for 15-15Ti cladding without any special coating techniques is 550°C </w:t>
      </w:r>
      <w:r w:rsidR="004C5CBA">
        <w:fldChar w:fldCharType="begin"/>
      </w:r>
      <w:r w:rsidR="004C5CBA">
        <w:instrText xml:space="preserve"> REF _Ref70590370 \n \h </w:instrText>
      </w:r>
      <w:r w:rsidR="004C5CBA">
        <w:fldChar w:fldCharType="separate"/>
      </w:r>
      <w:r w:rsidR="004C5CBA">
        <w:t>[8]</w:t>
      </w:r>
      <w:r w:rsidR="004C5CBA">
        <w:fldChar w:fldCharType="end"/>
      </w:r>
      <w:r w:rsidR="00532A95" w:rsidRPr="00532A95">
        <w:t>.</w:t>
      </w:r>
      <w:r w:rsidR="00AC4D30">
        <w:t xml:space="preserve"> </w:t>
      </w:r>
      <w:r w:rsidR="00AC4D30" w:rsidRPr="00AC4D30">
        <w:t>The coolant velocity of LBE is limited to less than 1.5 m/s, owing to corrosion and erosion concerns of the primary loop pipes. The inlet coolant temperature in the primary loop is chosen, accounting for the properties of the typical austenitic steel in contact with LBE and driven by an electromagnetic pump system to sustain the desired outlet temperature.</w:t>
      </w:r>
      <w:r w:rsidR="00913D17">
        <w:t xml:space="preserve"> </w:t>
      </w:r>
      <w:r w:rsidR="00532A95" w:rsidRPr="00532A95">
        <w:t xml:space="preserve">Based on the selection of the primary design parameters and the technological and safety constraints, the optimization of the core, fuel design, and loading patterns will be performed to satisfy all the design requirements and to enhance the economic efficiency and safety of </w:t>
      </w:r>
      <w:r w:rsidR="00532A95">
        <w:t>ANTS-100e</w:t>
      </w:r>
      <w:r w:rsidR="00532A95" w:rsidRPr="00532A95">
        <w:t>.</w:t>
      </w:r>
    </w:p>
    <w:p w14:paraId="34165E24" w14:textId="77777777" w:rsidR="00AC4D30" w:rsidRDefault="00AC4D30" w:rsidP="007B63D3">
      <w:pPr>
        <w:pStyle w:val="BodyText"/>
      </w:pPr>
    </w:p>
    <w:p w14:paraId="05B7B4F3" w14:textId="756BDEEA" w:rsidR="00AC4D30" w:rsidRDefault="00AC4D30" w:rsidP="00363EC5">
      <w:pPr>
        <w:pStyle w:val="BodyText"/>
        <w:ind w:firstLine="0"/>
      </w:pPr>
      <w:r>
        <w:t>TABLE 1.</w:t>
      </w:r>
      <w:r>
        <w:tab/>
      </w:r>
      <w:r w:rsidRPr="00AC4D30">
        <w:t>MATERIAL-RELATED TECHNOLOGICAL CONSTRAINTS AND PERFORMANCE TARGETS</w:t>
      </w:r>
    </w:p>
    <w:p w14:paraId="4653B69C" w14:textId="77777777" w:rsidR="00046EEE" w:rsidRDefault="00046EEE" w:rsidP="00363EC5">
      <w:pPr>
        <w:pStyle w:val="BodyText"/>
        <w:ind w:firstLine="0"/>
      </w:pPr>
    </w:p>
    <w:tbl>
      <w:tblPr>
        <w:tblStyle w:val="Style1"/>
        <w:tblW w:w="0" w:type="auto"/>
        <w:jc w:val="center"/>
        <w:tblLook w:val="04A0" w:firstRow="1" w:lastRow="0" w:firstColumn="1" w:lastColumn="0" w:noHBand="0" w:noVBand="1"/>
      </w:tblPr>
      <w:tblGrid>
        <w:gridCol w:w="4678"/>
        <w:gridCol w:w="1559"/>
      </w:tblGrid>
      <w:tr w:rsidR="007B0775" w:rsidRPr="00B52F71" w14:paraId="5B2387BB" w14:textId="77777777" w:rsidTr="00763327">
        <w:trPr>
          <w:cnfStyle w:val="100000000000" w:firstRow="1" w:lastRow="0" w:firstColumn="0" w:lastColumn="0" w:oddVBand="0" w:evenVBand="0" w:oddHBand="0" w:evenHBand="0" w:firstRowFirstColumn="0" w:firstRowLastColumn="0" w:lastRowFirstColumn="0" w:lastRowLastColumn="0"/>
          <w:trHeight w:val="20"/>
          <w:jc w:val="center"/>
        </w:trPr>
        <w:tc>
          <w:tcPr>
            <w:tcW w:w="4678" w:type="dxa"/>
            <w:hideMark/>
          </w:tcPr>
          <w:p w14:paraId="7A13F1CC" w14:textId="77777777" w:rsidR="007B0775" w:rsidRPr="00B52F71" w:rsidRDefault="007B0775" w:rsidP="00763327">
            <w:pPr>
              <w:pStyle w:val="Table"/>
              <w:spacing w:line="260" w:lineRule="atLeast"/>
              <w:jc w:val="center"/>
              <w:rPr>
                <w:b/>
                <w:sz w:val="20"/>
                <w:szCs w:val="20"/>
              </w:rPr>
            </w:pPr>
            <w:r w:rsidRPr="00B52F71">
              <w:rPr>
                <w:b/>
                <w:sz w:val="20"/>
                <w:szCs w:val="20"/>
              </w:rPr>
              <w:t>Parameter</w:t>
            </w:r>
          </w:p>
        </w:tc>
        <w:tc>
          <w:tcPr>
            <w:tcW w:w="1559" w:type="dxa"/>
            <w:hideMark/>
          </w:tcPr>
          <w:p w14:paraId="537E8E30" w14:textId="77777777" w:rsidR="007B0775" w:rsidRPr="00B52F71" w:rsidRDefault="007B0775" w:rsidP="00763327">
            <w:pPr>
              <w:pStyle w:val="Table"/>
              <w:spacing w:line="260" w:lineRule="atLeast"/>
              <w:jc w:val="center"/>
              <w:rPr>
                <w:b/>
                <w:sz w:val="20"/>
                <w:szCs w:val="20"/>
              </w:rPr>
            </w:pPr>
            <w:r w:rsidRPr="00B52F71">
              <w:rPr>
                <w:b/>
                <w:sz w:val="20"/>
                <w:szCs w:val="20"/>
              </w:rPr>
              <w:t>Value</w:t>
            </w:r>
          </w:p>
        </w:tc>
      </w:tr>
      <w:tr w:rsidR="007B0775" w:rsidRPr="00B52F71" w14:paraId="47092EE4" w14:textId="77777777" w:rsidTr="00763327">
        <w:trPr>
          <w:trHeight w:val="20"/>
          <w:jc w:val="center"/>
        </w:trPr>
        <w:tc>
          <w:tcPr>
            <w:tcW w:w="4678" w:type="dxa"/>
            <w:tcBorders>
              <w:top w:val="single" w:sz="4" w:space="0" w:color="auto"/>
            </w:tcBorders>
            <w:hideMark/>
          </w:tcPr>
          <w:p w14:paraId="7D1AED8B" w14:textId="77777777" w:rsidR="007B0775" w:rsidRPr="00B52F71" w:rsidRDefault="007B0775" w:rsidP="00763327">
            <w:pPr>
              <w:pStyle w:val="Table"/>
              <w:spacing w:line="260" w:lineRule="atLeast"/>
              <w:rPr>
                <w:sz w:val="20"/>
                <w:szCs w:val="20"/>
              </w:rPr>
            </w:pPr>
            <w:r w:rsidRPr="00B52F71">
              <w:rPr>
                <w:sz w:val="20"/>
                <w:szCs w:val="20"/>
              </w:rPr>
              <w:t>Fuel</w:t>
            </w:r>
          </w:p>
        </w:tc>
        <w:tc>
          <w:tcPr>
            <w:tcW w:w="1559" w:type="dxa"/>
            <w:tcBorders>
              <w:top w:val="single" w:sz="4" w:space="0" w:color="auto"/>
            </w:tcBorders>
          </w:tcPr>
          <w:p w14:paraId="67325E5D" w14:textId="0921FD1C" w:rsidR="007B0775" w:rsidRPr="00B52F71" w:rsidRDefault="007B0775" w:rsidP="007B0775">
            <w:pPr>
              <w:pStyle w:val="Table"/>
              <w:spacing w:line="260" w:lineRule="atLeast"/>
              <w:jc w:val="center"/>
              <w:rPr>
                <w:sz w:val="20"/>
                <w:szCs w:val="20"/>
              </w:rPr>
            </w:pPr>
            <w:r w:rsidRPr="00B52F71">
              <w:rPr>
                <w:sz w:val="20"/>
                <w:szCs w:val="20"/>
              </w:rPr>
              <w:t>UN</w:t>
            </w:r>
          </w:p>
        </w:tc>
      </w:tr>
      <w:tr w:rsidR="007B0775" w:rsidRPr="00B52F71" w14:paraId="7A7EC1DE" w14:textId="77777777" w:rsidTr="00763327">
        <w:trPr>
          <w:trHeight w:val="20"/>
          <w:jc w:val="center"/>
        </w:trPr>
        <w:tc>
          <w:tcPr>
            <w:tcW w:w="4678" w:type="dxa"/>
            <w:hideMark/>
          </w:tcPr>
          <w:p w14:paraId="4658B20D" w14:textId="7563C162" w:rsidR="007B0775" w:rsidRPr="00B52F71" w:rsidRDefault="007B0775" w:rsidP="00763327">
            <w:pPr>
              <w:pStyle w:val="Table"/>
              <w:spacing w:line="260" w:lineRule="atLeast"/>
              <w:rPr>
                <w:sz w:val="20"/>
                <w:szCs w:val="20"/>
              </w:rPr>
            </w:pPr>
            <w:r w:rsidRPr="00B52F71">
              <w:rPr>
                <w:sz w:val="20"/>
                <w:szCs w:val="20"/>
              </w:rPr>
              <w:t>- Smear density</w:t>
            </w:r>
            <w:r>
              <w:rPr>
                <w:sz w:val="20"/>
                <w:szCs w:val="20"/>
              </w:rPr>
              <w:t xml:space="preserve">, </w:t>
            </w:r>
            <w:r w:rsidRPr="00B52F71">
              <w:rPr>
                <w:sz w:val="20"/>
                <w:szCs w:val="20"/>
              </w:rPr>
              <w:t>%TD</w:t>
            </w:r>
            <w:r w:rsidRPr="00B52F71">
              <w:rPr>
                <w:sz w:val="20"/>
                <w:szCs w:val="20"/>
                <w:vertAlign w:val="superscript"/>
              </w:rPr>
              <w:t>*</w:t>
            </w:r>
          </w:p>
        </w:tc>
        <w:tc>
          <w:tcPr>
            <w:tcW w:w="1559" w:type="dxa"/>
            <w:hideMark/>
          </w:tcPr>
          <w:p w14:paraId="2642CAB6" w14:textId="4B9EF132" w:rsidR="007B0775" w:rsidRPr="00B52F71" w:rsidRDefault="007B0775" w:rsidP="007B0775">
            <w:pPr>
              <w:pStyle w:val="Table"/>
              <w:spacing w:line="260" w:lineRule="atLeast"/>
              <w:jc w:val="center"/>
              <w:rPr>
                <w:sz w:val="20"/>
                <w:szCs w:val="20"/>
              </w:rPr>
            </w:pPr>
            <w:r w:rsidRPr="00B52F71">
              <w:rPr>
                <w:sz w:val="20"/>
                <w:szCs w:val="20"/>
              </w:rPr>
              <w:t>90</w:t>
            </w:r>
          </w:p>
        </w:tc>
      </w:tr>
      <w:tr w:rsidR="007B0775" w:rsidRPr="00B52F71" w14:paraId="24B5E199" w14:textId="77777777" w:rsidTr="00763327">
        <w:trPr>
          <w:trHeight w:val="20"/>
          <w:jc w:val="center"/>
        </w:trPr>
        <w:tc>
          <w:tcPr>
            <w:tcW w:w="4678" w:type="dxa"/>
            <w:hideMark/>
          </w:tcPr>
          <w:p w14:paraId="6BE04B12" w14:textId="649DD851" w:rsidR="007B0775" w:rsidRPr="00B52F71" w:rsidRDefault="007B0775" w:rsidP="00763327">
            <w:pPr>
              <w:pStyle w:val="Table"/>
              <w:spacing w:line="260" w:lineRule="atLeast"/>
              <w:rPr>
                <w:sz w:val="20"/>
                <w:szCs w:val="20"/>
              </w:rPr>
            </w:pPr>
            <w:r w:rsidRPr="00B52F71">
              <w:rPr>
                <w:sz w:val="20"/>
                <w:szCs w:val="20"/>
              </w:rPr>
              <w:t xml:space="preserve">- Maximum </w:t>
            </w:r>
            <w:r w:rsidRPr="00B52F71">
              <w:rPr>
                <w:sz w:val="20"/>
                <w:szCs w:val="20"/>
                <w:vertAlign w:val="superscript"/>
              </w:rPr>
              <w:t>235</w:t>
            </w:r>
            <w:r w:rsidRPr="00B52F71">
              <w:rPr>
                <w:sz w:val="20"/>
                <w:szCs w:val="20"/>
              </w:rPr>
              <w:t>U enrichment</w:t>
            </w:r>
            <w:r>
              <w:rPr>
                <w:sz w:val="20"/>
                <w:szCs w:val="20"/>
              </w:rPr>
              <w:t>, %</w:t>
            </w:r>
          </w:p>
        </w:tc>
        <w:tc>
          <w:tcPr>
            <w:tcW w:w="1559" w:type="dxa"/>
            <w:hideMark/>
          </w:tcPr>
          <w:p w14:paraId="014A743A" w14:textId="77777777" w:rsidR="007B0775" w:rsidRPr="00B52F71" w:rsidRDefault="007B0775" w:rsidP="007B0775">
            <w:pPr>
              <w:pStyle w:val="Table"/>
              <w:spacing w:line="260" w:lineRule="atLeast"/>
              <w:jc w:val="center"/>
              <w:rPr>
                <w:sz w:val="20"/>
                <w:szCs w:val="20"/>
              </w:rPr>
            </w:pPr>
            <w:r w:rsidRPr="00B52F71">
              <w:rPr>
                <w:sz w:val="20"/>
                <w:szCs w:val="20"/>
              </w:rPr>
              <w:t>&lt; 19.75</w:t>
            </w:r>
          </w:p>
        </w:tc>
      </w:tr>
      <w:tr w:rsidR="007B0775" w:rsidRPr="00B52F71" w14:paraId="23EA104C" w14:textId="77777777" w:rsidTr="00045D5A">
        <w:trPr>
          <w:trHeight w:val="20"/>
          <w:jc w:val="center"/>
        </w:trPr>
        <w:tc>
          <w:tcPr>
            <w:tcW w:w="4678" w:type="dxa"/>
          </w:tcPr>
          <w:p w14:paraId="709C6356" w14:textId="60137ADA" w:rsidR="007B0775" w:rsidRPr="00B52F71" w:rsidRDefault="007B0775" w:rsidP="00763327">
            <w:pPr>
              <w:pStyle w:val="Table"/>
              <w:spacing w:line="260" w:lineRule="atLeast"/>
              <w:rPr>
                <w:sz w:val="20"/>
                <w:szCs w:val="20"/>
              </w:rPr>
            </w:pPr>
            <w:r w:rsidRPr="00B52F71">
              <w:rPr>
                <w:sz w:val="20"/>
                <w:szCs w:val="20"/>
              </w:rPr>
              <w:t>- Target design centerline fuel temperature</w:t>
            </w:r>
            <w:r>
              <w:rPr>
                <w:sz w:val="20"/>
                <w:szCs w:val="20"/>
              </w:rPr>
              <w:t xml:space="preserve">, </w:t>
            </w:r>
            <w:r w:rsidRPr="00B52F71">
              <w:rPr>
                <w:sz w:val="20"/>
                <w:szCs w:val="20"/>
              </w:rPr>
              <w:t>°C</w:t>
            </w:r>
          </w:p>
        </w:tc>
        <w:tc>
          <w:tcPr>
            <w:tcW w:w="1559" w:type="dxa"/>
          </w:tcPr>
          <w:p w14:paraId="08A0A30F" w14:textId="77777777" w:rsidR="007B0775" w:rsidRPr="00B52F71" w:rsidRDefault="007B0775" w:rsidP="007B0775">
            <w:pPr>
              <w:pStyle w:val="Table"/>
              <w:spacing w:line="260" w:lineRule="atLeast"/>
              <w:jc w:val="center"/>
              <w:rPr>
                <w:sz w:val="20"/>
                <w:szCs w:val="20"/>
              </w:rPr>
            </w:pPr>
            <w:r w:rsidRPr="00B52F71">
              <w:rPr>
                <w:sz w:val="20"/>
                <w:szCs w:val="20"/>
              </w:rPr>
              <w:t>&lt; 900</w:t>
            </w:r>
          </w:p>
        </w:tc>
      </w:tr>
      <w:tr w:rsidR="007B0775" w:rsidRPr="00B52F71" w14:paraId="3FD57CE7" w14:textId="77777777" w:rsidTr="00045D5A">
        <w:trPr>
          <w:trHeight w:val="20"/>
          <w:jc w:val="center"/>
        </w:trPr>
        <w:tc>
          <w:tcPr>
            <w:tcW w:w="4678" w:type="dxa"/>
          </w:tcPr>
          <w:p w14:paraId="657FF219" w14:textId="7620F761" w:rsidR="007B0775" w:rsidRPr="00B52F71" w:rsidRDefault="007B0775" w:rsidP="00763327">
            <w:pPr>
              <w:pStyle w:val="Table"/>
              <w:spacing w:line="260" w:lineRule="atLeast"/>
              <w:rPr>
                <w:sz w:val="20"/>
                <w:szCs w:val="20"/>
              </w:rPr>
            </w:pPr>
            <w:r w:rsidRPr="00B52F71">
              <w:rPr>
                <w:sz w:val="20"/>
                <w:szCs w:val="20"/>
              </w:rPr>
              <w:t>- Max</w:t>
            </w:r>
            <w:r>
              <w:rPr>
                <w:sz w:val="20"/>
                <w:szCs w:val="20"/>
              </w:rPr>
              <w:t>.</w:t>
            </w:r>
            <w:r w:rsidRPr="00B52F71">
              <w:rPr>
                <w:sz w:val="20"/>
                <w:szCs w:val="20"/>
              </w:rPr>
              <w:t xml:space="preserve"> design fuel centerline temperature</w:t>
            </w:r>
            <w:r>
              <w:rPr>
                <w:sz w:val="20"/>
                <w:szCs w:val="20"/>
              </w:rPr>
              <w:t xml:space="preserve">, </w:t>
            </w:r>
            <w:r w:rsidRPr="00B52F71">
              <w:rPr>
                <w:sz w:val="20"/>
                <w:szCs w:val="20"/>
              </w:rPr>
              <w:t>°C</w:t>
            </w:r>
          </w:p>
        </w:tc>
        <w:tc>
          <w:tcPr>
            <w:tcW w:w="1559" w:type="dxa"/>
          </w:tcPr>
          <w:p w14:paraId="1EB50914" w14:textId="77777777" w:rsidR="007B0775" w:rsidRPr="00B52F71" w:rsidRDefault="007B0775" w:rsidP="007B0775">
            <w:pPr>
              <w:pStyle w:val="Table"/>
              <w:spacing w:line="260" w:lineRule="atLeast"/>
              <w:jc w:val="center"/>
              <w:rPr>
                <w:sz w:val="20"/>
                <w:szCs w:val="20"/>
              </w:rPr>
            </w:pPr>
            <w:r w:rsidRPr="00B52F71">
              <w:rPr>
                <w:sz w:val="20"/>
                <w:szCs w:val="20"/>
              </w:rPr>
              <w:t>&lt; 2,000</w:t>
            </w:r>
          </w:p>
        </w:tc>
      </w:tr>
      <w:tr w:rsidR="007B0775" w:rsidRPr="00B52F71" w14:paraId="0E6F3521" w14:textId="77777777" w:rsidTr="00045D5A">
        <w:trPr>
          <w:trHeight w:val="20"/>
          <w:jc w:val="center"/>
        </w:trPr>
        <w:tc>
          <w:tcPr>
            <w:tcW w:w="4678" w:type="dxa"/>
          </w:tcPr>
          <w:p w14:paraId="57FF10C3" w14:textId="77777777" w:rsidR="007B0775" w:rsidRPr="00B52F71" w:rsidRDefault="007B0775" w:rsidP="00763327">
            <w:pPr>
              <w:pStyle w:val="Table"/>
              <w:spacing w:line="260" w:lineRule="atLeast"/>
              <w:rPr>
                <w:sz w:val="20"/>
                <w:szCs w:val="20"/>
              </w:rPr>
            </w:pPr>
            <w:r w:rsidRPr="00B52F71">
              <w:rPr>
                <w:sz w:val="20"/>
                <w:szCs w:val="20"/>
              </w:rPr>
              <w:t>Cladding</w:t>
            </w:r>
          </w:p>
        </w:tc>
        <w:tc>
          <w:tcPr>
            <w:tcW w:w="1559" w:type="dxa"/>
          </w:tcPr>
          <w:p w14:paraId="0FC16CC8" w14:textId="77777777" w:rsidR="007B0775" w:rsidRPr="00B52F71" w:rsidRDefault="007B0775" w:rsidP="007B0775">
            <w:pPr>
              <w:pStyle w:val="Table"/>
              <w:spacing w:line="260" w:lineRule="atLeast"/>
              <w:jc w:val="center"/>
              <w:rPr>
                <w:sz w:val="20"/>
                <w:szCs w:val="20"/>
              </w:rPr>
            </w:pPr>
            <w:r w:rsidRPr="00B52F71">
              <w:rPr>
                <w:sz w:val="20"/>
                <w:szCs w:val="20"/>
              </w:rPr>
              <w:t>15-15Ti</w:t>
            </w:r>
          </w:p>
        </w:tc>
      </w:tr>
      <w:tr w:rsidR="007B0775" w:rsidRPr="00B52F71" w14:paraId="75C34FDB" w14:textId="77777777" w:rsidTr="00045D5A">
        <w:trPr>
          <w:trHeight w:val="20"/>
          <w:jc w:val="center"/>
        </w:trPr>
        <w:tc>
          <w:tcPr>
            <w:tcW w:w="4678" w:type="dxa"/>
            <w:hideMark/>
          </w:tcPr>
          <w:p w14:paraId="5B55FC31" w14:textId="028A7D22" w:rsidR="007B0775" w:rsidRPr="00B52F71" w:rsidRDefault="007B0775" w:rsidP="00763327">
            <w:pPr>
              <w:pStyle w:val="Table"/>
              <w:spacing w:line="260" w:lineRule="atLeast"/>
              <w:rPr>
                <w:sz w:val="20"/>
                <w:szCs w:val="20"/>
              </w:rPr>
            </w:pPr>
            <w:r w:rsidRPr="00B52F71">
              <w:rPr>
                <w:sz w:val="20"/>
                <w:szCs w:val="20"/>
              </w:rPr>
              <w:t>- Max</w:t>
            </w:r>
            <w:r>
              <w:rPr>
                <w:sz w:val="20"/>
                <w:szCs w:val="20"/>
              </w:rPr>
              <w:t>.</w:t>
            </w:r>
            <w:r w:rsidRPr="00B52F71">
              <w:rPr>
                <w:sz w:val="20"/>
                <w:szCs w:val="20"/>
              </w:rPr>
              <w:t xml:space="preserve"> cladding temperature at normal operation</w:t>
            </w:r>
            <w:r>
              <w:rPr>
                <w:sz w:val="20"/>
                <w:szCs w:val="20"/>
              </w:rPr>
              <w:t xml:space="preserve">, </w:t>
            </w:r>
            <w:r w:rsidRPr="00B52F71">
              <w:rPr>
                <w:sz w:val="20"/>
                <w:szCs w:val="20"/>
              </w:rPr>
              <w:t>°C</w:t>
            </w:r>
          </w:p>
        </w:tc>
        <w:tc>
          <w:tcPr>
            <w:tcW w:w="1559" w:type="dxa"/>
            <w:hideMark/>
          </w:tcPr>
          <w:p w14:paraId="28F94F9A" w14:textId="77777777" w:rsidR="007B0775" w:rsidRPr="00B52F71" w:rsidRDefault="007B0775" w:rsidP="007B0775">
            <w:pPr>
              <w:pStyle w:val="Table"/>
              <w:spacing w:line="260" w:lineRule="atLeast"/>
              <w:jc w:val="center"/>
              <w:rPr>
                <w:sz w:val="20"/>
                <w:szCs w:val="20"/>
              </w:rPr>
            </w:pPr>
            <w:r w:rsidRPr="00B52F71">
              <w:rPr>
                <w:sz w:val="20"/>
                <w:szCs w:val="20"/>
              </w:rPr>
              <w:t>&lt; 550</w:t>
            </w:r>
          </w:p>
        </w:tc>
      </w:tr>
      <w:tr w:rsidR="007B0775" w:rsidRPr="00B52F71" w14:paraId="54B2D2BB" w14:textId="77777777" w:rsidTr="00045D5A">
        <w:trPr>
          <w:trHeight w:val="20"/>
          <w:jc w:val="center"/>
        </w:trPr>
        <w:tc>
          <w:tcPr>
            <w:tcW w:w="4678" w:type="dxa"/>
            <w:hideMark/>
          </w:tcPr>
          <w:p w14:paraId="7B7BB4D9" w14:textId="77777777" w:rsidR="007B0775" w:rsidRPr="00B52F71" w:rsidRDefault="007B0775" w:rsidP="00763327">
            <w:pPr>
              <w:pStyle w:val="Table"/>
              <w:spacing w:line="260" w:lineRule="atLeast"/>
              <w:rPr>
                <w:sz w:val="20"/>
                <w:szCs w:val="20"/>
              </w:rPr>
            </w:pPr>
            <w:r w:rsidRPr="00B52F71">
              <w:rPr>
                <w:sz w:val="20"/>
                <w:szCs w:val="20"/>
              </w:rPr>
              <w:t>Coolant</w:t>
            </w:r>
          </w:p>
        </w:tc>
        <w:tc>
          <w:tcPr>
            <w:tcW w:w="1559" w:type="dxa"/>
          </w:tcPr>
          <w:p w14:paraId="503FF141" w14:textId="77777777" w:rsidR="007B0775" w:rsidRPr="00B52F71" w:rsidRDefault="007B0775" w:rsidP="007B0775">
            <w:pPr>
              <w:pStyle w:val="Table"/>
              <w:spacing w:line="260" w:lineRule="atLeast"/>
              <w:jc w:val="center"/>
              <w:rPr>
                <w:sz w:val="20"/>
                <w:szCs w:val="20"/>
              </w:rPr>
            </w:pPr>
            <w:r w:rsidRPr="00B52F71">
              <w:rPr>
                <w:sz w:val="20"/>
                <w:szCs w:val="20"/>
              </w:rPr>
              <w:t>LBE</w:t>
            </w:r>
          </w:p>
        </w:tc>
      </w:tr>
      <w:tr w:rsidR="007B0775" w:rsidRPr="00B52F71" w14:paraId="68749AA4" w14:textId="77777777" w:rsidTr="00763327">
        <w:trPr>
          <w:trHeight w:val="20"/>
          <w:jc w:val="center"/>
        </w:trPr>
        <w:tc>
          <w:tcPr>
            <w:tcW w:w="4678" w:type="dxa"/>
          </w:tcPr>
          <w:p w14:paraId="6B4B3C21" w14:textId="40B949CA" w:rsidR="007B0775" w:rsidRPr="00B52F71" w:rsidRDefault="007B0775" w:rsidP="00763327">
            <w:pPr>
              <w:pStyle w:val="Table"/>
              <w:spacing w:line="260" w:lineRule="atLeast"/>
              <w:rPr>
                <w:sz w:val="20"/>
                <w:szCs w:val="20"/>
              </w:rPr>
            </w:pPr>
            <w:r w:rsidRPr="00B52F71">
              <w:rPr>
                <w:sz w:val="20"/>
                <w:szCs w:val="20"/>
              </w:rPr>
              <w:t>- Melting point</w:t>
            </w:r>
            <w:r>
              <w:rPr>
                <w:sz w:val="20"/>
                <w:szCs w:val="20"/>
              </w:rPr>
              <w:t xml:space="preserve">, </w:t>
            </w:r>
            <w:r w:rsidRPr="00B52F71">
              <w:rPr>
                <w:sz w:val="20"/>
                <w:szCs w:val="20"/>
              </w:rPr>
              <w:t>°C</w:t>
            </w:r>
          </w:p>
        </w:tc>
        <w:tc>
          <w:tcPr>
            <w:tcW w:w="1559" w:type="dxa"/>
          </w:tcPr>
          <w:p w14:paraId="23CCDEA0" w14:textId="77777777" w:rsidR="007B0775" w:rsidRPr="00B52F71" w:rsidRDefault="007B0775" w:rsidP="007B0775">
            <w:pPr>
              <w:pStyle w:val="Table"/>
              <w:spacing w:line="260" w:lineRule="atLeast"/>
              <w:jc w:val="center"/>
              <w:rPr>
                <w:sz w:val="20"/>
                <w:szCs w:val="20"/>
              </w:rPr>
            </w:pPr>
            <w:r w:rsidRPr="00B52F71">
              <w:rPr>
                <w:sz w:val="20"/>
                <w:szCs w:val="20"/>
              </w:rPr>
              <w:t>~ 124</w:t>
            </w:r>
          </w:p>
        </w:tc>
      </w:tr>
      <w:tr w:rsidR="007B0775" w:rsidRPr="00B52F71" w14:paraId="050BA7C2" w14:textId="77777777" w:rsidTr="00763327">
        <w:trPr>
          <w:trHeight w:val="20"/>
          <w:jc w:val="center"/>
        </w:trPr>
        <w:tc>
          <w:tcPr>
            <w:tcW w:w="4678" w:type="dxa"/>
            <w:hideMark/>
          </w:tcPr>
          <w:p w14:paraId="5C5D6197" w14:textId="50A879E1" w:rsidR="007B0775" w:rsidRPr="00B52F71" w:rsidRDefault="007B0775" w:rsidP="00763327">
            <w:pPr>
              <w:pStyle w:val="Table"/>
              <w:spacing w:line="260" w:lineRule="atLeast"/>
              <w:rPr>
                <w:sz w:val="20"/>
                <w:szCs w:val="20"/>
              </w:rPr>
            </w:pPr>
            <w:r w:rsidRPr="00B52F71">
              <w:rPr>
                <w:sz w:val="20"/>
                <w:szCs w:val="20"/>
              </w:rPr>
              <w:t>- Inlet temperature</w:t>
            </w:r>
            <w:r>
              <w:rPr>
                <w:sz w:val="20"/>
                <w:szCs w:val="20"/>
              </w:rPr>
              <w:t xml:space="preserve">, </w:t>
            </w:r>
            <w:r w:rsidRPr="00B52F71">
              <w:rPr>
                <w:sz w:val="20"/>
                <w:szCs w:val="20"/>
              </w:rPr>
              <w:t>°C</w:t>
            </w:r>
            <w:r w:rsidRPr="00B52F71">
              <w:rPr>
                <w:sz w:val="20"/>
                <w:szCs w:val="20"/>
              </w:rPr>
              <w:t xml:space="preserve"> </w:t>
            </w:r>
          </w:p>
        </w:tc>
        <w:tc>
          <w:tcPr>
            <w:tcW w:w="1559" w:type="dxa"/>
            <w:hideMark/>
          </w:tcPr>
          <w:p w14:paraId="106575B8" w14:textId="788DB16E" w:rsidR="007B0775" w:rsidRPr="00B52F71" w:rsidRDefault="007B0775" w:rsidP="007B0775">
            <w:pPr>
              <w:pStyle w:val="Table"/>
              <w:spacing w:line="260" w:lineRule="atLeast"/>
              <w:jc w:val="center"/>
              <w:rPr>
                <w:sz w:val="20"/>
                <w:szCs w:val="20"/>
              </w:rPr>
            </w:pPr>
            <w:r w:rsidRPr="00B52F71">
              <w:rPr>
                <w:sz w:val="20"/>
                <w:szCs w:val="20"/>
              </w:rPr>
              <w:t>300</w:t>
            </w:r>
          </w:p>
        </w:tc>
      </w:tr>
      <w:tr w:rsidR="007B0775" w:rsidRPr="00B52F71" w14:paraId="451C9DB5" w14:textId="77777777" w:rsidTr="00763327">
        <w:trPr>
          <w:trHeight w:val="20"/>
          <w:jc w:val="center"/>
        </w:trPr>
        <w:tc>
          <w:tcPr>
            <w:tcW w:w="4678" w:type="dxa"/>
          </w:tcPr>
          <w:p w14:paraId="2B2F735A" w14:textId="686761C5" w:rsidR="007B0775" w:rsidRPr="00B52F71" w:rsidRDefault="007B0775" w:rsidP="00763327">
            <w:pPr>
              <w:pStyle w:val="Table"/>
              <w:spacing w:line="260" w:lineRule="atLeast"/>
              <w:rPr>
                <w:sz w:val="20"/>
                <w:szCs w:val="20"/>
              </w:rPr>
            </w:pPr>
            <w:r w:rsidRPr="00B52F71">
              <w:rPr>
                <w:sz w:val="20"/>
                <w:szCs w:val="20"/>
              </w:rPr>
              <w:t>- Target outlet temperature</w:t>
            </w:r>
            <w:r>
              <w:rPr>
                <w:sz w:val="20"/>
                <w:szCs w:val="20"/>
              </w:rPr>
              <w:t xml:space="preserve">, </w:t>
            </w:r>
            <w:r w:rsidRPr="00B52F71">
              <w:rPr>
                <w:sz w:val="20"/>
                <w:szCs w:val="20"/>
              </w:rPr>
              <w:t>°C</w:t>
            </w:r>
          </w:p>
        </w:tc>
        <w:tc>
          <w:tcPr>
            <w:tcW w:w="1559" w:type="dxa"/>
          </w:tcPr>
          <w:p w14:paraId="17519CF5" w14:textId="26B0E6EC" w:rsidR="007B0775" w:rsidRPr="00B52F71" w:rsidRDefault="007B0775" w:rsidP="007B0775">
            <w:pPr>
              <w:pStyle w:val="Table"/>
              <w:spacing w:line="260" w:lineRule="atLeast"/>
              <w:jc w:val="center"/>
              <w:rPr>
                <w:sz w:val="20"/>
                <w:szCs w:val="20"/>
              </w:rPr>
            </w:pPr>
            <w:r w:rsidRPr="00B52F71">
              <w:rPr>
                <w:sz w:val="20"/>
                <w:szCs w:val="20"/>
              </w:rPr>
              <w:t>450</w:t>
            </w:r>
          </w:p>
        </w:tc>
      </w:tr>
      <w:tr w:rsidR="007B0775" w:rsidRPr="00B52F71" w14:paraId="3E9834DE" w14:textId="77777777" w:rsidTr="00045D5A">
        <w:trPr>
          <w:trHeight w:val="20"/>
          <w:jc w:val="center"/>
        </w:trPr>
        <w:tc>
          <w:tcPr>
            <w:tcW w:w="4678" w:type="dxa"/>
            <w:hideMark/>
          </w:tcPr>
          <w:p w14:paraId="75DB13E6" w14:textId="717D6721" w:rsidR="007B0775" w:rsidRPr="00B52F71" w:rsidRDefault="007B0775" w:rsidP="00763327">
            <w:pPr>
              <w:pStyle w:val="Table"/>
              <w:spacing w:line="260" w:lineRule="atLeast"/>
              <w:rPr>
                <w:sz w:val="20"/>
                <w:szCs w:val="20"/>
              </w:rPr>
            </w:pPr>
            <w:r w:rsidRPr="00B52F71">
              <w:rPr>
                <w:sz w:val="20"/>
                <w:szCs w:val="20"/>
              </w:rPr>
              <w:t>- Max</w:t>
            </w:r>
            <w:r>
              <w:rPr>
                <w:sz w:val="20"/>
                <w:szCs w:val="20"/>
              </w:rPr>
              <w:t>.</w:t>
            </w:r>
            <w:r w:rsidRPr="00B52F71">
              <w:rPr>
                <w:sz w:val="20"/>
                <w:szCs w:val="20"/>
              </w:rPr>
              <w:t xml:space="preserve"> coolant velocity</w:t>
            </w:r>
            <w:r>
              <w:rPr>
                <w:sz w:val="20"/>
                <w:szCs w:val="20"/>
              </w:rPr>
              <w:t>, m/s</w:t>
            </w:r>
          </w:p>
        </w:tc>
        <w:tc>
          <w:tcPr>
            <w:tcW w:w="1559" w:type="dxa"/>
            <w:hideMark/>
          </w:tcPr>
          <w:p w14:paraId="78A55B08" w14:textId="77777777" w:rsidR="007B0775" w:rsidRPr="00B52F71" w:rsidRDefault="007B0775" w:rsidP="007B0775">
            <w:pPr>
              <w:pStyle w:val="Table"/>
              <w:spacing w:line="260" w:lineRule="atLeast"/>
              <w:jc w:val="center"/>
              <w:rPr>
                <w:sz w:val="20"/>
                <w:szCs w:val="20"/>
              </w:rPr>
            </w:pPr>
            <w:r w:rsidRPr="00B52F71">
              <w:rPr>
                <w:sz w:val="20"/>
                <w:szCs w:val="20"/>
              </w:rPr>
              <w:t>&lt; 1.5</w:t>
            </w:r>
          </w:p>
        </w:tc>
      </w:tr>
      <w:tr w:rsidR="007B0775" w:rsidRPr="00B52F71" w14:paraId="1AA1E212" w14:textId="77777777" w:rsidTr="00045D5A">
        <w:trPr>
          <w:trHeight w:val="20"/>
          <w:jc w:val="center"/>
        </w:trPr>
        <w:tc>
          <w:tcPr>
            <w:tcW w:w="4678" w:type="dxa"/>
          </w:tcPr>
          <w:p w14:paraId="7030F526" w14:textId="402FAF57" w:rsidR="007B0775" w:rsidRPr="00B52F71" w:rsidRDefault="007B0775" w:rsidP="00763327">
            <w:pPr>
              <w:pStyle w:val="Table"/>
              <w:spacing w:line="260" w:lineRule="atLeast"/>
              <w:rPr>
                <w:sz w:val="20"/>
                <w:szCs w:val="20"/>
              </w:rPr>
            </w:pPr>
            <w:r w:rsidRPr="00B52F71">
              <w:rPr>
                <w:sz w:val="20"/>
                <w:szCs w:val="20"/>
              </w:rPr>
              <w:t>- Pressure</w:t>
            </w:r>
            <w:r>
              <w:rPr>
                <w:sz w:val="20"/>
                <w:szCs w:val="20"/>
              </w:rPr>
              <w:t>, MPa</w:t>
            </w:r>
          </w:p>
        </w:tc>
        <w:tc>
          <w:tcPr>
            <w:tcW w:w="1559" w:type="dxa"/>
          </w:tcPr>
          <w:p w14:paraId="3A73297B" w14:textId="77777777" w:rsidR="007B0775" w:rsidRPr="00B52F71" w:rsidRDefault="007B0775" w:rsidP="007B0775">
            <w:pPr>
              <w:pStyle w:val="Table"/>
              <w:spacing w:line="260" w:lineRule="atLeast"/>
              <w:jc w:val="center"/>
              <w:rPr>
                <w:sz w:val="20"/>
                <w:szCs w:val="20"/>
              </w:rPr>
            </w:pPr>
            <w:r w:rsidRPr="00B52F71">
              <w:rPr>
                <w:sz w:val="20"/>
                <w:szCs w:val="20"/>
              </w:rPr>
              <w:t>0.1</w:t>
            </w:r>
          </w:p>
        </w:tc>
      </w:tr>
      <w:tr w:rsidR="007B0775" w:rsidRPr="00B52F71" w14:paraId="1D1DCED0" w14:textId="77777777" w:rsidTr="00045D5A">
        <w:trPr>
          <w:trHeight w:val="20"/>
          <w:jc w:val="center"/>
        </w:trPr>
        <w:tc>
          <w:tcPr>
            <w:tcW w:w="4678" w:type="dxa"/>
            <w:tcBorders>
              <w:bottom w:val="single" w:sz="4" w:space="0" w:color="auto"/>
            </w:tcBorders>
          </w:tcPr>
          <w:p w14:paraId="03B773D1" w14:textId="77777777" w:rsidR="007B0775" w:rsidRPr="00B52F71" w:rsidRDefault="007B0775" w:rsidP="00763327">
            <w:pPr>
              <w:pStyle w:val="Table"/>
              <w:spacing w:line="260" w:lineRule="atLeast"/>
              <w:rPr>
                <w:sz w:val="20"/>
                <w:szCs w:val="20"/>
              </w:rPr>
            </w:pPr>
            <w:r w:rsidRPr="00B52F71">
              <w:rPr>
                <w:sz w:val="20"/>
                <w:szCs w:val="20"/>
              </w:rPr>
              <w:t xml:space="preserve">Burnup reactivity swing </w:t>
            </w:r>
          </w:p>
        </w:tc>
        <w:tc>
          <w:tcPr>
            <w:tcW w:w="1559" w:type="dxa"/>
            <w:tcBorders>
              <w:bottom w:val="single" w:sz="4" w:space="0" w:color="auto"/>
            </w:tcBorders>
          </w:tcPr>
          <w:p w14:paraId="2C664A78" w14:textId="03FC7B15" w:rsidR="007B0775" w:rsidRPr="00B52F71" w:rsidRDefault="007B0775" w:rsidP="007B0775">
            <w:pPr>
              <w:pStyle w:val="Table"/>
              <w:spacing w:line="260" w:lineRule="atLeast"/>
              <w:jc w:val="center"/>
              <w:rPr>
                <w:sz w:val="20"/>
                <w:szCs w:val="20"/>
              </w:rPr>
            </w:pPr>
            <w:r w:rsidRPr="00B52F71">
              <w:rPr>
                <w:sz w:val="20"/>
                <w:szCs w:val="20"/>
              </w:rPr>
              <w:t>&lt; 1</w:t>
            </w:r>
            <w:r>
              <w:rPr>
                <w:sz w:val="20"/>
                <w:szCs w:val="20"/>
              </w:rPr>
              <w:t>,000</w:t>
            </w:r>
          </w:p>
        </w:tc>
      </w:tr>
      <w:tr w:rsidR="007B0775" w:rsidRPr="00B52F71" w14:paraId="53AEFF6B" w14:textId="77777777" w:rsidTr="00763327">
        <w:trPr>
          <w:trHeight w:val="20"/>
          <w:jc w:val="center"/>
        </w:trPr>
        <w:tc>
          <w:tcPr>
            <w:tcW w:w="4678" w:type="dxa"/>
            <w:tcBorders>
              <w:top w:val="single" w:sz="4" w:space="0" w:color="auto"/>
            </w:tcBorders>
            <w:hideMark/>
          </w:tcPr>
          <w:p w14:paraId="69894F6D" w14:textId="77777777" w:rsidR="007B0775" w:rsidRPr="00B52F71" w:rsidRDefault="007B0775" w:rsidP="00763327">
            <w:pPr>
              <w:pStyle w:val="Table"/>
              <w:spacing w:line="260" w:lineRule="atLeast"/>
              <w:rPr>
                <w:sz w:val="20"/>
                <w:szCs w:val="20"/>
              </w:rPr>
            </w:pPr>
            <w:r w:rsidRPr="00B52F71">
              <w:rPr>
                <w:i/>
                <w:sz w:val="20"/>
                <w:szCs w:val="20"/>
                <w:vertAlign w:val="superscript"/>
              </w:rPr>
              <w:t>*</w:t>
            </w:r>
            <w:r w:rsidRPr="00B52F71">
              <w:rPr>
                <w:i/>
                <w:sz w:val="20"/>
                <w:szCs w:val="20"/>
              </w:rPr>
              <w:t>Theoretical Density</w:t>
            </w:r>
          </w:p>
        </w:tc>
        <w:tc>
          <w:tcPr>
            <w:tcW w:w="1559" w:type="dxa"/>
            <w:tcBorders>
              <w:top w:val="single" w:sz="4" w:space="0" w:color="auto"/>
            </w:tcBorders>
          </w:tcPr>
          <w:p w14:paraId="79E750EC" w14:textId="77777777" w:rsidR="007B0775" w:rsidRPr="00B52F71" w:rsidRDefault="007B0775" w:rsidP="00763327">
            <w:pPr>
              <w:pStyle w:val="Table"/>
              <w:spacing w:line="260" w:lineRule="atLeast"/>
              <w:rPr>
                <w:sz w:val="20"/>
                <w:szCs w:val="20"/>
              </w:rPr>
            </w:pPr>
          </w:p>
        </w:tc>
      </w:tr>
    </w:tbl>
    <w:p w14:paraId="15B7CBB7" w14:textId="3570C9C5" w:rsidR="0075347A" w:rsidRDefault="00E07001" w:rsidP="00860FDD">
      <w:pPr>
        <w:pStyle w:val="Heading3"/>
      </w:pPr>
      <w:r w:rsidRPr="00E07001">
        <w:t>Core loading configuration optimization</w:t>
      </w:r>
    </w:p>
    <w:p w14:paraId="7368DC8C" w14:textId="7B50026D" w:rsidR="001548E1" w:rsidRDefault="0016242D" w:rsidP="001548E1">
      <w:pPr>
        <w:pStyle w:val="BodyText"/>
      </w:pPr>
      <w:r w:rsidRPr="0016242D">
        <w:t xml:space="preserve">The pin diameter was selected as </w:t>
      </w:r>
      <w:r>
        <w:t>1.16</w:t>
      </w:r>
      <w:r w:rsidRPr="0016242D">
        <w:t xml:space="preserve"> cm</w:t>
      </w:r>
      <w:r>
        <w:t xml:space="preserve">. </w:t>
      </w:r>
      <w:r w:rsidR="001E22BE" w:rsidRPr="001E22BE">
        <w:t>LBE is filled as bond material between fuel pellet and claddin</w:t>
      </w:r>
      <w:r w:rsidR="00DF23EC">
        <w:t>g to reduce to fuel centreline temperature</w:t>
      </w:r>
      <w:r w:rsidR="001E22BE" w:rsidRPr="001E22BE">
        <w:t>.</w:t>
      </w:r>
      <w:r w:rsidR="001E22BE">
        <w:t xml:space="preserve"> </w:t>
      </w:r>
      <w:r w:rsidR="00266469">
        <w:t xml:space="preserve">The reference fuel assembly illustrated in Fig. 2 is </w:t>
      </w:r>
      <w:r>
        <w:t xml:space="preserve">169 fuel pins arranged </w:t>
      </w:r>
      <w:r w:rsidR="00266469">
        <w:t>on</w:t>
      </w:r>
      <w:r>
        <w:t xml:space="preserve"> the hexagonal lattice with the pin pitch-to-diameter (</w:t>
      </w:r>
      <w:r w:rsidRPr="0016242D">
        <w:rPr>
          <w:i/>
          <w:iCs/>
        </w:rPr>
        <w:t>P/D</w:t>
      </w:r>
      <w:r>
        <w:t>) ratio of 1.15. The</w:t>
      </w:r>
      <w:r w:rsidR="00167385">
        <w:t xml:space="preserve"> mentioned</w:t>
      </w:r>
      <w:r>
        <w:t xml:space="preserve"> </w:t>
      </w:r>
      <w:r w:rsidRPr="0016242D">
        <w:rPr>
          <w:i/>
          <w:iCs/>
        </w:rPr>
        <w:t>P/D</w:t>
      </w:r>
      <w:r>
        <w:t xml:space="preserve"> ratio is selected to reduce the pressure drop as small as possible.</w:t>
      </w:r>
      <w:r w:rsidR="001E22BE">
        <w:t xml:space="preserve"> </w:t>
      </w:r>
      <w:r w:rsidR="00B52F71">
        <w:t>Each FA is enclosed with a 0.</w:t>
      </w:r>
      <w:r w:rsidR="00527701">
        <w:t>4</w:t>
      </w:r>
      <w:r w:rsidR="007A1618">
        <w:t>0</w:t>
      </w:r>
      <w:r w:rsidR="00527701">
        <w:t>cm</w:t>
      </w:r>
      <w:r w:rsidR="006B40E8">
        <w:t>-thickness</w:t>
      </w:r>
      <w:r w:rsidR="00527701">
        <w:t xml:space="preserve"> </w:t>
      </w:r>
      <w:r w:rsidR="00B52F71">
        <w:t xml:space="preserve">hexagonal duct, of which the material is also 15-15Ti. </w:t>
      </w:r>
    </w:p>
    <w:p w14:paraId="5E92C37A" w14:textId="08AD39B7" w:rsidR="00B52F71" w:rsidRDefault="00FA669E" w:rsidP="005E5356">
      <w:pPr>
        <w:pStyle w:val="BodyText"/>
        <w:ind w:firstLine="0"/>
        <w:jc w:val="center"/>
      </w:pPr>
      <w:r>
        <w:rPr>
          <w:noProof/>
        </w:rPr>
        <w:drawing>
          <wp:inline distT="0" distB="0" distL="0" distR="0" wp14:anchorId="42F495ED" wp14:editId="167EAC3C">
            <wp:extent cx="4320000" cy="240143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4320000" cy="2401439"/>
                    </a:xfrm>
                    <a:prstGeom prst="rect">
                      <a:avLst/>
                    </a:prstGeom>
                    <a:noFill/>
                  </pic:spPr>
                </pic:pic>
              </a:graphicData>
            </a:graphic>
          </wp:inline>
        </w:drawing>
      </w:r>
    </w:p>
    <w:p w14:paraId="29F96FB5" w14:textId="5C950230" w:rsidR="00FA669E" w:rsidRPr="00FA5F27" w:rsidRDefault="00FA669E" w:rsidP="00FA669E">
      <w:pPr>
        <w:pStyle w:val="Figurecaption"/>
        <w:rPr>
          <w:b/>
          <w:lang w:eastAsia="es-ES"/>
        </w:rPr>
      </w:pPr>
      <w:r w:rsidRPr="00FA5F27">
        <w:rPr>
          <w:caps/>
          <w:lang w:eastAsia="es-ES"/>
        </w:rPr>
        <w:t>Fig</w:t>
      </w:r>
      <w:r w:rsidRPr="00FA5F27">
        <w:rPr>
          <w:lang w:eastAsia="es-ES"/>
        </w:rPr>
        <w:t>.</w:t>
      </w:r>
      <w:r>
        <w:rPr>
          <w:lang w:eastAsia="es-ES"/>
        </w:rPr>
        <w:t> </w:t>
      </w:r>
      <w:r w:rsidRPr="00FA5F27">
        <w:rPr>
          <w:b/>
          <w:lang w:eastAsia="es-ES"/>
        </w:rPr>
        <w:fldChar w:fldCharType="begin"/>
      </w:r>
      <w:r w:rsidRPr="00FA5F27">
        <w:rPr>
          <w:lang w:eastAsia="es-ES"/>
        </w:rPr>
        <w:instrText xml:space="preserve"> SEQ Figure \* ARABIC </w:instrText>
      </w:r>
      <w:r w:rsidRPr="00FA5F27">
        <w:rPr>
          <w:b/>
          <w:lang w:eastAsia="es-ES"/>
        </w:rPr>
        <w:fldChar w:fldCharType="separate"/>
      </w:r>
      <w:r w:rsidR="00696297">
        <w:rPr>
          <w:noProof/>
          <w:lang w:eastAsia="es-ES"/>
        </w:rPr>
        <w:t>2</w:t>
      </w:r>
      <w:r w:rsidRPr="00FA5F27">
        <w:rPr>
          <w:b/>
          <w:lang w:eastAsia="es-ES"/>
        </w:rPr>
        <w:fldChar w:fldCharType="end"/>
      </w:r>
      <w:r w:rsidRPr="00FA5F27">
        <w:rPr>
          <w:lang w:eastAsia="es-ES"/>
        </w:rPr>
        <w:t>.</w:t>
      </w:r>
      <w:r w:rsidR="00363EC5">
        <w:rPr>
          <w:lang w:eastAsia="es-ES"/>
        </w:rPr>
        <w:t xml:space="preserve"> Fuel pin and assembly design for ANTS-100e</w:t>
      </w:r>
      <w:r w:rsidRPr="00FA5F27">
        <w:rPr>
          <w:lang w:eastAsia="es-ES"/>
        </w:rPr>
        <w:t>.</w:t>
      </w:r>
    </w:p>
    <w:p w14:paraId="788BE5BD" w14:textId="77777777" w:rsidR="00FA669E" w:rsidRPr="001548E1" w:rsidRDefault="00FA669E" w:rsidP="00FA669E">
      <w:pPr>
        <w:pStyle w:val="BodyText"/>
        <w:jc w:val="center"/>
      </w:pPr>
    </w:p>
    <w:p w14:paraId="11A28F08" w14:textId="2FB785BB" w:rsidR="00D13EB3" w:rsidRDefault="00AB255C" w:rsidP="00D13EB3">
      <w:pPr>
        <w:pStyle w:val="BodyText"/>
      </w:pPr>
      <w:r w:rsidRPr="00AB255C">
        <w:lastRenderedPageBreak/>
        <w:t xml:space="preserve">The initial core loading design study focuses on optimizing the enrichment zoning. </w:t>
      </w:r>
      <w:r w:rsidR="00421307">
        <w:t xml:space="preserve">151 </w:t>
      </w:r>
      <w:r w:rsidR="00907EB1" w:rsidRPr="00907EB1">
        <w:t xml:space="preserve">FAs arranged in </w:t>
      </w:r>
      <w:r w:rsidR="00421307">
        <w:t>8</w:t>
      </w:r>
      <w:r w:rsidR="00907EB1" w:rsidRPr="00907EB1">
        <w:t xml:space="preserve"> rings </w:t>
      </w:r>
      <w:r w:rsidR="00421307">
        <w:t>to form the equivalent active core diameter and height of 2</w:t>
      </w:r>
      <w:r w:rsidR="00EB7478">
        <w:t>35</w:t>
      </w:r>
      <w:r w:rsidR="004F5005">
        <w:t xml:space="preserve"> </w:t>
      </w:r>
      <w:r w:rsidR="00D34A70">
        <w:t>c</w:t>
      </w:r>
      <w:r w:rsidR="00421307">
        <w:t>m and 1</w:t>
      </w:r>
      <w:r w:rsidR="006520E2">
        <w:t>0</w:t>
      </w:r>
      <w:r w:rsidR="00421307">
        <w:t xml:space="preserve">0 </w:t>
      </w:r>
      <w:r w:rsidR="006520E2">
        <w:t>c</w:t>
      </w:r>
      <w:r w:rsidR="00421307">
        <w:t>m, respectively</w:t>
      </w:r>
      <w:r w:rsidR="00907EB1" w:rsidRPr="00907EB1">
        <w:t xml:space="preserve">. The reflector surrounding the active core has an equivalent thickness of </w:t>
      </w:r>
      <w:r w:rsidR="00BF2146">
        <w:t xml:space="preserve">around </w:t>
      </w:r>
      <w:r w:rsidR="00421307">
        <w:t>50</w:t>
      </w:r>
      <w:r w:rsidR="00907EB1" w:rsidRPr="00907EB1">
        <w:t xml:space="preserve"> cm and simply consists of 50% LBE and 50% stainless steel. Structural steel and LBE coolant are the most common materials found outside of the active core, so the 50-50 assumption provides an “un-optimized” base reflector case.</w:t>
      </w:r>
      <w:r w:rsidR="00907EB1">
        <w:t xml:space="preserve"> </w:t>
      </w:r>
      <w:r w:rsidR="00BB4796" w:rsidRPr="00D9337D">
        <w:t>Three types of enrichment zoning, Type I, II, and III, are considered in this study, as shown in Fig</w:t>
      </w:r>
      <w:r w:rsidR="00BB4796">
        <w:t>.</w:t>
      </w:r>
      <w:r w:rsidR="00BB4796" w:rsidRPr="00D9337D">
        <w:t xml:space="preserve"> </w:t>
      </w:r>
      <w:r w:rsidR="00BB4796">
        <w:t>3</w:t>
      </w:r>
      <w:r w:rsidR="00BB4796" w:rsidRPr="00D9337D">
        <w:t>. These three types have the same active core size; however, Type I is a uniform enrichment zone, whereas Type II and Type III have two enrichment zones</w:t>
      </w:r>
      <w:r w:rsidR="004547F4">
        <w:t xml:space="preserve"> -</w:t>
      </w:r>
      <w:r w:rsidR="00BB4796" w:rsidRPr="00D9337D">
        <w:t xml:space="preserve"> inner zone</w:t>
      </w:r>
      <w:r w:rsidR="00BB1E1D">
        <w:t xml:space="preserve"> </w:t>
      </w:r>
      <w:r w:rsidR="00BB4796" w:rsidRPr="00D9337D">
        <w:t>and outer zone. Type III is distinguished from TYPE II by additionally introducing axial zoning (</w:t>
      </w:r>
      <w:r w:rsidR="00BB4796">
        <w:t>10</w:t>
      </w:r>
      <w:r w:rsidR="00BB4796" w:rsidRPr="00D9337D">
        <w:t xml:space="preserve"> cm at the top and bottom of the fuel rod), namely onion zoning.</w:t>
      </w:r>
      <w:r w:rsidR="00D13EB3" w:rsidRPr="00D13EB3">
        <w:t xml:space="preserve"> </w:t>
      </w:r>
      <w:r w:rsidR="00D13EB3" w:rsidRPr="00046EEE">
        <w:t xml:space="preserve">The main parameters for each </w:t>
      </w:r>
      <w:r w:rsidR="00D13EB3">
        <w:t>candidate</w:t>
      </w:r>
      <w:r w:rsidR="00D13EB3" w:rsidRPr="00046EEE">
        <w:t xml:space="preserve"> are summarized in Table </w:t>
      </w:r>
      <w:r w:rsidR="00D13EB3">
        <w:t>2</w:t>
      </w:r>
      <w:r w:rsidR="00D13EB3" w:rsidRPr="00046EEE">
        <w:t>. The optimization is conducted with a 60°, 1/6th symmetric core model using the ARC</w:t>
      </w:r>
      <w:r w:rsidR="00D13EB3">
        <w:t xml:space="preserve"> code system</w:t>
      </w:r>
      <w:r w:rsidR="00D13EB3" w:rsidRPr="00046EEE">
        <w:t>. All material compositions were homogenized assembly-wise based on volume fractions.</w:t>
      </w:r>
      <w:r w:rsidR="00D13EB3">
        <w:t xml:space="preserve"> </w:t>
      </w:r>
      <w:r w:rsidR="00D13EB3" w:rsidRPr="00EB7478">
        <w:t xml:space="preserve">The average </w:t>
      </w:r>
      <w:r w:rsidR="00D13EB3" w:rsidRPr="00A31A67">
        <w:rPr>
          <w:vertAlign w:val="superscript"/>
        </w:rPr>
        <w:t>235</w:t>
      </w:r>
      <w:r w:rsidR="00D13EB3" w:rsidRPr="00EB7478">
        <w:t>U enrichment of each type is 11.5</w:t>
      </w:r>
      <w:r w:rsidR="00D13EB3">
        <w:t>0</w:t>
      </w:r>
      <w:r w:rsidR="00D13EB3" w:rsidRPr="00EB7478">
        <w:t>%, 12.</w:t>
      </w:r>
      <w:r w:rsidR="00D13EB3">
        <w:t>26</w:t>
      </w:r>
      <w:r w:rsidR="00D13EB3" w:rsidRPr="00EB7478">
        <w:t>% and 12</w:t>
      </w:r>
      <w:r w:rsidR="00D13EB3">
        <w:t>.41</w:t>
      </w:r>
      <w:r w:rsidR="00D13EB3" w:rsidRPr="00EB7478">
        <w:t xml:space="preserve">%, respectively. </w:t>
      </w:r>
    </w:p>
    <w:p w14:paraId="09FAA521" w14:textId="2455D9FC" w:rsidR="00D9337D" w:rsidRDefault="00D9337D" w:rsidP="00537496">
      <w:pPr>
        <w:pStyle w:val="BodyText"/>
      </w:pPr>
    </w:p>
    <w:p w14:paraId="6E087B96" w14:textId="1794FE5E" w:rsidR="005E5356" w:rsidRDefault="00284505" w:rsidP="005E5356">
      <w:pPr>
        <w:pStyle w:val="BodyText"/>
        <w:ind w:firstLine="0"/>
        <w:jc w:val="center"/>
      </w:pPr>
      <w:r w:rsidRPr="00284505">
        <w:rPr>
          <w:noProof/>
        </w:rPr>
        <w:drawing>
          <wp:inline distT="0" distB="0" distL="0" distR="0" wp14:anchorId="49EF183E" wp14:editId="3C7DCEFA">
            <wp:extent cx="5400000" cy="2029711"/>
            <wp:effectExtent l="0" t="0" r="0" b="0"/>
            <wp:docPr id="4" name="Picture 3">
              <a:extLst xmlns:a="http://schemas.openxmlformats.org/drawingml/2006/main">
                <a:ext uri="{FF2B5EF4-FFF2-40B4-BE49-F238E27FC236}">
                  <a16:creationId xmlns:a16="http://schemas.microsoft.com/office/drawing/2014/main" id="{62A59420-2067-43C8-B520-EFC01EC3D4A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62A59420-2067-43C8-B520-EFC01EC3D4AD}"/>
                        </a:ext>
                      </a:extLst>
                    </pic:cNvPr>
                    <pic:cNvPicPr>
                      <a:picLocks noChangeAspect="1"/>
                    </pic:cNvPicPr>
                  </pic:nvPicPr>
                  <pic:blipFill>
                    <a:blip r:embed="rId13"/>
                    <a:stretch>
                      <a:fillRect/>
                    </a:stretch>
                  </pic:blipFill>
                  <pic:spPr>
                    <a:xfrm>
                      <a:off x="0" y="0"/>
                      <a:ext cx="5400000" cy="2029711"/>
                    </a:xfrm>
                    <a:prstGeom prst="rect">
                      <a:avLst/>
                    </a:prstGeom>
                  </pic:spPr>
                </pic:pic>
              </a:graphicData>
            </a:graphic>
          </wp:inline>
        </w:drawing>
      </w:r>
    </w:p>
    <w:p w14:paraId="13E879E0" w14:textId="37BE39C9" w:rsidR="005E5356" w:rsidRPr="00FA5F27" w:rsidRDefault="005E5356" w:rsidP="005E5356">
      <w:pPr>
        <w:pStyle w:val="Figurecaption"/>
        <w:rPr>
          <w:b/>
          <w:lang w:eastAsia="es-ES"/>
        </w:rPr>
      </w:pPr>
      <w:r w:rsidRPr="00FA5F27">
        <w:rPr>
          <w:caps/>
          <w:lang w:eastAsia="es-ES"/>
        </w:rPr>
        <w:t>Fig</w:t>
      </w:r>
      <w:r w:rsidRPr="00FA5F27">
        <w:rPr>
          <w:lang w:eastAsia="es-ES"/>
        </w:rPr>
        <w:t>.</w:t>
      </w:r>
      <w:r>
        <w:rPr>
          <w:lang w:eastAsia="es-ES"/>
        </w:rPr>
        <w:t> </w:t>
      </w:r>
      <w:r w:rsidRPr="00FA5F27">
        <w:rPr>
          <w:b/>
          <w:lang w:eastAsia="es-ES"/>
        </w:rPr>
        <w:fldChar w:fldCharType="begin"/>
      </w:r>
      <w:r w:rsidRPr="00FA5F27">
        <w:rPr>
          <w:lang w:eastAsia="es-ES"/>
        </w:rPr>
        <w:instrText xml:space="preserve"> SEQ Figure \* ARABIC </w:instrText>
      </w:r>
      <w:r w:rsidRPr="00FA5F27">
        <w:rPr>
          <w:b/>
          <w:lang w:eastAsia="es-ES"/>
        </w:rPr>
        <w:fldChar w:fldCharType="separate"/>
      </w:r>
      <w:r w:rsidR="00696297">
        <w:rPr>
          <w:noProof/>
          <w:lang w:eastAsia="es-ES"/>
        </w:rPr>
        <w:t>3</w:t>
      </w:r>
      <w:r w:rsidRPr="00FA5F27">
        <w:rPr>
          <w:b/>
          <w:lang w:eastAsia="es-ES"/>
        </w:rPr>
        <w:fldChar w:fldCharType="end"/>
      </w:r>
      <w:r w:rsidRPr="00FA5F27">
        <w:rPr>
          <w:lang w:eastAsia="es-ES"/>
        </w:rPr>
        <w:t xml:space="preserve">. </w:t>
      </w:r>
      <w:r w:rsidR="002D6259" w:rsidRPr="002D6259">
        <w:rPr>
          <w:lang w:eastAsia="es-ES"/>
        </w:rPr>
        <w:t>Fuel</w:t>
      </w:r>
      <w:r w:rsidR="00F54DE8" w:rsidRPr="002D6259">
        <w:rPr>
          <w:lang w:eastAsia="es-ES"/>
        </w:rPr>
        <w:t xml:space="preserve"> arrangement for three core candidates.</w:t>
      </w:r>
    </w:p>
    <w:p w14:paraId="5F025B92" w14:textId="77777777" w:rsidR="00F576F2" w:rsidRDefault="00F576F2" w:rsidP="00D13EB3">
      <w:pPr>
        <w:pStyle w:val="BodyText"/>
        <w:ind w:firstLine="0"/>
      </w:pPr>
    </w:p>
    <w:p w14:paraId="062219D1" w14:textId="1A820359" w:rsidR="00F576F2" w:rsidRDefault="00F576F2" w:rsidP="00F576F2">
      <w:pPr>
        <w:pStyle w:val="BodyText"/>
        <w:ind w:firstLine="0"/>
      </w:pPr>
      <w:r>
        <w:t>TABLE 2.</w:t>
      </w:r>
      <w:r>
        <w:tab/>
      </w:r>
      <w:r w:rsidRPr="00F576F2">
        <w:t>CORE PARAMETERS OF THE THREE CORE CANDIDATES</w:t>
      </w:r>
    </w:p>
    <w:p w14:paraId="65452BDC" w14:textId="77777777" w:rsidR="00F576F2" w:rsidRDefault="00F576F2" w:rsidP="00F576F2">
      <w:pPr>
        <w:pStyle w:val="BodyText"/>
        <w:ind w:firstLine="0"/>
      </w:pPr>
    </w:p>
    <w:tbl>
      <w:tblPr>
        <w:tblStyle w:val="TableGrid"/>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94"/>
        <w:gridCol w:w="894"/>
        <w:gridCol w:w="1128"/>
        <w:gridCol w:w="1128"/>
      </w:tblGrid>
      <w:tr w:rsidR="00DE42B6" w:rsidRPr="00046EEE" w14:paraId="74B29A2E" w14:textId="77777777" w:rsidTr="00D27B83">
        <w:trPr>
          <w:trHeight w:val="227"/>
          <w:jc w:val="center"/>
        </w:trPr>
        <w:tc>
          <w:tcPr>
            <w:tcW w:w="0" w:type="auto"/>
            <w:tcBorders>
              <w:top w:val="single" w:sz="4" w:space="0" w:color="auto"/>
              <w:bottom w:val="single" w:sz="4" w:space="0" w:color="auto"/>
            </w:tcBorders>
            <w:vAlign w:val="center"/>
          </w:tcPr>
          <w:p w14:paraId="29B074F5" w14:textId="77777777" w:rsidR="00DE42B6" w:rsidRPr="00046EEE" w:rsidRDefault="00DE42B6" w:rsidP="00D27B83">
            <w:pPr>
              <w:pStyle w:val="Table"/>
              <w:spacing w:line="260" w:lineRule="atLeast"/>
              <w:rPr>
                <w:b/>
                <w:sz w:val="20"/>
                <w:szCs w:val="20"/>
              </w:rPr>
            </w:pPr>
            <w:r w:rsidRPr="00046EEE">
              <w:rPr>
                <w:b/>
                <w:sz w:val="20"/>
                <w:szCs w:val="20"/>
              </w:rPr>
              <w:t>Parameters</w:t>
            </w:r>
          </w:p>
        </w:tc>
        <w:tc>
          <w:tcPr>
            <w:tcW w:w="0" w:type="auto"/>
            <w:tcBorders>
              <w:top w:val="single" w:sz="4" w:space="0" w:color="auto"/>
              <w:bottom w:val="single" w:sz="4" w:space="0" w:color="auto"/>
            </w:tcBorders>
          </w:tcPr>
          <w:p w14:paraId="648136DB" w14:textId="77777777" w:rsidR="00DE42B6" w:rsidRPr="00046EEE" w:rsidRDefault="00DE42B6" w:rsidP="00D27B83">
            <w:pPr>
              <w:pStyle w:val="Table"/>
              <w:spacing w:line="260" w:lineRule="atLeast"/>
              <w:jc w:val="center"/>
              <w:rPr>
                <w:b/>
                <w:sz w:val="20"/>
                <w:szCs w:val="20"/>
              </w:rPr>
            </w:pPr>
            <w:r w:rsidRPr="00046EEE">
              <w:rPr>
                <w:b/>
                <w:sz w:val="20"/>
                <w:szCs w:val="20"/>
              </w:rPr>
              <w:t>Type I</w:t>
            </w:r>
          </w:p>
        </w:tc>
        <w:tc>
          <w:tcPr>
            <w:tcW w:w="0" w:type="auto"/>
            <w:tcBorders>
              <w:top w:val="single" w:sz="4" w:space="0" w:color="auto"/>
              <w:bottom w:val="single" w:sz="4" w:space="0" w:color="auto"/>
            </w:tcBorders>
          </w:tcPr>
          <w:p w14:paraId="4C2252D7" w14:textId="77777777" w:rsidR="00DE42B6" w:rsidRPr="00046EEE" w:rsidRDefault="00DE42B6" w:rsidP="00D27B83">
            <w:pPr>
              <w:pStyle w:val="Table"/>
              <w:spacing w:line="260" w:lineRule="atLeast"/>
              <w:jc w:val="center"/>
              <w:rPr>
                <w:b/>
                <w:sz w:val="20"/>
                <w:szCs w:val="20"/>
              </w:rPr>
            </w:pPr>
            <w:r w:rsidRPr="00046EEE">
              <w:rPr>
                <w:b/>
                <w:sz w:val="20"/>
                <w:szCs w:val="20"/>
              </w:rPr>
              <w:t>Type II</w:t>
            </w:r>
          </w:p>
        </w:tc>
        <w:tc>
          <w:tcPr>
            <w:tcW w:w="0" w:type="auto"/>
            <w:tcBorders>
              <w:top w:val="single" w:sz="4" w:space="0" w:color="auto"/>
              <w:bottom w:val="single" w:sz="4" w:space="0" w:color="auto"/>
            </w:tcBorders>
            <w:vAlign w:val="center"/>
          </w:tcPr>
          <w:p w14:paraId="5BD0CF6E" w14:textId="77777777" w:rsidR="00DE42B6" w:rsidRPr="00046EEE" w:rsidRDefault="00DE42B6" w:rsidP="00D27B83">
            <w:pPr>
              <w:pStyle w:val="Table"/>
              <w:spacing w:line="260" w:lineRule="atLeast"/>
              <w:jc w:val="center"/>
              <w:rPr>
                <w:b/>
                <w:sz w:val="20"/>
                <w:szCs w:val="20"/>
              </w:rPr>
            </w:pPr>
            <w:r w:rsidRPr="00046EEE">
              <w:rPr>
                <w:b/>
                <w:sz w:val="20"/>
                <w:szCs w:val="20"/>
              </w:rPr>
              <w:t>Type III</w:t>
            </w:r>
          </w:p>
        </w:tc>
      </w:tr>
      <w:tr w:rsidR="00DE42B6" w:rsidRPr="00046EEE" w14:paraId="656AC345" w14:textId="77777777" w:rsidTr="00DE42B6">
        <w:trPr>
          <w:trHeight w:val="227"/>
          <w:jc w:val="center"/>
        </w:trPr>
        <w:tc>
          <w:tcPr>
            <w:tcW w:w="0" w:type="auto"/>
            <w:tcBorders>
              <w:top w:val="single" w:sz="4" w:space="0" w:color="auto"/>
              <w:bottom w:val="nil"/>
            </w:tcBorders>
          </w:tcPr>
          <w:p w14:paraId="02D1D425" w14:textId="77777777" w:rsidR="00DE42B6" w:rsidRPr="00046EEE" w:rsidRDefault="00DE42B6" w:rsidP="00D27B83">
            <w:pPr>
              <w:pStyle w:val="Table"/>
              <w:spacing w:line="260" w:lineRule="atLeast"/>
              <w:rPr>
                <w:sz w:val="20"/>
                <w:szCs w:val="20"/>
              </w:rPr>
            </w:pPr>
            <w:r w:rsidRPr="00046EEE">
              <w:rPr>
                <w:sz w:val="20"/>
                <w:szCs w:val="20"/>
              </w:rPr>
              <w:t>Enrichment zones</w:t>
            </w:r>
          </w:p>
        </w:tc>
        <w:tc>
          <w:tcPr>
            <w:tcW w:w="0" w:type="auto"/>
            <w:tcBorders>
              <w:top w:val="single" w:sz="4" w:space="0" w:color="auto"/>
              <w:bottom w:val="nil"/>
            </w:tcBorders>
          </w:tcPr>
          <w:p w14:paraId="72AF7E63" w14:textId="77777777" w:rsidR="00DE42B6" w:rsidRPr="00046EEE" w:rsidRDefault="00DE42B6" w:rsidP="00D27B83">
            <w:pPr>
              <w:pStyle w:val="Table"/>
              <w:spacing w:line="260" w:lineRule="atLeast"/>
              <w:jc w:val="center"/>
              <w:rPr>
                <w:sz w:val="20"/>
                <w:szCs w:val="20"/>
              </w:rPr>
            </w:pPr>
            <w:r w:rsidRPr="00046EEE">
              <w:rPr>
                <w:sz w:val="20"/>
                <w:szCs w:val="20"/>
              </w:rPr>
              <w:t>1</w:t>
            </w:r>
          </w:p>
        </w:tc>
        <w:tc>
          <w:tcPr>
            <w:tcW w:w="0" w:type="auto"/>
            <w:tcBorders>
              <w:top w:val="single" w:sz="4" w:space="0" w:color="auto"/>
              <w:bottom w:val="nil"/>
            </w:tcBorders>
          </w:tcPr>
          <w:p w14:paraId="51909174" w14:textId="77777777" w:rsidR="00DE42B6" w:rsidRPr="00046EEE" w:rsidRDefault="00DE42B6" w:rsidP="00D27B83">
            <w:pPr>
              <w:pStyle w:val="Table"/>
              <w:spacing w:line="260" w:lineRule="atLeast"/>
              <w:jc w:val="center"/>
              <w:rPr>
                <w:sz w:val="20"/>
                <w:szCs w:val="20"/>
              </w:rPr>
            </w:pPr>
            <w:r w:rsidRPr="00046EEE">
              <w:rPr>
                <w:sz w:val="20"/>
                <w:szCs w:val="20"/>
              </w:rPr>
              <w:t>2</w:t>
            </w:r>
          </w:p>
        </w:tc>
        <w:tc>
          <w:tcPr>
            <w:tcW w:w="0" w:type="auto"/>
            <w:tcBorders>
              <w:top w:val="single" w:sz="4" w:space="0" w:color="auto"/>
              <w:bottom w:val="nil"/>
            </w:tcBorders>
          </w:tcPr>
          <w:p w14:paraId="3228E1CA" w14:textId="77777777" w:rsidR="00DE42B6" w:rsidRPr="00046EEE" w:rsidRDefault="00DE42B6" w:rsidP="00D27B83">
            <w:pPr>
              <w:pStyle w:val="Table"/>
              <w:spacing w:line="260" w:lineRule="atLeast"/>
              <w:jc w:val="center"/>
              <w:rPr>
                <w:sz w:val="20"/>
                <w:szCs w:val="20"/>
              </w:rPr>
            </w:pPr>
            <w:r w:rsidRPr="00046EEE">
              <w:rPr>
                <w:sz w:val="20"/>
                <w:szCs w:val="20"/>
              </w:rPr>
              <w:t>2</w:t>
            </w:r>
          </w:p>
        </w:tc>
      </w:tr>
      <w:tr w:rsidR="00DE42B6" w:rsidRPr="00046EEE" w14:paraId="21CFE661" w14:textId="77777777" w:rsidTr="00DE42B6">
        <w:trPr>
          <w:trHeight w:val="227"/>
          <w:jc w:val="center"/>
        </w:trPr>
        <w:tc>
          <w:tcPr>
            <w:tcW w:w="0" w:type="auto"/>
            <w:tcBorders>
              <w:top w:val="nil"/>
              <w:bottom w:val="nil"/>
            </w:tcBorders>
          </w:tcPr>
          <w:p w14:paraId="4BD21372" w14:textId="4A4F147E" w:rsidR="00DE42B6" w:rsidRPr="00046EEE" w:rsidRDefault="00DE42B6" w:rsidP="00D27B83">
            <w:pPr>
              <w:pStyle w:val="Table"/>
              <w:spacing w:line="260" w:lineRule="atLeast"/>
              <w:rPr>
                <w:sz w:val="20"/>
                <w:szCs w:val="20"/>
              </w:rPr>
            </w:pPr>
            <w:r w:rsidRPr="00046EEE">
              <w:rPr>
                <w:sz w:val="20"/>
                <w:szCs w:val="20"/>
              </w:rPr>
              <w:t>U</w:t>
            </w:r>
            <w:r w:rsidRPr="00046EEE">
              <w:rPr>
                <w:sz w:val="20"/>
                <w:szCs w:val="20"/>
                <w:vertAlign w:val="superscript"/>
              </w:rPr>
              <w:t xml:space="preserve">235 </w:t>
            </w:r>
            <w:r w:rsidRPr="00046EEE">
              <w:rPr>
                <w:sz w:val="20"/>
                <w:szCs w:val="20"/>
              </w:rPr>
              <w:t>enrichment</w:t>
            </w:r>
            <w:r>
              <w:rPr>
                <w:sz w:val="20"/>
                <w:szCs w:val="20"/>
              </w:rPr>
              <w:t>, %</w:t>
            </w:r>
          </w:p>
        </w:tc>
        <w:tc>
          <w:tcPr>
            <w:tcW w:w="0" w:type="auto"/>
            <w:tcBorders>
              <w:top w:val="nil"/>
              <w:bottom w:val="nil"/>
            </w:tcBorders>
          </w:tcPr>
          <w:p w14:paraId="3206BD32" w14:textId="77777777" w:rsidR="00DE42B6" w:rsidRPr="00046EEE" w:rsidRDefault="00DE42B6" w:rsidP="00D27B83">
            <w:pPr>
              <w:pStyle w:val="Table"/>
              <w:spacing w:line="260" w:lineRule="atLeast"/>
              <w:jc w:val="center"/>
              <w:rPr>
                <w:sz w:val="20"/>
                <w:szCs w:val="20"/>
              </w:rPr>
            </w:pPr>
            <w:r w:rsidRPr="00046EEE">
              <w:rPr>
                <w:sz w:val="20"/>
                <w:szCs w:val="20"/>
              </w:rPr>
              <w:t>11.</w:t>
            </w:r>
            <w:r>
              <w:rPr>
                <w:sz w:val="20"/>
                <w:szCs w:val="20"/>
              </w:rPr>
              <w:t>5</w:t>
            </w:r>
          </w:p>
        </w:tc>
        <w:tc>
          <w:tcPr>
            <w:tcW w:w="0" w:type="auto"/>
            <w:tcBorders>
              <w:top w:val="nil"/>
              <w:bottom w:val="nil"/>
            </w:tcBorders>
          </w:tcPr>
          <w:p w14:paraId="4794E25B" w14:textId="77777777" w:rsidR="00DE42B6" w:rsidRPr="00046EEE" w:rsidRDefault="00DE42B6" w:rsidP="00D27B83">
            <w:pPr>
              <w:pStyle w:val="Table"/>
              <w:spacing w:line="260" w:lineRule="atLeast"/>
              <w:jc w:val="center"/>
              <w:rPr>
                <w:sz w:val="20"/>
                <w:szCs w:val="20"/>
              </w:rPr>
            </w:pPr>
            <w:r w:rsidRPr="00046EEE">
              <w:rPr>
                <w:sz w:val="20"/>
                <w:szCs w:val="20"/>
              </w:rPr>
              <w:t>10.0/13.</w:t>
            </w:r>
            <w:r>
              <w:rPr>
                <w:sz w:val="20"/>
                <w:szCs w:val="20"/>
              </w:rPr>
              <w:t>0</w:t>
            </w:r>
          </w:p>
        </w:tc>
        <w:tc>
          <w:tcPr>
            <w:tcW w:w="0" w:type="auto"/>
            <w:tcBorders>
              <w:top w:val="nil"/>
              <w:bottom w:val="nil"/>
            </w:tcBorders>
          </w:tcPr>
          <w:p w14:paraId="35BCA9EE" w14:textId="77777777" w:rsidR="00DE42B6" w:rsidRPr="00046EEE" w:rsidRDefault="00DE42B6" w:rsidP="00D27B83">
            <w:pPr>
              <w:pStyle w:val="Table"/>
              <w:spacing w:line="260" w:lineRule="atLeast"/>
              <w:jc w:val="center"/>
              <w:rPr>
                <w:sz w:val="20"/>
                <w:szCs w:val="20"/>
              </w:rPr>
            </w:pPr>
            <w:r w:rsidRPr="00046EEE">
              <w:rPr>
                <w:sz w:val="20"/>
                <w:szCs w:val="20"/>
              </w:rPr>
              <w:t>10.0/13.</w:t>
            </w:r>
            <w:r>
              <w:rPr>
                <w:sz w:val="20"/>
                <w:szCs w:val="20"/>
              </w:rPr>
              <w:t>0</w:t>
            </w:r>
          </w:p>
        </w:tc>
      </w:tr>
      <w:tr w:rsidR="00DE42B6" w:rsidRPr="00046EEE" w14:paraId="37871ABE" w14:textId="77777777" w:rsidTr="00DE42B6">
        <w:trPr>
          <w:trHeight w:val="227"/>
          <w:jc w:val="center"/>
        </w:trPr>
        <w:tc>
          <w:tcPr>
            <w:tcW w:w="0" w:type="auto"/>
            <w:tcBorders>
              <w:top w:val="nil"/>
              <w:bottom w:val="nil"/>
            </w:tcBorders>
          </w:tcPr>
          <w:p w14:paraId="3FC5E5B0" w14:textId="7AA1E691" w:rsidR="00DE42B6" w:rsidRPr="00046EEE" w:rsidRDefault="00DE42B6" w:rsidP="00D27B83">
            <w:pPr>
              <w:pStyle w:val="Table"/>
              <w:spacing w:line="260" w:lineRule="atLeast"/>
              <w:rPr>
                <w:sz w:val="20"/>
                <w:szCs w:val="20"/>
              </w:rPr>
            </w:pPr>
            <w:r w:rsidRPr="00046EEE">
              <w:rPr>
                <w:sz w:val="20"/>
                <w:szCs w:val="20"/>
              </w:rPr>
              <w:t>Axial zoning (top and bottom)</w:t>
            </w:r>
            <w:r>
              <w:rPr>
                <w:sz w:val="20"/>
                <w:szCs w:val="20"/>
              </w:rPr>
              <w:t>, cm</w:t>
            </w:r>
          </w:p>
        </w:tc>
        <w:tc>
          <w:tcPr>
            <w:tcW w:w="0" w:type="auto"/>
            <w:tcBorders>
              <w:top w:val="nil"/>
              <w:bottom w:val="nil"/>
            </w:tcBorders>
          </w:tcPr>
          <w:p w14:paraId="5357BA32" w14:textId="77777777" w:rsidR="00DE42B6" w:rsidRPr="00046EEE" w:rsidRDefault="00DE42B6" w:rsidP="00D27B83">
            <w:pPr>
              <w:pStyle w:val="Table"/>
              <w:spacing w:line="260" w:lineRule="atLeast"/>
              <w:jc w:val="center"/>
              <w:rPr>
                <w:sz w:val="20"/>
                <w:szCs w:val="20"/>
              </w:rPr>
            </w:pPr>
            <w:r w:rsidRPr="00046EEE">
              <w:rPr>
                <w:sz w:val="20"/>
                <w:szCs w:val="20"/>
              </w:rPr>
              <w:t>--</w:t>
            </w:r>
          </w:p>
        </w:tc>
        <w:tc>
          <w:tcPr>
            <w:tcW w:w="0" w:type="auto"/>
            <w:tcBorders>
              <w:top w:val="nil"/>
              <w:bottom w:val="nil"/>
            </w:tcBorders>
          </w:tcPr>
          <w:p w14:paraId="678EF22B" w14:textId="77777777" w:rsidR="00DE42B6" w:rsidRPr="00046EEE" w:rsidRDefault="00DE42B6" w:rsidP="00D27B83">
            <w:pPr>
              <w:pStyle w:val="Table"/>
              <w:spacing w:line="260" w:lineRule="atLeast"/>
              <w:jc w:val="center"/>
              <w:rPr>
                <w:sz w:val="20"/>
                <w:szCs w:val="20"/>
              </w:rPr>
            </w:pPr>
            <w:r w:rsidRPr="00046EEE">
              <w:rPr>
                <w:sz w:val="20"/>
                <w:szCs w:val="20"/>
              </w:rPr>
              <w:t>--</w:t>
            </w:r>
          </w:p>
        </w:tc>
        <w:tc>
          <w:tcPr>
            <w:tcW w:w="0" w:type="auto"/>
            <w:tcBorders>
              <w:top w:val="nil"/>
              <w:bottom w:val="nil"/>
            </w:tcBorders>
          </w:tcPr>
          <w:p w14:paraId="71ED4BF0" w14:textId="77777777" w:rsidR="00DE42B6" w:rsidRPr="00046EEE" w:rsidRDefault="00DE42B6" w:rsidP="00D27B83">
            <w:pPr>
              <w:pStyle w:val="Table"/>
              <w:spacing w:line="260" w:lineRule="atLeast"/>
              <w:jc w:val="center"/>
              <w:rPr>
                <w:sz w:val="20"/>
                <w:szCs w:val="20"/>
              </w:rPr>
            </w:pPr>
            <w:r>
              <w:rPr>
                <w:sz w:val="20"/>
                <w:szCs w:val="20"/>
              </w:rPr>
              <w:t>10</w:t>
            </w:r>
          </w:p>
        </w:tc>
      </w:tr>
      <w:tr w:rsidR="00DE42B6" w:rsidRPr="00046EEE" w14:paraId="0E1024D5" w14:textId="77777777" w:rsidTr="00DE42B6">
        <w:trPr>
          <w:trHeight w:val="227"/>
          <w:jc w:val="center"/>
        </w:trPr>
        <w:tc>
          <w:tcPr>
            <w:tcW w:w="0" w:type="auto"/>
            <w:tcBorders>
              <w:top w:val="nil"/>
              <w:bottom w:val="nil"/>
            </w:tcBorders>
          </w:tcPr>
          <w:p w14:paraId="5519BBDF" w14:textId="77777777" w:rsidR="00DE42B6" w:rsidRPr="00046EEE" w:rsidRDefault="00DE42B6" w:rsidP="00D27B83">
            <w:pPr>
              <w:pStyle w:val="Table"/>
              <w:spacing w:line="260" w:lineRule="atLeast"/>
              <w:rPr>
                <w:sz w:val="20"/>
                <w:szCs w:val="20"/>
              </w:rPr>
            </w:pPr>
            <w:r>
              <w:rPr>
                <w:sz w:val="20"/>
                <w:szCs w:val="20"/>
              </w:rPr>
              <w:t xml:space="preserve"># </w:t>
            </w:r>
            <w:r w:rsidRPr="00046EEE">
              <w:rPr>
                <w:sz w:val="20"/>
                <w:szCs w:val="20"/>
              </w:rPr>
              <w:t xml:space="preserve">inner/outer/total FAs </w:t>
            </w:r>
          </w:p>
        </w:tc>
        <w:tc>
          <w:tcPr>
            <w:tcW w:w="0" w:type="auto"/>
            <w:tcBorders>
              <w:top w:val="nil"/>
              <w:bottom w:val="nil"/>
            </w:tcBorders>
          </w:tcPr>
          <w:p w14:paraId="2E48A484" w14:textId="77777777" w:rsidR="00DE42B6" w:rsidRPr="00046EEE" w:rsidRDefault="00DE42B6" w:rsidP="00D27B83">
            <w:pPr>
              <w:pStyle w:val="Table"/>
              <w:spacing w:line="260" w:lineRule="atLeast"/>
              <w:jc w:val="center"/>
              <w:rPr>
                <w:sz w:val="20"/>
                <w:szCs w:val="20"/>
              </w:rPr>
            </w:pPr>
            <w:r w:rsidRPr="00046EEE">
              <w:rPr>
                <w:sz w:val="20"/>
                <w:szCs w:val="20"/>
              </w:rPr>
              <w:t>--/--/</w:t>
            </w:r>
            <w:r>
              <w:rPr>
                <w:sz w:val="20"/>
                <w:szCs w:val="20"/>
              </w:rPr>
              <w:t>151</w:t>
            </w:r>
          </w:p>
        </w:tc>
        <w:tc>
          <w:tcPr>
            <w:tcW w:w="0" w:type="auto"/>
            <w:tcBorders>
              <w:top w:val="nil"/>
              <w:bottom w:val="nil"/>
            </w:tcBorders>
          </w:tcPr>
          <w:p w14:paraId="33DC2396" w14:textId="77777777" w:rsidR="00DE42B6" w:rsidRPr="00046EEE" w:rsidRDefault="00DE42B6" w:rsidP="00D27B83">
            <w:pPr>
              <w:pStyle w:val="Table"/>
              <w:spacing w:line="260" w:lineRule="atLeast"/>
              <w:jc w:val="center"/>
              <w:rPr>
                <w:sz w:val="20"/>
                <w:szCs w:val="20"/>
              </w:rPr>
            </w:pPr>
            <w:r>
              <w:rPr>
                <w:sz w:val="20"/>
                <w:szCs w:val="20"/>
              </w:rPr>
              <w:t>37</w:t>
            </w:r>
            <w:r w:rsidRPr="00046EEE">
              <w:rPr>
                <w:sz w:val="20"/>
                <w:szCs w:val="20"/>
              </w:rPr>
              <w:t>/</w:t>
            </w:r>
            <w:r>
              <w:rPr>
                <w:sz w:val="20"/>
                <w:szCs w:val="20"/>
              </w:rPr>
              <w:t>114</w:t>
            </w:r>
            <w:r w:rsidRPr="00046EEE">
              <w:rPr>
                <w:sz w:val="20"/>
                <w:szCs w:val="20"/>
              </w:rPr>
              <w:t>/</w:t>
            </w:r>
            <w:r>
              <w:rPr>
                <w:sz w:val="20"/>
                <w:szCs w:val="20"/>
              </w:rPr>
              <w:t>151</w:t>
            </w:r>
          </w:p>
        </w:tc>
        <w:tc>
          <w:tcPr>
            <w:tcW w:w="0" w:type="auto"/>
            <w:tcBorders>
              <w:top w:val="nil"/>
              <w:bottom w:val="nil"/>
            </w:tcBorders>
          </w:tcPr>
          <w:p w14:paraId="1F4DFDD9" w14:textId="77777777" w:rsidR="00DE42B6" w:rsidRPr="00046EEE" w:rsidRDefault="00DE42B6" w:rsidP="00D27B83">
            <w:pPr>
              <w:pStyle w:val="Table"/>
              <w:spacing w:line="260" w:lineRule="atLeast"/>
              <w:jc w:val="center"/>
              <w:rPr>
                <w:sz w:val="20"/>
                <w:szCs w:val="20"/>
              </w:rPr>
            </w:pPr>
            <w:r w:rsidRPr="00046EEE">
              <w:rPr>
                <w:sz w:val="20"/>
                <w:szCs w:val="20"/>
              </w:rPr>
              <w:t>37/</w:t>
            </w:r>
            <w:r>
              <w:rPr>
                <w:sz w:val="20"/>
                <w:szCs w:val="20"/>
              </w:rPr>
              <w:t>114</w:t>
            </w:r>
            <w:r w:rsidRPr="00046EEE">
              <w:rPr>
                <w:sz w:val="20"/>
                <w:szCs w:val="20"/>
              </w:rPr>
              <w:t>/</w:t>
            </w:r>
            <w:r>
              <w:rPr>
                <w:sz w:val="20"/>
                <w:szCs w:val="20"/>
              </w:rPr>
              <w:t>151</w:t>
            </w:r>
          </w:p>
        </w:tc>
      </w:tr>
      <w:tr w:rsidR="00DE42B6" w:rsidRPr="00046EEE" w14:paraId="6F9A09FB" w14:textId="77777777" w:rsidTr="00DE42B6">
        <w:trPr>
          <w:trHeight w:val="227"/>
          <w:jc w:val="center"/>
        </w:trPr>
        <w:tc>
          <w:tcPr>
            <w:tcW w:w="0" w:type="auto"/>
            <w:tcBorders>
              <w:top w:val="nil"/>
            </w:tcBorders>
          </w:tcPr>
          <w:p w14:paraId="1C61BF4C" w14:textId="2F590A90" w:rsidR="00DE42B6" w:rsidRPr="00046EEE" w:rsidRDefault="00DE42B6" w:rsidP="00D27B83">
            <w:pPr>
              <w:pStyle w:val="Table"/>
              <w:spacing w:line="260" w:lineRule="atLeast"/>
              <w:rPr>
                <w:sz w:val="20"/>
                <w:szCs w:val="20"/>
              </w:rPr>
            </w:pPr>
            <w:r w:rsidRPr="00046EEE">
              <w:rPr>
                <w:sz w:val="20"/>
                <w:szCs w:val="20"/>
              </w:rPr>
              <w:t>Av</w:t>
            </w:r>
            <w:r>
              <w:rPr>
                <w:sz w:val="20"/>
                <w:szCs w:val="20"/>
              </w:rPr>
              <w:t>g.</w:t>
            </w:r>
            <w:r w:rsidRPr="00046EEE">
              <w:rPr>
                <w:sz w:val="20"/>
                <w:szCs w:val="20"/>
              </w:rPr>
              <w:t xml:space="preserve"> U</w:t>
            </w:r>
            <w:r w:rsidRPr="00046EEE">
              <w:rPr>
                <w:sz w:val="20"/>
                <w:szCs w:val="20"/>
                <w:vertAlign w:val="superscript"/>
              </w:rPr>
              <w:t xml:space="preserve">235 </w:t>
            </w:r>
            <w:r w:rsidRPr="00046EEE">
              <w:rPr>
                <w:sz w:val="20"/>
                <w:szCs w:val="20"/>
              </w:rPr>
              <w:t>enrichment</w:t>
            </w:r>
            <w:r>
              <w:rPr>
                <w:sz w:val="20"/>
                <w:szCs w:val="20"/>
              </w:rPr>
              <w:t>, %</w:t>
            </w:r>
          </w:p>
        </w:tc>
        <w:tc>
          <w:tcPr>
            <w:tcW w:w="0" w:type="auto"/>
            <w:tcBorders>
              <w:top w:val="nil"/>
            </w:tcBorders>
          </w:tcPr>
          <w:p w14:paraId="79A353AC" w14:textId="20EE93DA" w:rsidR="00DE42B6" w:rsidRPr="00046EEE" w:rsidRDefault="00DE42B6" w:rsidP="00D27B83">
            <w:pPr>
              <w:pStyle w:val="Table"/>
              <w:spacing w:line="260" w:lineRule="atLeast"/>
              <w:jc w:val="center"/>
              <w:rPr>
                <w:sz w:val="20"/>
                <w:szCs w:val="20"/>
              </w:rPr>
            </w:pPr>
            <w:r w:rsidRPr="00046EEE">
              <w:rPr>
                <w:sz w:val="20"/>
                <w:szCs w:val="20"/>
              </w:rPr>
              <w:t>11.</w:t>
            </w:r>
            <w:r>
              <w:rPr>
                <w:sz w:val="20"/>
                <w:szCs w:val="20"/>
              </w:rPr>
              <w:t>50</w:t>
            </w:r>
          </w:p>
        </w:tc>
        <w:tc>
          <w:tcPr>
            <w:tcW w:w="0" w:type="auto"/>
            <w:tcBorders>
              <w:top w:val="nil"/>
            </w:tcBorders>
          </w:tcPr>
          <w:p w14:paraId="09CDD39E" w14:textId="6204004B" w:rsidR="00DE42B6" w:rsidRPr="00046EEE" w:rsidRDefault="00DE42B6" w:rsidP="00D27B83">
            <w:pPr>
              <w:pStyle w:val="Table"/>
              <w:spacing w:line="260" w:lineRule="atLeast"/>
              <w:jc w:val="center"/>
              <w:rPr>
                <w:sz w:val="20"/>
                <w:szCs w:val="20"/>
              </w:rPr>
            </w:pPr>
            <w:r w:rsidRPr="00046EEE">
              <w:rPr>
                <w:sz w:val="20"/>
                <w:szCs w:val="20"/>
              </w:rPr>
              <w:t>12.</w:t>
            </w:r>
            <w:r>
              <w:rPr>
                <w:sz w:val="20"/>
                <w:szCs w:val="20"/>
              </w:rPr>
              <w:t>26</w:t>
            </w:r>
          </w:p>
        </w:tc>
        <w:tc>
          <w:tcPr>
            <w:tcW w:w="0" w:type="auto"/>
            <w:tcBorders>
              <w:top w:val="nil"/>
            </w:tcBorders>
          </w:tcPr>
          <w:p w14:paraId="383BF7B1" w14:textId="394ED92E" w:rsidR="00DE42B6" w:rsidRPr="00046EEE" w:rsidRDefault="00DE42B6" w:rsidP="00D27B83">
            <w:pPr>
              <w:pStyle w:val="Table"/>
              <w:spacing w:line="260" w:lineRule="atLeast"/>
              <w:jc w:val="center"/>
              <w:rPr>
                <w:sz w:val="20"/>
                <w:szCs w:val="20"/>
              </w:rPr>
            </w:pPr>
            <w:r w:rsidRPr="00046EEE">
              <w:rPr>
                <w:sz w:val="20"/>
                <w:szCs w:val="20"/>
              </w:rPr>
              <w:t>12.</w:t>
            </w:r>
            <w:r>
              <w:rPr>
                <w:sz w:val="20"/>
                <w:szCs w:val="20"/>
              </w:rPr>
              <w:t>41</w:t>
            </w:r>
          </w:p>
        </w:tc>
      </w:tr>
    </w:tbl>
    <w:p w14:paraId="037DC35F" w14:textId="77777777" w:rsidR="00F576F2" w:rsidRDefault="00F576F2" w:rsidP="00F576F2">
      <w:pPr>
        <w:pStyle w:val="BodyText"/>
      </w:pPr>
    </w:p>
    <w:p w14:paraId="1D65FCF3" w14:textId="720C5F26" w:rsidR="00045D5A" w:rsidRDefault="00045D5A" w:rsidP="001D378E">
      <w:pPr>
        <w:pStyle w:val="BodyText"/>
      </w:pPr>
      <w:r w:rsidRPr="00EB7478">
        <w:t>Fig</w:t>
      </w:r>
      <w:r>
        <w:t>.</w:t>
      </w:r>
      <w:r w:rsidRPr="00EB7478">
        <w:t xml:space="preserve"> </w:t>
      </w:r>
      <w:r>
        <w:t>4</w:t>
      </w:r>
      <w:r w:rsidRPr="00EB7478">
        <w:t xml:space="preserve"> illustrates the behaviours of </w:t>
      </w:r>
      <w:proofErr w:type="spellStart"/>
      <w:r w:rsidRPr="0089254E">
        <w:rPr>
          <w:i/>
          <w:iCs/>
        </w:rPr>
        <w:t>k</w:t>
      </w:r>
      <w:r w:rsidRPr="0089254E">
        <w:rPr>
          <w:vertAlign w:val="subscript"/>
        </w:rPr>
        <w:t>eff</w:t>
      </w:r>
      <w:proofErr w:type="spellEnd"/>
      <w:r w:rsidRPr="00EB7478">
        <w:t xml:space="preserve"> and the conversion ratio over time, showing that all candidates can achieve a lifetime over </w:t>
      </w:r>
      <w:r>
        <w:t>15</w:t>
      </w:r>
      <w:r w:rsidRPr="00EB7478">
        <w:t xml:space="preserve"> EFPYs. The 2D R–Z power profiles (normalized so that the average power equals 1.0 over the active core region) at the beginning</w:t>
      </w:r>
      <w:r>
        <w:t>-</w:t>
      </w:r>
      <w:r w:rsidRPr="00EB7478">
        <w:t>of</w:t>
      </w:r>
      <w:r>
        <w:t>-</w:t>
      </w:r>
      <w:r w:rsidRPr="00EB7478">
        <w:t xml:space="preserve">cycle (BOC), middle-of-cycle (MOC, t = </w:t>
      </w:r>
      <w:r>
        <w:t xml:space="preserve">8 </w:t>
      </w:r>
      <w:r w:rsidRPr="00EB7478">
        <w:t xml:space="preserve">EFPY), and end-of-cycle (EOC, t = </w:t>
      </w:r>
      <w:r>
        <w:t>15</w:t>
      </w:r>
      <w:r w:rsidRPr="00EB7478">
        <w:t xml:space="preserve"> EFPY) for the three core candidates are as shown in Fig</w:t>
      </w:r>
      <w:r>
        <w:t>.</w:t>
      </w:r>
      <w:r w:rsidRPr="00EB7478">
        <w:t xml:space="preserve"> </w:t>
      </w:r>
      <w:r>
        <w:t>5</w:t>
      </w:r>
      <w:r w:rsidRPr="00EB7478">
        <w:t xml:space="preserve">. The Type I core has the largest fertile </w:t>
      </w:r>
      <w:r w:rsidRPr="005E5ED0">
        <w:rPr>
          <w:vertAlign w:val="superscript"/>
        </w:rPr>
        <w:t>238</w:t>
      </w:r>
      <w:r w:rsidRPr="00EB7478">
        <w:t xml:space="preserve">U inventory and as a uniform </w:t>
      </w:r>
      <w:r>
        <w:t>enrichment</w:t>
      </w:r>
      <w:r w:rsidRPr="00EB7478">
        <w:t>, the most cantered-peaked power distribution with power peaking factor of approximately 1.</w:t>
      </w:r>
      <w:r>
        <w:t>76</w:t>
      </w:r>
      <w:r w:rsidRPr="00EB7478">
        <w:t xml:space="preserve">. This low-leakage design results in the highest conversion ratio. Type </w:t>
      </w:r>
      <w:r>
        <w:t>I</w:t>
      </w:r>
      <w:r w:rsidRPr="00EB7478">
        <w:t xml:space="preserve"> multiplication factors monotonically increase with burnup as </w:t>
      </w:r>
      <w:r>
        <w:t xml:space="preserve">more </w:t>
      </w:r>
      <w:r w:rsidRPr="0089254E">
        <w:rPr>
          <w:vertAlign w:val="superscript"/>
        </w:rPr>
        <w:t>239</w:t>
      </w:r>
      <w:r w:rsidRPr="00EB7478">
        <w:t>Pu breeds</w:t>
      </w:r>
      <w:r>
        <w:t xml:space="preserve"> combined with lower leakage comparing to other types</w:t>
      </w:r>
      <w:r w:rsidRPr="00EB7478">
        <w:t xml:space="preserve">. </w:t>
      </w:r>
      <w:r>
        <w:t>In both Type II and Type III, t</w:t>
      </w:r>
      <w:r w:rsidRPr="00EB7478">
        <w:t xml:space="preserve">he zoned-enrichment strategies flatten the power distribution. </w:t>
      </w:r>
      <w:r>
        <w:t xml:space="preserve">The negative reactivity as neutron leakage (even the power shifts to centre) combined with </w:t>
      </w:r>
      <w:r w:rsidRPr="000515AD">
        <w:rPr>
          <w:vertAlign w:val="superscript"/>
        </w:rPr>
        <w:t>235</w:t>
      </w:r>
      <w:r w:rsidRPr="009919A1">
        <w:t xml:space="preserve">U depletion and </w:t>
      </w:r>
      <w:r>
        <w:t>fission product</w:t>
      </w:r>
      <w:r w:rsidRPr="009919A1">
        <w:t xml:space="preserve"> poisoning </w:t>
      </w:r>
      <w:r>
        <w:t xml:space="preserve">overrides the positive reactivity as </w:t>
      </w:r>
      <w:r w:rsidRPr="00421505">
        <w:rPr>
          <w:vertAlign w:val="superscript"/>
        </w:rPr>
        <w:t>239</w:t>
      </w:r>
      <w:r>
        <w:t xml:space="preserve">Pu breeds, resulting in rapid decrease in the core </w:t>
      </w:r>
      <w:r w:rsidRPr="00EB7478">
        <w:t>multiplication</w:t>
      </w:r>
      <w:r>
        <w:t xml:space="preserve"> </w:t>
      </w:r>
      <w:r w:rsidRPr="00EB7478">
        <w:t>factors</w:t>
      </w:r>
      <w:r>
        <w:t xml:space="preserve"> after a few burnup steps. </w:t>
      </w:r>
      <w:r w:rsidRPr="00EB7478">
        <w:t>Superior flattening is achieved with onion zoning (Type III) but at an incremental cost of higher average enrichment to compensate for increased leakage</w:t>
      </w:r>
      <w:r>
        <w:t>.</w:t>
      </w:r>
      <w:r w:rsidRPr="00EB7478">
        <w:t xml:space="preserve"> The preliminary core designs have excess reactivity for cycle length of more than </w:t>
      </w:r>
      <w:r>
        <w:t>15</w:t>
      </w:r>
      <w:r w:rsidRPr="00EB7478">
        <w:t xml:space="preserve"> EFPYs providing reactivity margin for replacing some FAs with </w:t>
      </w:r>
      <w:r>
        <w:t xml:space="preserve">control rod assemblies (CRAs). </w:t>
      </w:r>
      <w:r w:rsidRPr="00EB7478">
        <w:t xml:space="preserve">Therefore, Type III is selected as the reference layout for </w:t>
      </w:r>
      <w:r>
        <w:t xml:space="preserve">ANTS-100e. </w:t>
      </w:r>
    </w:p>
    <w:p w14:paraId="42710D90" w14:textId="77777777" w:rsidR="00F576F2" w:rsidRDefault="00F576F2" w:rsidP="00696297">
      <w:pPr>
        <w:pStyle w:val="BodyText"/>
      </w:pPr>
    </w:p>
    <w:p w14:paraId="5A56587D" w14:textId="1CCD4B96" w:rsidR="00696297" w:rsidRDefault="00BF0E85" w:rsidP="00906927">
      <w:pPr>
        <w:pStyle w:val="BodyText"/>
        <w:ind w:firstLine="0"/>
        <w:jc w:val="center"/>
      </w:pPr>
      <w:r>
        <w:rPr>
          <w:noProof/>
        </w:rPr>
        <w:lastRenderedPageBreak/>
        <w:drawing>
          <wp:inline distT="0" distB="0" distL="0" distR="0" wp14:anchorId="0AD97417" wp14:editId="688421B8">
            <wp:extent cx="2700000" cy="2024925"/>
            <wp:effectExtent l="0" t="0" r="5715" b="0"/>
            <wp:docPr id="31" name="Picture 3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Chart&#10;&#10;Description automatically generated"/>
                    <pic:cNvPicPr/>
                  </pic:nvPicPr>
                  <pic:blipFill>
                    <a:blip r:embed="rId14" cstate="hqprint">
                      <a:extLst>
                        <a:ext uri="{28A0092B-C50C-407E-A947-70E740481C1C}">
                          <a14:useLocalDpi xmlns:a14="http://schemas.microsoft.com/office/drawing/2010/main"/>
                        </a:ext>
                      </a:extLst>
                    </a:blip>
                    <a:stretch>
                      <a:fillRect/>
                    </a:stretch>
                  </pic:blipFill>
                  <pic:spPr>
                    <a:xfrm>
                      <a:off x="0" y="0"/>
                      <a:ext cx="2700000" cy="2024925"/>
                    </a:xfrm>
                    <a:prstGeom prst="rect">
                      <a:avLst/>
                    </a:prstGeom>
                  </pic:spPr>
                </pic:pic>
              </a:graphicData>
            </a:graphic>
          </wp:inline>
        </w:drawing>
      </w:r>
      <w:r>
        <w:rPr>
          <w:noProof/>
        </w:rPr>
        <w:drawing>
          <wp:inline distT="0" distB="0" distL="0" distR="0" wp14:anchorId="726B0B56" wp14:editId="37EF7C7F">
            <wp:extent cx="2700000" cy="2024925"/>
            <wp:effectExtent l="0" t="0" r="571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15" cstate="hqprint">
                      <a:extLst>
                        <a:ext uri="{28A0092B-C50C-407E-A947-70E740481C1C}">
                          <a14:useLocalDpi xmlns:a14="http://schemas.microsoft.com/office/drawing/2010/main"/>
                        </a:ext>
                      </a:extLst>
                    </a:blip>
                    <a:stretch>
                      <a:fillRect/>
                    </a:stretch>
                  </pic:blipFill>
                  <pic:spPr>
                    <a:xfrm>
                      <a:off x="0" y="0"/>
                      <a:ext cx="2700000" cy="2024925"/>
                    </a:xfrm>
                    <a:prstGeom prst="rect">
                      <a:avLst/>
                    </a:prstGeom>
                  </pic:spPr>
                </pic:pic>
              </a:graphicData>
            </a:graphic>
          </wp:inline>
        </w:drawing>
      </w:r>
    </w:p>
    <w:p w14:paraId="5E68F534" w14:textId="29C87AD1" w:rsidR="00696297" w:rsidRDefault="00696297" w:rsidP="00696297">
      <w:pPr>
        <w:pStyle w:val="Figurecaption"/>
        <w:rPr>
          <w:lang w:eastAsia="es-ES"/>
        </w:rPr>
      </w:pPr>
      <w:r w:rsidRPr="00FA5F27">
        <w:rPr>
          <w:caps/>
          <w:lang w:eastAsia="es-ES"/>
        </w:rPr>
        <w:t>Fig</w:t>
      </w:r>
      <w:r w:rsidRPr="00FA5F27">
        <w:rPr>
          <w:lang w:eastAsia="es-ES"/>
        </w:rPr>
        <w:t>.</w:t>
      </w:r>
      <w:r>
        <w:rPr>
          <w:lang w:eastAsia="es-ES"/>
        </w:rPr>
        <w:t> </w:t>
      </w:r>
      <w:r w:rsidRPr="00FA5F27">
        <w:rPr>
          <w:b/>
          <w:lang w:eastAsia="es-ES"/>
        </w:rPr>
        <w:fldChar w:fldCharType="begin"/>
      </w:r>
      <w:r w:rsidRPr="00FA5F27">
        <w:rPr>
          <w:lang w:eastAsia="es-ES"/>
        </w:rPr>
        <w:instrText xml:space="preserve"> SEQ Figure \* ARABIC </w:instrText>
      </w:r>
      <w:r w:rsidRPr="00FA5F27">
        <w:rPr>
          <w:b/>
          <w:lang w:eastAsia="es-ES"/>
        </w:rPr>
        <w:fldChar w:fldCharType="separate"/>
      </w:r>
      <w:r>
        <w:rPr>
          <w:noProof/>
          <w:lang w:eastAsia="es-ES"/>
        </w:rPr>
        <w:t>4</w:t>
      </w:r>
      <w:r w:rsidRPr="00FA5F27">
        <w:rPr>
          <w:b/>
          <w:lang w:eastAsia="es-ES"/>
        </w:rPr>
        <w:fldChar w:fldCharType="end"/>
      </w:r>
      <w:r w:rsidRPr="00FA5F27">
        <w:rPr>
          <w:lang w:eastAsia="es-ES"/>
        </w:rPr>
        <w:t xml:space="preserve">. </w:t>
      </w:r>
      <w:r w:rsidRPr="00696297">
        <w:rPr>
          <w:lang w:eastAsia="es-ES"/>
        </w:rPr>
        <w:t xml:space="preserve">Evolution of </w:t>
      </w:r>
      <w:proofErr w:type="spellStart"/>
      <w:r w:rsidRPr="00696297">
        <w:rPr>
          <w:lang w:eastAsia="es-ES"/>
        </w:rPr>
        <w:t>k</w:t>
      </w:r>
      <w:r w:rsidRPr="00083E2F">
        <w:rPr>
          <w:i w:val="0"/>
          <w:iCs/>
          <w:vertAlign w:val="subscript"/>
          <w:lang w:eastAsia="es-ES"/>
        </w:rPr>
        <w:t>eff</w:t>
      </w:r>
      <w:proofErr w:type="spellEnd"/>
      <w:r w:rsidRPr="00696297">
        <w:rPr>
          <w:lang w:eastAsia="es-ES"/>
        </w:rPr>
        <w:t xml:space="preserve"> (</w:t>
      </w:r>
      <w:r>
        <w:rPr>
          <w:lang w:eastAsia="es-ES"/>
        </w:rPr>
        <w:t>left</w:t>
      </w:r>
      <w:r w:rsidRPr="00696297">
        <w:rPr>
          <w:lang w:eastAsia="es-ES"/>
        </w:rPr>
        <w:t>) and Conversion Ratio (</w:t>
      </w:r>
      <w:r>
        <w:rPr>
          <w:lang w:eastAsia="es-ES"/>
        </w:rPr>
        <w:t>right</w:t>
      </w:r>
      <w:r w:rsidRPr="00696297">
        <w:rPr>
          <w:lang w:eastAsia="es-ES"/>
        </w:rPr>
        <w:t>) versus Time for Three Core Candidates.</w:t>
      </w:r>
    </w:p>
    <w:p w14:paraId="0B1C748D" w14:textId="77777777" w:rsidR="00906927" w:rsidRDefault="00906927" w:rsidP="00696297">
      <w:pPr>
        <w:pStyle w:val="Figurecaption"/>
      </w:pPr>
    </w:p>
    <w:p w14:paraId="54665F3A" w14:textId="0FA4949D" w:rsidR="00696297" w:rsidRDefault="00BF0E85" w:rsidP="00906927">
      <w:pPr>
        <w:pStyle w:val="BodyText"/>
        <w:ind w:firstLine="0"/>
        <w:jc w:val="center"/>
      </w:pPr>
      <w:r>
        <w:rPr>
          <w:noProof/>
        </w:rPr>
        <w:drawing>
          <wp:inline distT="0" distB="0" distL="0" distR="0" wp14:anchorId="10BA7B89" wp14:editId="6898B856">
            <wp:extent cx="4320000" cy="1619940"/>
            <wp:effectExtent l="0" t="0" r="4445" b="0"/>
            <wp:docPr id="27" name="Picture 27"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screenshot of a computer&#10;&#10;Description automatically generated with medium confidence"/>
                    <pic:cNvPicPr/>
                  </pic:nvPicPr>
                  <pic:blipFill>
                    <a:blip r:embed="rId16" cstate="hqprint">
                      <a:extLst>
                        <a:ext uri="{28A0092B-C50C-407E-A947-70E740481C1C}">
                          <a14:useLocalDpi xmlns:a14="http://schemas.microsoft.com/office/drawing/2010/main"/>
                        </a:ext>
                      </a:extLst>
                    </a:blip>
                    <a:stretch>
                      <a:fillRect/>
                    </a:stretch>
                  </pic:blipFill>
                  <pic:spPr>
                    <a:xfrm>
                      <a:off x="0" y="0"/>
                      <a:ext cx="4320000" cy="1619940"/>
                    </a:xfrm>
                    <a:prstGeom prst="rect">
                      <a:avLst/>
                    </a:prstGeom>
                  </pic:spPr>
                </pic:pic>
              </a:graphicData>
            </a:graphic>
          </wp:inline>
        </w:drawing>
      </w:r>
      <w:r>
        <w:rPr>
          <w:noProof/>
        </w:rPr>
        <w:drawing>
          <wp:inline distT="0" distB="0" distL="0" distR="0" wp14:anchorId="45EFFC75" wp14:editId="372608AF">
            <wp:extent cx="4320000" cy="1619940"/>
            <wp:effectExtent l="0" t="0" r="4445" b="0"/>
            <wp:docPr id="28" name="Picture 28" descr="Calenda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Calendar&#10;&#10;Description automatically generated with medium confidence"/>
                    <pic:cNvPicPr/>
                  </pic:nvPicPr>
                  <pic:blipFill>
                    <a:blip r:embed="rId17" cstate="hqprint">
                      <a:extLst>
                        <a:ext uri="{28A0092B-C50C-407E-A947-70E740481C1C}">
                          <a14:useLocalDpi xmlns:a14="http://schemas.microsoft.com/office/drawing/2010/main"/>
                        </a:ext>
                      </a:extLst>
                    </a:blip>
                    <a:stretch>
                      <a:fillRect/>
                    </a:stretch>
                  </pic:blipFill>
                  <pic:spPr>
                    <a:xfrm>
                      <a:off x="0" y="0"/>
                      <a:ext cx="4320000" cy="1619940"/>
                    </a:xfrm>
                    <a:prstGeom prst="rect">
                      <a:avLst/>
                    </a:prstGeom>
                  </pic:spPr>
                </pic:pic>
              </a:graphicData>
            </a:graphic>
          </wp:inline>
        </w:drawing>
      </w:r>
      <w:r>
        <w:rPr>
          <w:noProof/>
        </w:rPr>
        <w:drawing>
          <wp:inline distT="0" distB="0" distL="0" distR="0" wp14:anchorId="37E60076" wp14:editId="08799483">
            <wp:extent cx="4320000" cy="1619940"/>
            <wp:effectExtent l="0" t="0" r="4445" b="0"/>
            <wp:docPr id="29" name="Picture 29" descr="Calenda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Calendar&#10;&#10;Description automatically generated with low confidence"/>
                    <pic:cNvPicPr/>
                  </pic:nvPicPr>
                  <pic:blipFill>
                    <a:blip r:embed="rId18" cstate="hqprint">
                      <a:extLst>
                        <a:ext uri="{28A0092B-C50C-407E-A947-70E740481C1C}">
                          <a14:useLocalDpi xmlns:a14="http://schemas.microsoft.com/office/drawing/2010/main"/>
                        </a:ext>
                      </a:extLst>
                    </a:blip>
                    <a:stretch>
                      <a:fillRect/>
                    </a:stretch>
                  </pic:blipFill>
                  <pic:spPr>
                    <a:xfrm>
                      <a:off x="0" y="0"/>
                      <a:ext cx="4320000" cy="1619940"/>
                    </a:xfrm>
                    <a:prstGeom prst="rect">
                      <a:avLst/>
                    </a:prstGeom>
                  </pic:spPr>
                </pic:pic>
              </a:graphicData>
            </a:graphic>
          </wp:inline>
        </w:drawing>
      </w:r>
    </w:p>
    <w:p w14:paraId="7BB78C22" w14:textId="5EF447A8" w:rsidR="00A577EF" w:rsidRDefault="00A577EF" w:rsidP="00A577EF">
      <w:pPr>
        <w:pStyle w:val="Figurecaption"/>
      </w:pPr>
      <w:r w:rsidRPr="00FA5F27">
        <w:rPr>
          <w:caps/>
          <w:lang w:eastAsia="es-ES"/>
        </w:rPr>
        <w:t>Fig</w:t>
      </w:r>
      <w:r w:rsidRPr="00FA5F27">
        <w:rPr>
          <w:lang w:eastAsia="es-ES"/>
        </w:rPr>
        <w:t>.</w:t>
      </w:r>
      <w:r>
        <w:rPr>
          <w:lang w:eastAsia="es-ES"/>
        </w:rPr>
        <w:t> </w:t>
      </w:r>
      <w:r w:rsidRPr="00FA5F27">
        <w:rPr>
          <w:b/>
          <w:lang w:eastAsia="es-ES"/>
        </w:rPr>
        <w:fldChar w:fldCharType="begin"/>
      </w:r>
      <w:r w:rsidRPr="00FA5F27">
        <w:rPr>
          <w:lang w:eastAsia="es-ES"/>
        </w:rPr>
        <w:instrText xml:space="preserve"> SEQ Figure \* ARABIC </w:instrText>
      </w:r>
      <w:r w:rsidRPr="00FA5F27">
        <w:rPr>
          <w:b/>
          <w:lang w:eastAsia="es-ES"/>
        </w:rPr>
        <w:fldChar w:fldCharType="separate"/>
      </w:r>
      <w:r w:rsidR="00696297">
        <w:rPr>
          <w:noProof/>
          <w:lang w:eastAsia="es-ES"/>
        </w:rPr>
        <w:t>5</w:t>
      </w:r>
      <w:r w:rsidRPr="00FA5F27">
        <w:rPr>
          <w:b/>
          <w:lang w:eastAsia="es-ES"/>
        </w:rPr>
        <w:fldChar w:fldCharType="end"/>
      </w:r>
      <w:r w:rsidRPr="00FA5F27">
        <w:rPr>
          <w:lang w:eastAsia="es-ES"/>
        </w:rPr>
        <w:t xml:space="preserve">. </w:t>
      </w:r>
      <w:r w:rsidRPr="00A577EF">
        <w:rPr>
          <w:lang w:eastAsia="es-ES"/>
        </w:rPr>
        <w:t>R–Z Normalized Power Distribution at BOC, MOC, and EOC for Three Core Candidates</w:t>
      </w:r>
      <w:r w:rsidR="007E11F6">
        <w:rPr>
          <w:lang w:eastAsia="es-ES"/>
        </w:rPr>
        <w:t>.</w:t>
      </w:r>
    </w:p>
    <w:p w14:paraId="3A897694" w14:textId="711C722E" w:rsidR="0053436E" w:rsidRDefault="0053436E" w:rsidP="00860FDD">
      <w:pPr>
        <w:pStyle w:val="Heading3"/>
      </w:pPr>
      <w:r w:rsidRPr="0053436E">
        <w:t xml:space="preserve">Conceptual core of </w:t>
      </w:r>
      <w:r>
        <w:t>ANTS-100e</w:t>
      </w:r>
    </w:p>
    <w:p w14:paraId="0C6F9047" w14:textId="504A0E4A" w:rsidR="001564FC" w:rsidRDefault="005774C1" w:rsidP="001564FC">
      <w:pPr>
        <w:pStyle w:val="BodyText"/>
      </w:pPr>
      <w:r w:rsidRPr="005774C1">
        <w:t>The optimized core design</w:t>
      </w:r>
      <w:r w:rsidR="00FD378B" w:rsidRPr="00FD378B">
        <w:t xml:space="preserve"> </w:t>
      </w:r>
      <w:r w:rsidR="00FD378B" w:rsidRPr="005774C1">
        <w:t>adopts the onion zoning layou</w:t>
      </w:r>
      <w:r w:rsidR="00FD378B">
        <w:t>t</w:t>
      </w:r>
      <w:r w:rsidRPr="005774C1">
        <w:t xml:space="preserve"> </w:t>
      </w:r>
      <w:r w:rsidR="00FD378B">
        <w:t>as</w:t>
      </w:r>
      <w:r w:rsidRPr="005774C1">
        <w:t xml:space="preserve"> shown in Fig</w:t>
      </w:r>
      <w:r>
        <w:t>. 6</w:t>
      </w:r>
      <w:r w:rsidRPr="005774C1">
        <w:t xml:space="preserve">. </w:t>
      </w:r>
      <w:r w:rsidR="002804CF" w:rsidRPr="002804CF">
        <w:t xml:space="preserve">The main core geometry parameters are listed in Table </w:t>
      </w:r>
      <w:r w:rsidR="00171F2E">
        <w:t>3</w:t>
      </w:r>
      <w:r w:rsidR="002804CF" w:rsidRPr="002804CF">
        <w:t xml:space="preserve">. </w:t>
      </w:r>
      <w:r w:rsidRPr="005774C1">
        <w:t xml:space="preserve">The </w:t>
      </w:r>
      <w:r w:rsidR="00FD378B">
        <w:t>active consists of 138 FAs divided</w:t>
      </w:r>
      <w:r w:rsidRPr="005774C1">
        <w:t xml:space="preserve"> into two enrichment zones of 10.0% and 13.0%. </w:t>
      </w:r>
      <w:r w:rsidR="00FD378B" w:rsidRPr="00FD378B">
        <w:t>Each FA is divided into four axial components: lower reflector, fuel, gas plenum, and upper reflector.</w:t>
      </w:r>
      <w:r w:rsidR="00FD378B">
        <w:t xml:space="preserve"> </w:t>
      </w:r>
      <w:r w:rsidR="00FD378B" w:rsidRPr="00FD378B">
        <w:t xml:space="preserve">Each axial reflector is </w:t>
      </w:r>
      <w:r w:rsidR="00FD378B">
        <w:t>75</w:t>
      </w:r>
      <w:r w:rsidR="00FD378B" w:rsidRPr="00FD378B">
        <w:t xml:space="preserve"> cm long and made of </w:t>
      </w:r>
      <w:r w:rsidR="005F0417">
        <w:t>stainless steel</w:t>
      </w:r>
      <w:r w:rsidR="00FD378B" w:rsidRPr="00FD378B">
        <w:t>.</w:t>
      </w:r>
      <w:r w:rsidR="00FD378B">
        <w:t xml:space="preserve"> </w:t>
      </w:r>
      <w:r w:rsidR="0037439E">
        <w:t>T</w:t>
      </w:r>
      <w:r w:rsidR="00BC571D" w:rsidRPr="00BC571D">
        <w:t xml:space="preserve">he gas plenum length is </w:t>
      </w:r>
      <w:r w:rsidR="0037439E">
        <w:t>75</w:t>
      </w:r>
      <w:r w:rsidR="00BC571D" w:rsidRPr="00BC571D">
        <w:t xml:space="preserve"> cm, which might compensate for the gas fission release in </w:t>
      </w:r>
      <w:r w:rsidR="002C5113">
        <w:t>ANTS-100e</w:t>
      </w:r>
      <w:r w:rsidR="00BC571D" w:rsidRPr="00BC571D">
        <w:t>.</w:t>
      </w:r>
      <w:r w:rsidR="008B6A55">
        <w:t xml:space="preserve"> </w:t>
      </w:r>
      <w:r w:rsidR="008F489B" w:rsidRPr="008F489B">
        <w:t>The spiral wire can be applied for each rod to avoid collisions between adjacent rods.</w:t>
      </w:r>
    </w:p>
    <w:p w14:paraId="6B657380" w14:textId="77777777" w:rsidR="0046361D" w:rsidRDefault="0046361D" w:rsidP="001564FC">
      <w:pPr>
        <w:pStyle w:val="BodyText"/>
      </w:pPr>
    </w:p>
    <w:p w14:paraId="4A98830B" w14:textId="0064FA87" w:rsidR="002804CF" w:rsidRDefault="002804CF" w:rsidP="002804CF">
      <w:pPr>
        <w:pStyle w:val="BodyText"/>
        <w:ind w:firstLine="0"/>
        <w:jc w:val="center"/>
      </w:pPr>
      <w:r>
        <w:rPr>
          <w:noProof/>
        </w:rPr>
        <w:drawing>
          <wp:inline distT="0" distB="0" distL="0" distR="0" wp14:anchorId="117F561F" wp14:editId="3471C174">
            <wp:extent cx="3420000" cy="2481315"/>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3420000" cy="2481315"/>
                    </a:xfrm>
                    <a:prstGeom prst="rect">
                      <a:avLst/>
                    </a:prstGeom>
                    <a:noFill/>
                  </pic:spPr>
                </pic:pic>
              </a:graphicData>
            </a:graphic>
          </wp:inline>
        </w:drawing>
      </w:r>
    </w:p>
    <w:p w14:paraId="6E33031A" w14:textId="2BFB8379" w:rsidR="002804CF" w:rsidRDefault="002804CF" w:rsidP="002804CF">
      <w:pPr>
        <w:pStyle w:val="Figurecaption"/>
      </w:pPr>
      <w:r w:rsidRPr="00FA5F27">
        <w:rPr>
          <w:caps/>
          <w:lang w:eastAsia="es-ES"/>
        </w:rPr>
        <w:t>Fig</w:t>
      </w:r>
      <w:r w:rsidRPr="00FA5F27">
        <w:rPr>
          <w:lang w:eastAsia="es-ES"/>
        </w:rPr>
        <w:t>.</w:t>
      </w:r>
      <w:r>
        <w:rPr>
          <w:lang w:eastAsia="es-ES"/>
        </w:rPr>
        <w:t> </w:t>
      </w:r>
      <w:r w:rsidRPr="00FA5F27">
        <w:rPr>
          <w:b/>
          <w:lang w:eastAsia="es-ES"/>
        </w:rPr>
        <w:fldChar w:fldCharType="begin"/>
      </w:r>
      <w:r w:rsidRPr="00FA5F27">
        <w:rPr>
          <w:lang w:eastAsia="es-ES"/>
        </w:rPr>
        <w:instrText xml:space="preserve"> SEQ Figure \* ARABIC </w:instrText>
      </w:r>
      <w:r w:rsidRPr="00FA5F27">
        <w:rPr>
          <w:b/>
          <w:lang w:eastAsia="es-ES"/>
        </w:rPr>
        <w:fldChar w:fldCharType="separate"/>
      </w:r>
      <w:r>
        <w:rPr>
          <w:noProof/>
          <w:lang w:eastAsia="es-ES"/>
        </w:rPr>
        <w:t>6</w:t>
      </w:r>
      <w:r w:rsidRPr="00FA5F27">
        <w:rPr>
          <w:b/>
          <w:lang w:eastAsia="es-ES"/>
        </w:rPr>
        <w:fldChar w:fldCharType="end"/>
      </w:r>
      <w:r w:rsidRPr="00FA5F27">
        <w:rPr>
          <w:lang w:eastAsia="es-ES"/>
        </w:rPr>
        <w:t xml:space="preserve">. </w:t>
      </w:r>
      <w:r w:rsidRPr="002804CF">
        <w:rPr>
          <w:lang w:eastAsia="es-ES"/>
        </w:rPr>
        <w:t>Radial and axial view of the quarter core layout.</w:t>
      </w:r>
    </w:p>
    <w:p w14:paraId="74E54DBF" w14:textId="77777777" w:rsidR="00D513D4" w:rsidRDefault="00D513D4" w:rsidP="00D513D4">
      <w:pPr>
        <w:pStyle w:val="BodyText"/>
        <w:ind w:firstLine="0"/>
      </w:pPr>
    </w:p>
    <w:p w14:paraId="4A2CA8DE" w14:textId="77777777" w:rsidR="00DA2614" w:rsidRDefault="00DA2614" w:rsidP="00D513D4">
      <w:pPr>
        <w:pStyle w:val="BodyText"/>
        <w:ind w:firstLine="0"/>
      </w:pPr>
    </w:p>
    <w:p w14:paraId="72FDF45B" w14:textId="4CDB20ED" w:rsidR="00D513D4" w:rsidRDefault="00D513D4" w:rsidP="00D513D4">
      <w:pPr>
        <w:pStyle w:val="BodyText"/>
        <w:ind w:firstLine="0"/>
      </w:pPr>
      <w:r>
        <w:t>TABLE 3.</w:t>
      </w:r>
      <w:r>
        <w:tab/>
      </w:r>
      <w:r w:rsidRPr="00D513D4">
        <w:t xml:space="preserve">MAIN CORE PARAMETERS OF </w:t>
      </w:r>
      <w:r>
        <w:t>ANTS-100</w:t>
      </w:r>
      <w:r w:rsidR="00DA0ECC">
        <w:t>e</w:t>
      </w:r>
    </w:p>
    <w:p w14:paraId="13943AC0" w14:textId="77777777" w:rsidR="00D513D4" w:rsidRDefault="00D513D4" w:rsidP="00D513D4">
      <w:pPr>
        <w:pStyle w:val="BodyText"/>
      </w:pPr>
    </w:p>
    <w:tbl>
      <w:tblPr>
        <w:tblStyle w:val="TableGrid"/>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1"/>
        <w:gridCol w:w="1742"/>
      </w:tblGrid>
      <w:tr w:rsidR="00DE42B6" w14:paraId="4401F2C6" w14:textId="77777777" w:rsidTr="00DE42B6">
        <w:trPr>
          <w:jc w:val="center"/>
        </w:trPr>
        <w:tc>
          <w:tcPr>
            <w:tcW w:w="4561" w:type="dxa"/>
            <w:tcBorders>
              <w:top w:val="single" w:sz="4" w:space="0" w:color="auto"/>
              <w:bottom w:val="single" w:sz="4" w:space="0" w:color="auto"/>
            </w:tcBorders>
            <w:vAlign w:val="center"/>
          </w:tcPr>
          <w:p w14:paraId="389E9C9C" w14:textId="6C6DC7AF" w:rsidR="00DE42B6" w:rsidRDefault="00DE42B6" w:rsidP="00D513D4">
            <w:pPr>
              <w:pStyle w:val="BodyText"/>
              <w:ind w:firstLine="0"/>
            </w:pPr>
            <w:r w:rsidRPr="00337B87">
              <w:rPr>
                <w:b/>
                <w:bCs/>
              </w:rPr>
              <w:t>Parameter</w:t>
            </w:r>
          </w:p>
        </w:tc>
        <w:tc>
          <w:tcPr>
            <w:tcW w:w="1742" w:type="dxa"/>
            <w:tcBorders>
              <w:top w:val="single" w:sz="4" w:space="0" w:color="auto"/>
              <w:bottom w:val="single" w:sz="4" w:space="0" w:color="auto"/>
            </w:tcBorders>
          </w:tcPr>
          <w:p w14:paraId="492FA60C" w14:textId="6BCBFCD3" w:rsidR="00DE42B6" w:rsidRDefault="00DE42B6" w:rsidP="00D513D4">
            <w:pPr>
              <w:pStyle w:val="BodyText"/>
              <w:ind w:firstLine="0"/>
              <w:jc w:val="center"/>
            </w:pPr>
            <w:r w:rsidRPr="00337B87">
              <w:rPr>
                <w:b/>
                <w:bCs/>
              </w:rPr>
              <w:t>Value</w:t>
            </w:r>
          </w:p>
        </w:tc>
      </w:tr>
      <w:tr w:rsidR="00DE42B6" w14:paraId="591D3553" w14:textId="77777777" w:rsidTr="00DE42B6">
        <w:trPr>
          <w:jc w:val="center"/>
        </w:trPr>
        <w:tc>
          <w:tcPr>
            <w:tcW w:w="4561" w:type="dxa"/>
            <w:tcBorders>
              <w:top w:val="single" w:sz="4" w:space="0" w:color="auto"/>
            </w:tcBorders>
          </w:tcPr>
          <w:p w14:paraId="19CB7CA9" w14:textId="0D643449" w:rsidR="00DE42B6" w:rsidRDefault="00DE42B6" w:rsidP="00D513D4">
            <w:pPr>
              <w:pStyle w:val="BodyText"/>
              <w:ind w:firstLine="0"/>
            </w:pPr>
            <w:r w:rsidRPr="00337B87">
              <w:t>Thermal / Electric power</w:t>
            </w:r>
            <w:r>
              <w:t>, MW</w:t>
            </w:r>
          </w:p>
        </w:tc>
        <w:tc>
          <w:tcPr>
            <w:tcW w:w="1742" w:type="dxa"/>
            <w:tcBorders>
              <w:top w:val="single" w:sz="4" w:space="0" w:color="auto"/>
            </w:tcBorders>
          </w:tcPr>
          <w:p w14:paraId="1C5DE4BF" w14:textId="2E9AD175" w:rsidR="00DE42B6" w:rsidRDefault="00DE42B6" w:rsidP="00D513D4">
            <w:pPr>
              <w:pStyle w:val="BodyText"/>
              <w:ind w:firstLine="0"/>
              <w:jc w:val="center"/>
            </w:pPr>
            <w:r>
              <w:t>30</w:t>
            </w:r>
            <w:r w:rsidRPr="00337B87">
              <w:t>0</w:t>
            </w:r>
            <w:r>
              <w:t xml:space="preserve"> </w:t>
            </w:r>
            <w:r w:rsidRPr="00337B87">
              <w:t xml:space="preserve">/ </w:t>
            </w:r>
            <w:r>
              <w:t>10</w:t>
            </w:r>
            <w:r w:rsidRPr="00337B87">
              <w:t>0</w:t>
            </w:r>
          </w:p>
        </w:tc>
      </w:tr>
      <w:tr w:rsidR="00DE42B6" w14:paraId="15C4A7CC" w14:textId="77777777" w:rsidTr="00DE42B6">
        <w:trPr>
          <w:jc w:val="center"/>
        </w:trPr>
        <w:tc>
          <w:tcPr>
            <w:tcW w:w="4561" w:type="dxa"/>
          </w:tcPr>
          <w:p w14:paraId="52FBA4E4" w14:textId="15452C6E" w:rsidR="00DE42B6" w:rsidRDefault="00DE42B6" w:rsidP="00D513D4">
            <w:pPr>
              <w:pStyle w:val="BodyText"/>
              <w:ind w:firstLine="0"/>
            </w:pPr>
            <w:r w:rsidRPr="00337B87">
              <w:t>Geometry</w:t>
            </w:r>
          </w:p>
        </w:tc>
        <w:tc>
          <w:tcPr>
            <w:tcW w:w="1742" w:type="dxa"/>
          </w:tcPr>
          <w:p w14:paraId="4221624B" w14:textId="77777777" w:rsidR="00DE42B6" w:rsidRDefault="00DE42B6" w:rsidP="00D513D4">
            <w:pPr>
              <w:pStyle w:val="BodyText"/>
              <w:ind w:firstLine="0"/>
              <w:jc w:val="center"/>
            </w:pPr>
          </w:p>
        </w:tc>
      </w:tr>
      <w:tr w:rsidR="00DE42B6" w14:paraId="0B20BBC0" w14:textId="77777777" w:rsidTr="00DE42B6">
        <w:trPr>
          <w:jc w:val="center"/>
        </w:trPr>
        <w:tc>
          <w:tcPr>
            <w:tcW w:w="4561" w:type="dxa"/>
          </w:tcPr>
          <w:p w14:paraId="110069E8" w14:textId="03D1A073" w:rsidR="00DE42B6" w:rsidRDefault="00DE42B6" w:rsidP="00D513D4">
            <w:pPr>
              <w:pStyle w:val="BodyText"/>
              <w:ind w:firstLine="0"/>
            </w:pPr>
            <w:r w:rsidRPr="00337B87">
              <w:t>- Active core height</w:t>
            </w:r>
            <w:r>
              <w:t>, cm</w:t>
            </w:r>
          </w:p>
        </w:tc>
        <w:tc>
          <w:tcPr>
            <w:tcW w:w="1742" w:type="dxa"/>
          </w:tcPr>
          <w:p w14:paraId="064B203F" w14:textId="01AA77DD" w:rsidR="00DE42B6" w:rsidRDefault="00DE42B6" w:rsidP="00D513D4">
            <w:pPr>
              <w:pStyle w:val="BodyText"/>
              <w:ind w:firstLine="0"/>
              <w:jc w:val="center"/>
            </w:pPr>
            <w:r>
              <w:t>100</w:t>
            </w:r>
          </w:p>
        </w:tc>
      </w:tr>
      <w:tr w:rsidR="00DE42B6" w14:paraId="366E8A65" w14:textId="77777777" w:rsidTr="00DE42B6">
        <w:trPr>
          <w:jc w:val="center"/>
        </w:trPr>
        <w:tc>
          <w:tcPr>
            <w:tcW w:w="4561" w:type="dxa"/>
          </w:tcPr>
          <w:p w14:paraId="5CF5612E" w14:textId="0B9F65D6" w:rsidR="00DE42B6" w:rsidRDefault="00DE42B6" w:rsidP="00D513D4">
            <w:pPr>
              <w:pStyle w:val="BodyText"/>
              <w:ind w:firstLine="0"/>
            </w:pPr>
            <w:r w:rsidRPr="00337B87">
              <w:t xml:space="preserve">- Active </w:t>
            </w:r>
            <w:r>
              <w:t xml:space="preserve">equivalent </w:t>
            </w:r>
            <w:r w:rsidRPr="00337B87">
              <w:t>core diameter</w:t>
            </w:r>
            <w:r>
              <w:t>, cm</w:t>
            </w:r>
          </w:p>
        </w:tc>
        <w:tc>
          <w:tcPr>
            <w:tcW w:w="1742" w:type="dxa"/>
          </w:tcPr>
          <w:p w14:paraId="68378ECF" w14:textId="6655F389" w:rsidR="00DE42B6" w:rsidRDefault="00DE42B6" w:rsidP="00D513D4">
            <w:pPr>
              <w:pStyle w:val="BodyText"/>
              <w:ind w:firstLine="0"/>
              <w:jc w:val="center"/>
            </w:pPr>
            <w:r>
              <w:t>~235</w:t>
            </w:r>
          </w:p>
        </w:tc>
      </w:tr>
      <w:tr w:rsidR="00DE42B6" w14:paraId="1694402F" w14:textId="77777777" w:rsidTr="00DE42B6">
        <w:trPr>
          <w:jc w:val="center"/>
        </w:trPr>
        <w:tc>
          <w:tcPr>
            <w:tcW w:w="4561" w:type="dxa"/>
          </w:tcPr>
          <w:p w14:paraId="78E8A606" w14:textId="5C71FEF1" w:rsidR="00DE42B6" w:rsidRDefault="00DE42B6" w:rsidP="00D513D4">
            <w:pPr>
              <w:pStyle w:val="BodyText"/>
              <w:ind w:firstLine="0"/>
            </w:pPr>
            <w:r w:rsidRPr="00337B87">
              <w:t xml:space="preserve">- Core </w:t>
            </w:r>
            <w:r>
              <w:t>equivalent</w:t>
            </w:r>
            <w:r w:rsidRPr="00337B87">
              <w:t xml:space="preserve"> diameter with reflector</w:t>
            </w:r>
            <w:r>
              <w:t>, cm</w:t>
            </w:r>
          </w:p>
        </w:tc>
        <w:tc>
          <w:tcPr>
            <w:tcW w:w="1742" w:type="dxa"/>
          </w:tcPr>
          <w:p w14:paraId="08008252" w14:textId="4F430057" w:rsidR="00DE42B6" w:rsidRDefault="00DE42B6" w:rsidP="00D513D4">
            <w:pPr>
              <w:pStyle w:val="BodyText"/>
              <w:ind w:firstLine="0"/>
              <w:jc w:val="center"/>
            </w:pPr>
            <w:r>
              <w:t>~340</w:t>
            </w:r>
          </w:p>
        </w:tc>
      </w:tr>
      <w:tr w:rsidR="00DE42B6" w14:paraId="3DAEE504" w14:textId="77777777" w:rsidTr="00DE42B6">
        <w:trPr>
          <w:jc w:val="center"/>
        </w:trPr>
        <w:tc>
          <w:tcPr>
            <w:tcW w:w="4561" w:type="dxa"/>
            <w:vAlign w:val="center"/>
          </w:tcPr>
          <w:p w14:paraId="036C908D" w14:textId="691AEBE7" w:rsidR="00DE42B6" w:rsidRDefault="00DE42B6" w:rsidP="00D513D4">
            <w:pPr>
              <w:pStyle w:val="BodyText"/>
              <w:ind w:firstLine="0"/>
            </w:pPr>
            <w:r w:rsidRPr="00337B87">
              <w:rPr>
                <w:kern w:val="24"/>
              </w:rPr>
              <w:t>Loading heavy metal mass</w:t>
            </w:r>
            <w:r>
              <w:rPr>
                <w:kern w:val="24"/>
              </w:rPr>
              <w:t>, ton</w:t>
            </w:r>
          </w:p>
        </w:tc>
        <w:tc>
          <w:tcPr>
            <w:tcW w:w="1742" w:type="dxa"/>
            <w:vAlign w:val="center"/>
          </w:tcPr>
          <w:p w14:paraId="45147A91" w14:textId="3D49A3FC" w:rsidR="00DE42B6" w:rsidRDefault="00DE42B6" w:rsidP="00D513D4">
            <w:pPr>
              <w:pStyle w:val="BodyText"/>
              <w:ind w:firstLine="0"/>
              <w:jc w:val="center"/>
            </w:pPr>
            <w:r>
              <w:rPr>
                <w:kern w:val="24"/>
              </w:rPr>
              <w:t>24.16</w:t>
            </w:r>
          </w:p>
        </w:tc>
      </w:tr>
      <w:tr w:rsidR="00DE42B6" w14:paraId="71D32723" w14:textId="77777777" w:rsidTr="00DE42B6">
        <w:trPr>
          <w:jc w:val="center"/>
        </w:trPr>
        <w:tc>
          <w:tcPr>
            <w:tcW w:w="4561" w:type="dxa"/>
            <w:vAlign w:val="center"/>
          </w:tcPr>
          <w:p w14:paraId="48CFA8F4" w14:textId="29F8CF11" w:rsidR="00DE42B6" w:rsidRDefault="00DE42B6" w:rsidP="00D513D4">
            <w:pPr>
              <w:pStyle w:val="BodyText"/>
              <w:ind w:firstLine="0"/>
            </w:pPr>
            <w:r w:rsidRPr="00337B87">
              <w:rPr>
                <w:kern w:val="24"/>
              </w:rPr>
              <w:t>Power density</w:t>
            </w:r>
            <w:r>
              <w:rPr>
                <w:kern w:val="24"/>
              </w:rPr>
              <w:t xml:space="preserve">, </w:t>
            </w:r>
            <w:r w:rsidRPr="00337B87">
              <w:t>W/cm</w:t>
            </w:r>
            <w:r w:rsidRPr="00337B87">
              <w:rPr>
                <w:vertAlign w:val="superscript"/>
              </w:rPr>
              <w:t>3</w:t>
            </w:r>
          </w:p>
        </w:tc>
        <w:tc>
          <w:tcPr>
            <w:tcW w:w="1742" w:type="dxa"/>
            <w:vAlign w:val="center"/>
          </w:tcPr>
          <w:p w14:paraId="25741840" w14:textId="2FA677DC" w:rsidR="00DE42B6" w:rsidRDefault="00DE42B6" w:rsidP="00D513D4">
            <w:pPr>
              <w:pStyle w:val="BodyText"/>
              <w:ind w:firstLine="0"/>
              <w:jc w:val="center"/>
            </w:pPr>
            <w:r>
              <w:rPr>
                <w:kern w:val="24"/>
              </w:rPr>
              <w:t>165.5</w:t>
            </w:r>
          </w:p>
        </w:tc>
      </w:tr>
      <w:tr w:rsidR="00DE42B6" w14:paraId="334A11BA" w14:textId="77777777" w:rsidTr="00DE42B6">
        <w:trPr>
          <w:jc w:val="center"/>
        </w:trPr>
        <w:tc>
          <w:tcPr>
            <w:tcW w:w="4561" w:type="dxa"/>
            <w:vAlign w:val="center"/>
          </w:tcPr>
          <w:p w14:paraId="2D4B3BE3" w14:textId="357E0D07" w:rsidR="00DE42B6" w:rsidRDefault="00DE42B6" w:rsidP="00D513D4">
            <w:pPr>
              <w:pStyle w:val="BodyText"/>
              <w:ind w:firstLine="0"/>
            </w:pPr>
            <w:r w:rsidRPr="00337B87">
              <w:rPr>
                <w:kern w:val="24"/>
              </w:rPr>
              <w:t>Av</w:t>
            </w:r>
            <w:r>
              <w:rPr>
                <w:kern w:val="24"/>
              </w:rPr>
              <w:t>g.</w:t>
            </w:r>
            <w:r w:rsidRPr="00337B87">
              <w:rPr>
                <w:kern w:val="24"/>
              </w:rPr>
              <w:t xml:space="preserve"> linear power density</w:t>
            </w:r>
            <w:r>
              <w:rPr>
                <w:kern w:val="24"/>
              </w:rPr>
              <w:t>, kW/m</w:t>
            </w:r>
          </w:p>
        </w:tc>
        <w:tc>
          <w:tcPr>
            <w:tcW w:w="1742" w:type="dxa"/>
            <w:vAlign w:val="center"/>
          </w:tcPr>
          <w:p w14:paraId="0B1EAFC7" w14:textId="3C7BE80D" w:rsidR="00DE42B6" w:rsidRDefault="00DE42B6" w:rsidP="00D513D4">
            <w:pPr>
              <w:pStyle w:val="BodyText"/>
              <w:ind w:firstLine="0"/>
              <w:jc w:val="center"/>
            </w:pPr>
            <w:r>
              <w:rPr>
                <w:kern w:val="24"/>
              </w:rPr>
              <w:t>12.86</w:t>
            </w:r>
          </w:p>
        </w:tc>
      </w:tr>
      <w:tr w:rsidR="00DE42B6" w14:paraId="22BC56A3" w14:textId="77777777" w:rsidTr="00DE42B6">
        <w:trPr>
          <w:jc w:val="center"/>
        </w:trPr>
        <w:tc>
          <w:tcPr>
            <w:tcW w:w="4561" w:type="dxa"/>
            <w:vAlign w:val="center"/>
          </w:tcPr>
          <w:p w14:paraId="3288F172" w14:textId="20407108" w:rsidR="00DE42B6" w:rsidRPr="00337B87" w:rsidRDefault="00DE42B6" w:rsidP="008D42BC">
            <w:pPr>
              <w:pStyle w:val="BodyText"/>
              <w:ind w:firstLine="0"/>
              <w:rPr>
                <w:kern w:val="24"/>
              </w:rPr>
            </w:pPr>
            <w:r w:rsidRPr="00337B87">
              <w:rPr>
                <w:kern w:val="24"/>
              </w:rPr>
              <w:t>Av</w:t>
            </w:r>
            <w:r>
              <w:rPr>
                <w:kern w:val="24"/>
              </w:rPr>
              <w:t>g.</w:t>
            </w:r>
            <w:r w:rsidRPr="00337B87">
              <w:rPr>
                <w:kern w:val="24"/>
              </w:rPr>
              <w:t xml:space="preserve"> burnup discharge over </w:t>
            </w:r>
            <w:r>
              <w:rPr>
                <w:kern w:val="24"/>
              </w:rPr>
              <w:t>1</w:t>
            </w:r>
            <w:r w:rsidRPr="00337B87">
              <w:rPr>
                <w:kern w:val="24"/>
              </w:rPr>
              <w:t>0 EFPYs</w:t>
            </w:r>
            <w:r>
              <w:rPr>
                <w:kern w:val="24"/>
              </w:rPr>
              <w:t>,</w:t>
            </w:r>
            <w:r w:rsidRPr="00337B87">
              <w:rPr>
                <w:kern w:val="24"/>
              </w:rPr>
              <w:t xml:space="preserve"> </w:t>
            </w:r>
            <w:proofErr w:type="spellStart"/>
            <w:r w:rsidRPr="00337B87">
              <w:rPr>
                <w:kern w:val="24"/>
              </w:rPr>
              <w:t>MWd</w:t>
            </w:r>
            <w:proofErr w:type="spellEnd"/>
            <w:r w:rsidRPr="00337B87">
              <w:rPr>
                <w:kern w:val="24"/>
              </w:rPr>
              <w:t>/</w:t>
            </w:r>
            <w:proofErr w:type="spellStart"/>
            <w:r w:rsidRPr="00337B87">
              <w:rPr>
                <w:kern w:val="24"/>
              </w:rPr>
              <w:t>kgHM</w:t>
            </w:r>
            <w:proofErr w:type="spellEnd"/>
          </w:p>
        </w:tc>
        <w:tc>
          <w:tcPr>
            <w:tcW w:w="1742" w:type="dxa"/>
            <w:vAlign w:val="center"/>
          </w:tcPr>
          <w:p w14:paraId="7A72D758" w14:textId="43AA02D9" w:rsidR="00DE42B6" w:rsidRDefault="00DE42B6" w:rsidP="008D42BC">
            <w:pPr>
              <w:pStyle w:val="BodyText"/>
              <w:ind w:firstLine="0"/>
              <w:jc w:val="center"/>
              <w:rPr>
                <w:kern w:val="24"/>
              </w:rPr>
            </w:pPr>
            <w:r>
              <w:rPr>
                <w:kern w:val="24"/>
              </w:rPr>
              <w:t>45.52</w:t>
            </w:r>
          </w:p>
        </w:tc>
      </w:tr>
    </w:tbl>
    <w:p w14:paraId="64FCBA3E" w14:textId="77777777" w:rsidR="00A125E7" w:rsidRDefault="00A125E7" w:rsidP="00A125E7">
      <w:pPr>
        <w:pStyle w:val="BodyText"/>
      </w:pPr>
    </w:p>
    <w:p w14:paraId="22A28C8C" w14:textId="74E1910A" w:rsidR="00A125E7" w:rsidRDefault="00A125E7" w:rsidP="00A125E7">
      <w:pPr>
        <w:pStyle w:val="BodyText"/>
      </w:pPr>
      <w:r>
        <w:t xml:space="preserve">Table 4 presents the CRA and reflector assembly design. </w:t>
      </w:r>
      <w:r w:rsidRPr="005774C1">
        <w:t xml:space="preserve">The control rod system is compartmental in two independent systems, a primary control rod system (PCRS, 3 CRAs) and a secondary control rod system (SCRS, 9 CRAs). </w:t>
      </w:r>
      <w:r w:rsidRPr="001564FC">
        <w:t xml:space="preserve">The purpose of the </w:t>
      </w:r>
      <w:r>
        <w:t>primary</w:t>
      </w:r>
      <w:r w:rsidRPr="001564FC">
        <w:t xml:space="preserve"> system is to regulate the core power during operation, whereas the </w:t>
      </w:r>
      <w:r>
        <w:t>secondary</w:t>
      </w:r>
      <w:r w:rsidRPr="001564FC">
        <w:t xml:space="preserve"> system provides a shutdown capability or emergency scram and is fully withdrawn during normal operation</w:t>
      </w:r>
      <w:r w:rsidRPr="005E4013">
        <w:t>. Absorber material is B</w:t>
      </w:r>
      <w:r w:rsidRPr="005E4013">
        <w:rPr>
          <w:vertAlign w:val="subscript"/>
        </w:rPr>
        <w:t>4</w:t>
      </w:r>
      <w:r w:rsidRPr="005E4013">
        <w:t xml:space="preserve">C with 90% </w:t>
      </w:r>
      <w:r w:rsidRPr="009946AD">
        <w:rPr>
          <w:vertAlign w:val="superscript"/>
        </w:rPr>
        <w:t>10</w:t>
      </w:r>
      <w:r w:rsidRPr="005E4013">
        <w:t>B isotopic enrichment</w:t>
      </w:r>
      <w:r>
        <w:t xml:space="preserve">, of which the geometry is shown in Fig. 7. </w:t>
      </w:r>
      <w:r w:rsidRPr="00347275">
        <w:t>Yttria stabilized zirconia (YSZ, ZrO2-Y2O3) has been chosen as a reflector material instead of stainless steel</w:t>
      </w:r>
      <w:r>
        <w:t xml:space="preserve"> </w:t>
      </w:r>
      <w:r w:rsidRPr="00347275">
        <w:t xml:space="preserve">to improve the neutron economy in the fast reactor </w:t>
      </w:r>
      <w:r w:rsidR="004C5CBA">
        <w:fldChar w:fldCharType="begin"/>
      </w:r>
      <w:r w:rsidR="004C5CBA">
        <w:instrText xml:space="preserve"> REF _Ref70590313 \n \h </w:instrText>
      </w:r>
      <w:r w:rsidR="004C5CBA">
        <w:fldChar w:fldCharType="separate"/>
      </w:r>
      <w:r w:rsidR="004C5CBA">
        <w:t>[9]</w:t>
      </w:r>
      <w:r w:rsidR="004C5CBA">
        <w:fldChar w:fldCharType="end"/>
      </w:r>
      <w:r w:rsidRPr="00347275">
        <w:t xml:space="preserve">. Zirconium (Zr) has a large neutron scattering cross section with a low neutron capture cross section compared to the major nuclides of the SS, such as iron (Fe) and chromium (Cr). </w:t>
      </w:r>
      <w:r>
        <w:t xml:space="preserve">The reflector geometry is illustrated in Fig. 7. </w:t>
      </w:r>
      <w:r w:rsidRPr="005774C1">
        <w:t>Finally, the equivalent active core diameter and height are 2</w:t>
      </w:r>
      <w:r>
        <w:t>35</w:t>
      </w:r>
      <w:r w:rsidRPr="005774C1">
        <w:t xml:space="preserve"> </w:t>
      </w:r>
      <w:r>
        <w:t>c</w:t>
      </w:r>
      <w:r w:rsidRPr="005774C1">
        <w:t>m and 1</w:t>
      </w:r>
      <w:r>
        <w:t>0</w:t>
      </w:r>
      <w:r w:rsidRPr="005774C1">
        <w:t xml:space="preserve">0 </w:t>
      </w:r>
      <w:r>
        <w:t>c</w:t>
      </w:r>
      <w:r w:rsidRPr="005774C1">
        <w:t>m, respectively, resulting in an H/D (height/diameter) ratio of 0.4</w:t>
      </w:r>
      <w:r>
        <w:t>3</w:t>
      </w:r>
      <w:r w:rsidRPr="005774C1">
        <w:t>.</w:t>
      </w:r>
      <w:r>
        <w:t xml:space="preserve"> ANT-100e</w:t>
      </w:r>
      <w:r w:rsidRPr="008D42BC">
        <w:t xml:space="preserve"> can achieve a discharged burnup at </w:t>
      </w:r>
      <w:r>
        <w:t>10</w:t>
      </w:r>
      <w:r w:rsidRPr="008D42BC">
        <w:t xml:space="preserve"> EFPY of approximately </w:t>
      </w:r>
      <w:r>
        <w:t>45.52</w:t>
      </w:r>
      <w:r w:rsidRPr="008D42BC">
        <w:t xml:space="preserve"> </w:t>
      </w:r>
      <w:proofErr w:type="spellStart"/>
      <w:r w:rsidRPr="008D42BC">
        <w:t>MWd</w:t>
      </w:r>
      <w:proofErr w:type="spellEnd"/>
      <w:r w:rsidRPr="008D42BC">
        <w:t>/</w:t>
      </w:r>
      <w:proofErr w:type="spellStart"/>
      <w:r w:rsidRPr="008D42BC">
        <w:t>kgHM</w:t>
      </w:r>
      <w:proofErr w:type="spellEnd"/>
      <w:r w:rsidRPr="008D42BC">
        <w:t xml:space="preserve"> with a power density of </w:t>
      </w:r>
      <w:r>
        <w:rPr>
          <w:kern w:val="24"/>
        </w:rPr>
        <w:t xml:space="preserve">165.5 </w:t>
      </w:r>
      <w:r w:rsidRPr="008D42BC">
        <w:t>W/cm</w:t>
      </w:r>
      <w:r w:rsidRPr="008B2AE0">
        <w:rPr>
          <w:vertAlign w:val="superscript"/>
        </w:rPr>
        <w:t>3</w:t>
      </w:r>
      <w:r w:rsidRPr="008D42BC">
        <w:t>.</w:t>
      </w:r>
    </w:p>
    <w:p w14:paraId="3CEBCE02" w14:textId="2B964D27" w:rsidR="002804CF" w:rsidRDefault="002804CF" w:rsidP="002804CF">
      <w:pPr>
        <w:pStyle w:val="BodyText"/>
        <w:ind w:firstLine="0"/>
        <w:jc w:val="center"/>
      </w:pPr>
    </w:p>
    <w:p w14:paraId="579E3A3D" w14:textId="77777777" w:rsidR="008D42BC" w:rsidRDefault="008D42BC" w:rsidP="008D42BC">
      <w:pPr>
        <w:pStyle w:val="BodyText"/>
        <w:ind w:firstLine="0"/>
        <w:jc w:val="center"/>
      </w:pPr>
      <w:r>
        <w:rPr>
          <w:noProof/>
        </w:rPr>
        <w:drawing>
          <wp:inline distT="0" distB="0" distL="0" distR="0" wp14:anchorId="1778456D" wp14:editId="497AB19D">
            <wp:extent cx="3240000" cy="1400462"/>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3240000" cy="1400462"/>
                    </a:xfrm>
                    <a:prstGeom prst="rect">
                      <a:avLst/>
                    </a:prstGeom>
                    <a:noFill/>
                  </pic:spPr>
                </pic:pic>
              </a:graphicData>
            </a:graphic>
          </wp:inline>
        </w:drawing>
      </w:r>
    </w:p>
    <w:p w14:paraId="6C2D0DD3" w14:textId="77777777" w:rsidR="008D42BC" w:rsidRDefault="008D42BC" w:rsidP="008D42BC">
      <w:pPr>
        <w:pStyle w:val="Figurecaption"/>
      </w:pPr>
      <w:r w:rsidRPr="00FA5F27">
        <w:rPr>
          <w:caps/>
          <w:lang w:eastAsia="es-ES"/>
        </w:rPr>
        <w:t>Fig</w:t>
      </w:r>
      <w:r w:rsidRPr="00FA5F27">
        <w:rPr>
          <w:lang w:eastAsia="es-ES"/>
        </w:rPr>
        <w:t>.</w:t>
      </w:r>
      <w:r>
        <w:rPr>
          <w:lang w:eastAsia="es-ES"/>
        </w:rPr>
        <w:t> </w:t>
      </w:r>
      <w:r w:rsidRPr="00FA5F27">
        <w:rPr>
          <w:b/>
          <w:lang w:eastAsia="es-ES"/>
        </w:rPr>
        <w:fldChar w:fldCharType="begin"/>
      </w:r>
      <w:r w:rsidRPr="00FA5F27">
        <w:rPr>
          <w:lang w:eastAsia="es-ES"/>
        </w:rPr>
        <w:instrText xml:space="preserve"> SEQ Figure \* ARABIC </w:instrText>
      </w:r>
      <w:r w:rsidRPr="00FA5F27">
        <w:rPr>
          <w:b/>
          <w:lang w:eastAsia="es-ES"/>
        </w:rPr>
        <w:fldChar w:fldCharType="separate"/>
      </w:r>
      <w:r>
        <w:rPr>
          <w:noProof/>
          <w:lang w:eastAsia="es-ES"/>
        </w:rPr>
        <w:t>7</w:t>
      </w:r>
      <w:r w:rsidRPr="00FA5F27">
        <w:rPr>
          <w:b/>
          <w:lang w:eastAsia="es-ES"/>
        </w:rPr>
        <w:fldChar w:fldCharType="end"/>
      </w:r>
      <w:r w:rsidRPr="00FA5F27">
        <w:rPr>
          <w:lang w:eastAsia="es-ES"/>
        </w:rPr>
        <w:t xml:space="preserve">. </w:t>
      </w:r>
      <w:r w:rsidRPr="00BC7994">
        <w:rPr>
          <w:lang w:eastAsia="es-ES"/>
        </w:rPr>
        <w:t xml:space="preserve">Assembly design geometry: </w:t>
      </w:r>
      <w:r>
        <w:rPr>
          <w:lang w:eastAsia="es-ES"/>
        </w:rPr>
        <w:t xml:space="preserve">control (left) and </w:t>
      </w:r>
      <w:r w:rsidRPr="00BC7994">
        <w:rPr>
          <w:lang w:eastAsia="es-ES"/>
        </w:rPr>
        <w:t>reflector</w:t>
      </w:r>
      <w:r>
        <w:rPr>
          <w:lang w:eastAsia="es-ES"/>
        </w:rPr>
        <w:t xml:space="preserve"> (right). </w:t>
      </w:r>
    </w:p>
    <w:p w14:paraId="73EC6871" w14:textId="77777777" w:rsidR="00045D5A" w:rsidRDefault="00045D5A" w:rsidP="002804CF">
      <w:pPr>
        <w:pStyle w:val="BodyText"/>
        <w:ind w:firstLine="0"/>
        <w:jc w:val="center"/>
      </w:pPr>
    </w:p>
    <w:p w14:paraId="151BEB72" w14:textId="3304B2FB" w:rsidR="00DA0ECC" w:rsidRDefault="00DA0ECC" w:rsidP="00DA0ECC">
      <w:pPr>
        <w:pStyle w:val="BodyText"/>
        <w:ind w:firstLine="0"/>
      </w:pPr>
      <w:r>
        <w:t>TABLE 4.</w:t>
      </w:r>
      <w:r>
        <w:tab/>
        <w:t>DESIGN</w:t>
      </w:r>
      <w:r w:rsidRPr="00D513D4">
        <w:t xml:space="preserve"> PARAMETERS OF </w:t>
      </w:r>
      <w:r>
        <w:t>ANTS-100</w:t>
      </w:r>
      <w:r w:rsidR="007C51AE">
        <w:t>e</w:t>
      </w:r>
      <w:r>
        <w:t xml:space="preserve"> CONTROL AND REFLECTOR ASSSEMBLY</w:t>
      </w:r>
    </w:p>
    <w:p w14:paraId="6B242E1B" w14:textId="77777777" w:rsidR="00DA0ECC" w:rsidRDefault="00DA0ECC" w:rsidP="00DA0ECC">
      <w:pPr>
        <w:pStyle w:val="BodyText"/>
      </w:pPr>
    </w:p>
    <w:tbl>
      <w:tblPr>
        <w:tblStyle w:val="TableGrid"/>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5"/>
        <w:gridCol w:w="1701"/>
        <w:gridCol w:w="1701"/>
      </w:tblGrid>
      <w:tr w:rsidR="003342CA" w14:paraId="07D1D95C" w14:textId="77777777" w:rsidTr="003342CA">
        <w:trPr>
          <w:jc w:val="center"/>
        </w:trPr>
        <w:tc>
          <w:tcPr>
            <w:tcW w:w="2835" w:type="dxa"/>
            <w:tcBorders>
              <w:top w:val="single" w:sz="4" w:space="0" w:color="auto"/>
              <w:bottom w:val="single" w:sz="4" w:space="0" w:color="auto"/>
            </w:tcBorders>
            <w:vAlign w:val="center"/>
          </w:tcPr>
          <w:p w14:paraId="6609BCC4" w14:textId="77777777" w:rsidR="00DA0ECC" w:rsidRDefault="00DA0ECC" w:rsidP="00D27B83">
            <w:pPr>
              <w:pStyle w:val="BodyText"/>
              <w:ind w:firstLine="0"/>
            </w:pPr>
            <w:r w:rsidRPr="00337B87">
              <w:rPr>
                <w:b/>
                <w:bCs/>
              </w:rPr>
              <w:t>Parameter</w:t>
            </w:r>
          </w:p>
        </w:tc>
        <w:tc>
          <w:tcPr>
            <w:tcW w:w="1701" w:type="dxa"/>
            <w:tcBorders>
              <w:top w:val="single" w:sz="4" w:space="0" w:color="auto"/>
              <w:bottom w:val="single" w:sz="4" w:space="0" w:color="auto"/>
            </w:tcBorders>
          </w:tcPr>
          <w:p w14:paraId="1E9B87E4" w14:textId="0768E9D4" w:rsidR="00DA0ECC" w:rsidRDefault="007C51AE" w:rsidP="00D27B83">
            <w:pPr>
              <w:pStyle w:val="BodyText"/>
              <w:ind w:firstLine="0"/>
              <w:jc w:val="center"/>
            </w:pPr>
            <w:r w:rsidRPr="00E13A1C">
              <w:rPr>
                <w:b/>
                <w:bCs/>
                <w:szCs w:val="24"/>
                <w:lang w:val="en-US"/>
              </w:rPr>
              <w:t>Control</w:t>
            </w:r>
          </w:p>
        </w:tc>
        <w:tc>
          <w:tcPr>
            <w:tcW w:w="1701" w:type="dxa"/>
            <w:tcBorders>
              <w:top w:val="single" w:sz="4" w:space="0" w:color="auto"/>
              <w:bottom w:val="single" w:sz="4" w:space="0" w:color="auto"/>
            </w:tcBorders>
          </w:tcPr>
          <w:p w14:paraId="4FB903C1" w14:textId="72E1DC70" w:rsidR="00DA0ECC" w:rsidRDefault="007C51AE" w:rsidP="00D27B83">
            <w:pPr>
              <w:pStyle w:val="BodyText"/>
              <w:ind w:firstLine="0"/>
              <w:jc w:val="center"/>
            </w:pPr>
            <w:r w:rsidRPr="00E13A1C">
              <w:rPr>
                <w:b/>
                <w:bCs/>
                <w:szCs w:val="24"/>
                <w:lang w:val="en-US"/>
              </w:rPr>
              <w:t>Reflector</w:t>
            </w:r>
          </w:p>
        </w:tc>
      </w:tr>
      <w:tr w:rsidR="003342CA" w14:paraId="2CE77C31" w14:textId="77777777" w:rsidTr="003342CA">
        <w:trPr>
          <w:jc w:val="center"/>
        </w:trPr>
        <w:tc>
          <w:tcPr>
            <w:tcW w:w="2835" w:type="dxa"/>
            <w:tcBorders>
              <w:top w:val="single" w:sz="4" w:space="0" w:color="auto"/>
            </w:tcBorders>
          </w:tcPr>
          <w:p w14:paraId="188C5486" w14:textId="36CEB5BD" w:rsidR="00DA0ECC" w:rsidRDefault="007C51AE" w:rsidP="00D27B83">
            <w:pPr>
              <w:pStyle w:val="BodyText"/>
              <w:ind w:firstLine="0"/>
            </w:pPr>
            <w:r w:rsidRPr="00E13A1C">
              <w:rPr>
                <w:szCs w:val="24"/>
                <w:lang w:val="en-US"/>
              </w:rPr>
              <w:t>Pin data</w:t>
            </w:r>
          </w:p>
        </w:tc>
        <w:tc>
          <w:tcPr>
            <w:tcW w:w="1701" w:type="dxa"/>
            <w:tcBorders>
              <w:top w:val="single" w:sz="4" w:space="0" w:color="auto"/>
            </w:tcBorders>
            <w:vAlign w:val="center"/>
          </w:tcPr>
          <w:p w14:paraId="5A9351B3" w14:textId="3894B281" w:rsidR="00DA0ECC" w:rsidRDefault="00DA0ECC" w:rsidP="00D27B83">
            <w:pPr>
              <w:pStyle w:val="BodyText"/>
              <w:ind w:firstLine="0"/>
              <w:jc w:val="center"/>
            </w:pPr>
          </w:p>
        </w:tc>
        <w:tc>
          <w:tcPr>
            <w:tcW w:w="1701" w:type="dxa"/>
            <w:tcBorders>
              <w:top w:val="single" w:sz="4" w:space="0" w:color="auto"/>
            </w:tcBorders>
          </w:tcPr>
          <w:p w14:paraId="60B222A2" w14:textId="521CDE9B" w:rsidR="00DA0ECC" w:rsidRDefault="00DA0ECC" w:rsidP="00D27B83">
            <w:pPr>
              <w:pStyle w:val="BodyText"/>
              <w:ind w:firstLine="0"/>
              <w:jc w:val="center"/>
            </w:pPr>
          </w:p>
        </w:tc>
      </w:tr>
      <w:tr w:rsidR="007C51AE" w14:paraId="36DD8395" w14:textId="77777777" w:rsidTr="003342CA">
        <w:trPr>
          <w:jc w:val="center"/>
        </w:trPr>
        <w:tc>
          <w:tcPr>
            <w:tcW w:w="2835" w:type="dxa"/>
          </w:tcPr>
          <w:p w14:paraId="47942763" w14:textId="5CA44B64" w:rsidR="007C51AE" w:rsidRDefault="007C51AE" w:rsidP="007C51AE">
            <w:pPr>
              <w:pStyle w:val="BodyText"/>
              <w:ind w:firstLine="0"/>
            </w:pPr>
            <w:r w:rsidRPr="00E13A1C">
              <w:rPr>
                <w:szCs w:val="24"/>
                <w:lang w:val="en-US"/>
              </w:rPr>
              <w:t xml:space="preserve">- </w:t>
            </w:r>
            <w:r w:rsidR="00E11529">
              <w:rPr>
                <w:szCs w:val="24"/>
                <w:lang w:val="en-US"/>
              </w:rPr>
              <w:t xml:space="preserve">Main </w:t>
            </w:r>
            <w:r w:rsidRPr="00E13A1C">
              <w:rPr>
                <w:szCs w:val="24"/>
                <w:lang w:val="en-US"/>
              </w:rPr>
              <w:t>material</w:t>
            </w:r>
          </w:p>
        </w:tc>
        <w:tc>
          <w:tcPr>
            <w:tcW w:w="1701" w:type="dxa"/>
          </w:tcPr>
          <w:p w14:paraId="19B7D4AA" w14:textId="77638F8A" w:rsidR="007C51AE" w:rsidRDefault="007C51AE" w:rsidP="007C51AE">
            <w:pPr>
              <w:pStyle w:val="BodyText"/>
              <w:ind w:firstLine="0"/>
              <w:jc w:val="center"/>
            </w:pPr>
            <w:r w:rsidRPr="00E13A1C">
              <w:rPr>
                <w:szCs w:val="24"/>
                <w:lang w:val="en-US"/>
              </w:rPr>
              <w:t>B</w:t>
            </w:r>
            <w:r w:rsidRPr="00E13A1C">
              <w:rPr>
                <w:szCs w:val="24"/>
                <w:vertAlign w:val="subscript"/>
                <w:lang w:val="en-US"/>
              </w:rPr>
              <w:t>4</w:t>
            </w:r>
            <w:r w:rsidRPr="00E13A1C">
              <w:rPr>
                <w:szCs w:val="24"/>
                <w:lang w:val="en-US"/>
              </w:rPr>
              <w:t>C</w:t>
            </w:r>
          </w:p>
        </w:tc>
        <w:tc>
          <w:tcPr>
            <w:tcW w:w="1701" w:type="dxa"/>
          </w:tcPr>
          <w:p w14:paraId="3C662D1D" w14:textId="0932685C" w:rsidR="007C51AE" w:rsidRDefault="007C51AE" w:rsidP="007C51AE">
            <w:pPr>
              <w:pStyle w:val="BodyText"/>
              <w:ind w:firstLine="0"/>
              <w:jc w:val="center"/>
            </w:pPr>
            <w:r>
              <w:rPr>
                <w:szCs w:val="24"/>
                <w:lang w:val="en-US"/>
              </w:rPr>
              <w:t>YSZ</w:t>
            </w:r>
          </w:p>
        </w:tc>
      </w:tr>
      <w:tr w:rsidR="007C51AE" w14:paraId="78F21991" w14:textId="77777777" w:rsidTr="003342CA">
        <w:trPr>
          <w:jc w:val="center"/>
        </w:trPr>
        <w:tc>
          <w:tcPr>
            <w:tcW w:w="2835" w:type="dxa"/>
          </w:tcPr>
          <w:p w14:paraId="6B0DC0FF" w14:textId="538B9936" w:rsidR="007C51AE" w:rsidRDefault="007C51AE" w:rsidP="007C51AE">
            <w:pPr>
              <w:pStyle w:val="BodyText"/>
              <w:ind w:firstLine="0"/>
            </w:pPr>
            <w:r w:rsidRPr="00E13A1C">
              <w:rPr>
                <w:szCs w:val="24"/>
                <w:lang w:val="en-US"/>
              </w:rPr>
              <w:t>- Cladding material</w:t>
            </w:r>
          </w:p>
        </w:tc>
        <w:tc>
          <w:tcPr>
            <w:tcW w:w="1701" w:type="dxa"/>
          </w:tcPr>
          <w:p w14:paraId="09B1D6A0" w14:textId="428BEC8F" w:rsidR="007C51AE" w:rsidRDefault="007C51AE" w:rsidP="007C51AE">
            <w:pPr>
              <w:pStyle w:val="BodyText"/>
              <w:ind w:firstLine="0"/>
              <w:jc w:val="center"/>
            </w:pPr>
            <w:r w:rsidRPr="00E13A1C">
              <w:rPr>
                <w:szCs w:val="24"/>
                <w:lang w:val="en-US"/>
              </w:rPr>
              <w:t>15-15</w:t>
            </w:r>
            <w:r w:rsidR="00F46E71">
              <w:rPr>
                <w:szCs w:val="24"/>
                <w:lang w:val="en-US"/>
              </w:rPr>
              <w:t>Ti</w:t>
            </w:r>
          </w:p>
        </w:tc>
        <w:tc>
          <w:tcPr>
            <w:tcW w:w="1701" w:type="dxa"/>
          </w:tcPr>
          <w:p w14:paraId="06835F77" w14:textId="2E3E7AE6" w:rsidR="007C51AE" w:rsidRDefault="00F46E71" w:rsidP="007C51AE">
            <w:pPr>
              <w:pStyle w:val="BodyText"/>
              <w:ind w:firstLine="0"/>
              <w:jc w:val="center"/>
            </w:pPr>
            <w:r w:rsidRPr="00E13A1C">
              <w:rPr>
                <w:szCs w:val="24"/>
                <w:lang w:val="en-US"/>
              </w:rPr>
              <w:t>15-15</w:t>
            </w:r>
            <w:r>
              <w:rPr>
                <w:szCs w:val="24"/>
                <w:lang w:val="en-US"/>
              </w:rPr>
              <w:t>Ti</w:t>
            </w:r>
          </w:p>
        </w:tc>
      </w:tr>
      <w:tr w:rsidR="007C51AE" w14:paraId="424A9D91" w14:textId="77777777" w:rsidTr="003342CA">
        <w:trPr>
          <w:jc w:val="center"/>
        </w:trPr>
        <w:tc>
          <w:tcPr>
            <w:tcW w:w="2835" w:type="dxa"/>
          </w:tcPr>
          <w:p w14:paraId="7ACBB87F" w14:textId="5EC214A5" w:rsidR="007C51AE" w:rsidRDefault="007C51AE" w:rsidP="007C51AE">
            <w:pPr>
              <w:pStyle w:val="BodyText"/>
              <w:ind w:firstLine="0"/>
            </w:pPr>
            <w:r w:rsidRPr="00E13A1C">
              <w:rPr>
                <w:szCs w:val="24"/>
                <w:lang w:val="en-US"/>
              </w:rPr>
              <w:t xml:space="preserve">- Pin diameter, cm </w:t>
            </w:r>
          </w:p>
        </w:tc>
        <w:tc>
          <w:tcPr>
            <w:tcW w:w="1701" w:type="dxa"/>
            <w:vAlign w:val="center"/>
          </w:tcPr>
          <w:p w14:paraId="7471E4D5" w14:textId="18CE1266" w:rsidR="007C51AE" w:rsidRDefault="007C51AE" w:rsidP="007C51AE">
            <w:pPr>
              <w:pStyle w:val="BodyText"/>
              <w:ind w:firstLine="0"/>
              <w:jc w:val="center"/>
            </w:pPr>
            <w:r>
              <w:rPr>
                <w:szCs w:val="24"/>
                <w:lang w:val="en-US"/>
              </w:rPr>
              <w:t>1.70</w:t>
            </w:r>
          </w:p>
        </w:tc>
        <w:tc>
          <w:tcPr>
            <w:tcW w:w="1701" w:type="dxa"/>
            <w:vAlign w:val="center"/>
          </w:tcPr>
          <w:p w14:paraId="5064B398" w14:textId="2ACC12E9" w:rsidR="007C51AE" w:rsidRDefault="007C51AE" w:rsidP="007C51AE">
            <w:pPr>
              <w:pStyle w:val="BodyText"/>
              <w:ind w:firstLine="0"/>
              <w:jc w:val="center"/>
            </w:pPr>
            <w:r w:rsidRPr="00E13A1C">
              <w:rPr>
                <w:szCs w:val="24"/>
                <w:lang w:val="en-US"/>
              </w:rPr>
              <w:t>1.60</w:t>
            </w:r>
          </w:p>
        </w:tc>
      </w:tr>
      <w:tr w:rsidR="007C51AE" w14:paraId="1A4FC44A" w14:textId="77777777" w:rsidTr="003342CA">
        <w:trPr>
          <w:jc w:val="center"/>
        </w:trPr>
        <w:tc>
          <w:tcPr>
            <w:tcW w:w="2835" w:type="dxa"/>
          </w:tcPr>
          <w:p w14:paraId="438BAB3A" w14:textId="2B329281" w:rsidR="007C51AE" w:rsidRDefault="007C51AE" w:rsidP="007C51AE">
            <w:pPr>
              <w:pStyle w:val="BodyText"/>
              <w:ind w:firstLine="0"/>
            </w:pPr>
            <w:r w:rsidRPr="00E13A1C">
              <w:rPr>
                <w:szCs w:val="24"/>
                <w:lang w:val="en-US"/>
              </w:rPr>
              <w:t>- Cladding thickness, cm</w:t>
            </w:r>
          </w:p>
        </w:tc>
        <w:tc>
          <w:tcPr>
            <w:tcW w:w="1701" w:type="dxa"/>
            <w:vAlign w:val="center"/>
          </w:tcPr>
          <w:p w14:paraId="6034AAF5" w14:textId="34A4A148" w:rsidR="007C51AE" w:rsidRDefault="007C51AE" w:rsidP="007C51AE">
            <w:pPr>
              <w:pStyle w:val="BodyText"/>
              <w:ind w:firstLine="0"/>
              <w:jc w:val="center"/>
            </w:pPr>
            <w:r w:rsidRPr="00E13A1C">
              <w:rPr>
                <w:szCs w:val="24"/>
                <w:lang w:val="en-US"/>
              </w:rPr>
              <w:t>0.20</w:t>
            </w:r>
          </w:p>
        </w:tc>
        <w:tc>
          <w:tcPr>
            <w:tcW w:w="1701" w:type="dxa"/>
            <w:vAlign w:val="center"/>
          </w:tcPr>
          <w:p w14:paraId="5F8F5F81" w14:textId="71FE409E" w:rsidR="007C51AE" w:rsidRDefault="007C51AE" w:rsidP="007C51AE">
            <w:pPr>
              <w:pStyle w:val="BodyText"/>
              <w:ind w:firstLine="0"/>
              <w:jc w:val="center"/>
            </w:pPr>
            <w:r w:rsidRPr="00E13A1C">
              <w:rPr>
                <w:szCs w:val="24"/>
                <w:lang w:val="en-US"/>
              </w:rPr>
              <w:t>0.06</w:t>
            </w:r>
          </w:p>
        </w:tc>
      </w:tr>
      <w:tr w:rsidR="007C51AE" w14:paraId="08347DA1" w14:textId="77777777" w:rsidTr="003342CA">
        <w:trPr>
          <w:jc w:val="center"/>
        </w:trPr>
        <w:tc>
          <w:tcPr>
            <w:tcW w:w="2835" w:type="dxa"/>
          </w:tcPr>
          <w:p w14:paraId="0129F7FE" w14:textId="36D83C17" w:rsidR="007C51AE" w:rsidRDefault="007C51AE" w:rsidP="007C51AE">
            <w:pPr>
              <w:pStyle w:val="BodyText"/>
              <w:ind w:firstLine="0"/>
            </w:pPr>
            <w:r w:rsidRPr="00E13A1C">
              <w:rPr>
                <w:szCs w:val="24"/>
                <w:lang w:val="en-US"/>
              </w:rPr>
              <w:t>Assembly data</w:t>
            </w:r>
          </w:p>
        </w:tc>
        <w:tc>
          <w:tcPr>
            <w:tcW w:w="1701" w:type="dxa"/>
            <w:vAlign w:val="center"/>
          </w:tcPr>
          <w:p w14:paraId="421B8C16" w14:textId="77777777" w:rsidR="007C51AE" w:rsidRDefault="007C51AE" w:rsidP="007C51AE">
            <w:pPr>
              <w:pStyle w:val="BodyText"/>
              <w:ind w:firstLine="0"/>
              <w:jc w:val="center"/>
            </w:pPr>
          </w:p>
        </w:tc>
        <w:tc>
          <w:tcPr>
            <w:tcW w:w="1701" w:type="dxa"/>
          </w:tcPr>
          <w:p w14:paraId="35DA0667" w14:textId="77777777" w:rsidR="007C51AE" w:rsidRDefault="007C51AE" w:rsidP="007C51AE">
            <w:pPr>
              <w:pStyle w:val="BodyText"/>
              <w:ind w:firstLine="0"/>
              <w:jc w:val="center"/>
            </w:pPr>
          </w:p>
        </w:tc>
      </w:tr>
      <w:tr w:rsidR="007C51AE" w14:paraId="5BCCBBF2" w14:textId="77777777" w:rsidTr="003342CA">
        <w:trPr>
          <w:jc w:val="center"/>
        </w:trPr>
        <w:tc>
          <w:tcPr>
            <w:tcW w:w="2835" w:type="dxa"/>
          </w:tcPr>
          <w:p w14:paraId="60C445A7" w14:textId="710E42E2" w:rsidR="007C51AE" w:rsidRDefault="007C51AE" w:rsidP="007C51AE">
            <w:pPr>
              <w:pStyle w:val="BodyText"/>
              <w:ind w:firstLine="0"/>
            </w:pPr>
            <w:r w:rsidRPr="00E13A1C">
              <w:rPr>
                <w:szCs w:val="24"/>
                <w:lang w:val="en-US"/>
              </w:rPr>
              <w:t xml:space="preserve">- </w:t>
            </w:r>
            <w:r w:rsidR="001D378E">
              <w:rPr>
                <w:szCs w:val="24"/>
                <w:lang w:val="en-US"/>
              </w:rPr>
              <w:t>#</w:t>
            </w:r>
            <w:r w:rsidRPr="00E13A1C">
              <w:rPr>
                <w:szCs w:val="24"/>
                <w:lang w:val="en-US"/>
              </w:rPr>
              <w:t xml:space="preserve"> pins</w:t>
            </w:r>
          </w:p>
        </w:tc>
        <w:tc>
          <w:tcPr>
            <w:tcW w:w="1701" w:type="dxa"/>
          </w:tcPr>
          <w:p w14:paraId="64B11266" w14:textId="08E0582D" w:rsidR="007C51AE" w:rsidRDefault="007C51AE" w:rsidP="007C51AE">
            <w:pPr>
              <w:pStyle w:val="BodyText"/>
              <w:ind w:firstLine="0"/>
              <w:jc w:val="center"/>
            </w:pPr>
            <w:r w:rsidRPr="0007319D">
              <w:rPr>
                <w:szCs w:val="24"/>
                <w:lang w:val="en-US"/>
              </w:rPr>
              <w:t>19</w:t>
            </w:r>
          </w:p>
        </w:tc>
        <w:tc>
          <w:tcPr>
            <w:tcW w:w="1701" w:type="dxa"/>
          </w:tcPr>
          <w:p w14:paraId="781BC11F" w14:textId="162600A9" w:rsidR="007C51AE" w:rsidRDefault="007C51AE" w:rsidP="007C51AE">
            <w:pPr>
              <w:pStyle w:val="BodyText"/>
              <w:ind w:firstLine="0"/>
              <w:jc w:val="center"/>
            </w:pPr>
            <w:r w:rsidRPr="0007319D">
              <w:rPr>
                <w:szCs w:val="24"/>
                <w:lang w:val="en-US"/>
              </w:rPr>
              <w:t>91</w:t>
            </w:r>
          </w:p>
        </w:tc>
      </w:tr>
      <w:tr w:rsidR="007C51AE" w14:paraId="6673C1BF" w14:textId="77777777" w:rsidTr="003342CA">
        <w:trPr>
          <w:jc w:val="center"/>
        </w:trPr>
        <w:tc>
          <w:tcPr>
            <w:tcW w:w="2835" w:type="dxa"/>
          </w:tcPr>
          <w:p w14:paraId="58530C27" w14:textId="4122D3F4" w:rsidR="007C51AE" w:rsidRDefault="004B781A" w:rsidP="007C51AE">
            <w:pPr>
              <w:pStyle w:val="BodyText"/>
              <w:ind w:firstLine="0"/>
            </w:pPr>
            <w:r>
              <w:t>- Inner duct pitch</w:t>
            </w:r>
            <w:r w:rsidR="003342CA">
              <w:t xml:space="preserve"> / thickness</w:t>
            </w:r>
            <w:r>
              <w:t>, cm</w:t>
            </w:r>
          </w:p>
        </w:tc>
        <w:tc>
          <w:tcPr>
            <w:tcW w:w="1701" w:type="dxa"/>
          </w:tcPr>
          <w:p w14:paraId="05061AD3" w14:textId="4C181CF9" w:rsidR="007C51AE" w:rsidRDefault="004B781A" w:rsidP="007C51AE">
            <w:pPr>
              <w:pStyle w:val="BodyText"/>
              <w:ind w:firstLine="0"/>
              <w:jc w:val="center"/>
            </w:pPr>
            <w:r>
              <w:t>17.10</w:t>
            </w:r>
            <w:r w:rsidR="003342CA">
              <w:t xml:space="preserve"> / 0.40</w:t>
            </w:r>
          </w:p>
        </w:tc>
        <w:tc>
          <w:tcPr>
            <w:tcW w:w="1701" w:type="dxa"/>
          </w:tcPr>
          <w:p w14:paraId="563FBE48" w14:textId="38BD7C7C" w:rsidR="007C51AE" w:rsidRDefault="004B781A" w:rsidP="007C51AE">
            <w:pPr>
              <w:pStyle w:val="BodyText"/>
              <w:ind w:firstLine="0"/>
              <w:jc w:val="center"/>
            </w:pPr>
            <w:r>
              <w:t>--</w:t>
            </w:r>
          </w:p>
        </w:tc>
      </w:tr>
      <w:tr w:rsidR="007C51AE" w14:paraId="3AB8F0FE" w14:textId="77777777" w:rsidTr="003342CA">
        <w:trPr>
          <w:jc w:val="center"/>
        </w:trPr>
        <w:tc>
          <w:tcPr>
            <w:tcW w:w="2835" w:type="dxa"/>
          </w:tcPr>
          <w:p w14:paraId="1BAC8FB5" w14:textId="4238A0A6" w:rsidR="007C51AE" w:rsidRDefault="004B781A" w:rsidP="007C51AE">
            <w:pPr>
              <w:pStyle w:val="BodyText"/>
              <w:ind w:firstLine="0"/>
            </w:pPr>
            <w:r>
              <w:t xml:space="preserve">- Outer </w:t>
            </w:r>
            <w:r w:rsidR="003342CA">
              <w:t>duct pitch / thickness, cm</w:t>
            </w:r>
          </w:p>
        </w:tc>
        <w:tc>
          <w:tcPr>
            <w:tcW w:w="1701" w:type="dxa"/>
            <w:vAlign w:val="center"/>
          </w:tcPr>
          <w:p w14:paraId="4611DE5B" w14:textId="39F294A1" w:rsidR="007C51AE" w:rsidRDefault="004B781A" w:rsidP="007C51AE">
            <w:pPr>
              <w:pStyle w:val="BodyText"/>
              <w:ind w:firstLine="0"/>
              <w:jc w:val="center"/>
            </w:pPr>
            <w:r>
              <w:t>17.90</w:t>
            </w:r>
            <w:r w:rsidR="003342CA">
              <w:t xml:space="preserve"> / 0.40</w:t>
            </w:r>
          </w:p>
        </w:tc>
        <w:tc>
          <w:tcPr>
            <w:tcW w:w="1701" w:type="dxa"/>
            <w:vAlign w:val="center"/>
          </w:tcPr>
          <w:p w14:paraId="368C2D77" w14:textId="2A3CBC75" w:rsidR="007C51AE" w:rsidRDefault="004B781A" w:rsidP="007C51AE">
            <w:pPr>
              <w:pStyle w:val="BodyText"/>
              <w:ind w:firstLine="0"/>
              <w:jc w:val="center"/>
            </w:pPr>
            <w:r>
              <w:t>17.90</w:t>
            </w:r>
            <w:r w:rsidR="003342CA">
              <w:t xml:space="preserve"> / 0.40</w:t>
            </w:r>
          </w:p>
        </w:tc>
      </w:tr>
      <w:tr w:rsidR="007C51AE" w14:paraId="27B58E04" w14:textId="77777777" w:rsidTr="003342CA">
        <w:trPr>
          <w:jc w:val="center"/>
        </w:trPr>
        <w:tc>
          <w:tcPr>
            <w:tcW w:w="2835" w:type="dxa"/>
          </w:tcPr>
          <w:p w14:paraId="0FC9267D" w14:textId="22E9D8C7" w:rsidR="007C51AE" w:rsidRDefault="007C51AE" w:rsidP="007C51AE">
            <w:pPr>
              <w:pStyle w:val="BodyText"/>
              <w:ind w:firstLine="0"/>
            </w:pPr>
            <w:r w:rsidRPr="00E13A1C">
              <w:rPr>
                <w:szCs w:val="24"/>
                <w:lang w:val="en-US"/>
              </w:rPr>
              <w:t>- Assembly pitch, cm</w:t>
            </w:r>
          </w:p>
        </w:tc>
        <w:tc>
          <w:tcPr>
            <w:tcW w:w="1701" w:type="dxa"/>
          </w:tcPr>
          <w:p w14:paraId="32D6426F" w14:textId="002E1513" w:rsidR="007C51AE" w:rsidRDefault="007C51AE" w:rsidP="007C51AE">
            <w:pPr>
              <w:pStyle w:val="BodyText"/>
              <w:ind w:firstLine="0"/>
              <w:jc w:val="center"/>
            </w:pPr>
            <w:r>
              <w:rPr>
                <w:szCs w:val="24"/>
                <w:lang w:val="en-US"/>
              </w:rPr>
              <w:t>18.25</w:t>
            </w:r>
          </w:p>
        </w:tc>
        <w:tc>
          <w:tcPr>
            <w:tcW w:w="1701" w:type="dxa"/>
          </w:tcPr>
          <w:p w14:paraId="60BF5891" w14:textId="02EB3806" w:rsidR="007C51AE" w:rsidRDefault="007C51AE" w:rsidP="007C51AE">
            <w:pPr>
              <w:pStyle w:val="BodyText"/>
              <w:ind w:firstLine="0"/>
              <w:jc w:val="center"/>
            </w:pPr>
            <w:r>
              <w:rPr>
                <w:szCs w:val="24"/>
                <w:lang w:val="en-US"/>
              </w:rPr>
              <w:t>18.25</w:t>
            </w:r>
          </w:p>
        </w:tc>
      </w:tr>
    </w:tbl>
    <w:p w14:paraId="23E412AD" w14:textId="7AE1226E" w:rsidR="002C29DB" w:rsidRDefault="00924891" w:rsidP="00924891">
      <w:pPr>
        <w:pStyle w:val="Heading2"/>
      </w:pPr>
      <w:r w:rsidRPr="00924891">
        <w:t>Core performance</w:t>
      </w:r>
    </w:p>
    <w:p w14:paraId="29F2E24E" w14:textId="14A61A89" w:rsidR="00924891" w:rsidRDefault="00924891" w:rsidP="003E3F2C">
      <w:pPr>
        <w:pStyle w:val="Heading3"/>
        <w:numPr>
          <w:ilvl w:val="2"/>
          <w:numId w:val="10"/>
        </w:numPr>
      </w:pPr>
      <w:r w:rsidRPr="00924891">
        <w:t>Neutronic performance</w:t>
      </w:r>
    </w:p>
    <w:p w14:paraId="4354B796" w14:textId="4231F5D5" w:rsidR="00924891" w:rsidRDefault="00924891" w:rsidP="00924891">
      <w:pPr>
        <w:pStyle w:val="BodyText"/>
      </w:pPr>
      <w:r w:rsidRPr="00337B87">
        <w:t xml:space="preserve">The neutronic performance of the core in terms of </w:t>
      </w:r>
      <w:r w:rsidRPr="00337B87">
        <w:rPr>
          <w:iCs/>
        </w:rPr>
        <w:t>the</w:t>
      </w:r>
      <w:r w:rsidRPr="00337B87">
        <w:rPr>
          <w:i/>
        </w:rPr>
        <w:t xml:space="preserve"> </w:t>
      </w:r>
      <w:proofErr w:type="spellStart"/>
      <w:r w:rsidRPr="00337B87">
        <w:rPr>
          <w:i/>
        </w:rPr>
        <w:t>k</w:t>
      </w:r>
      <w:r w:rsidRPr="00337B87">
        <w:rPr>
          <w:iCs/>
          <w:vertAlign w:val="subscript"/>
        </w:rPr>
        <w:t>eff</w:t>
      </w:r>
      <w:proofErr w:type="spellEnd"/>
      <w:r w:rsidRPr="00337B87">
        <w:t xml:space="preserve"> </w:t>
      </w:r>
      <w:r w:rsidR="00414F30" w:rsidRPr="00337B87">
        <w:t>behaviours</w:t>
      </w:r>
      <w:r w:rsidRPr="00337B87">
        <w:t xml:space="preserve"> and power profiles of the optimized core are investigated in this section. A heterogeneous </w:t>
      </w:r>
      <w:r w:rsidR="00344ADB">
        <w:t xml:space="preserve">pin-by-pin </w:t>
      </w:r>
      <w:r w:rsidRPr="00337B87">
        <w:t xml:space="preserve">whole core is simulated using the UNIST MC code MCS. </w:t>
      </w:r>
      <w:r w:rsidRPr="00337B87">
        <w:rPr>
          <w:rFonts w:eastAsia="맑은 고딕"/>
        </w:rPr>
        <w:t xml:space="preserve">The </w:t>
      </w:r>
      <w:r w:rsidRPr="00337B87">
        <w:rPr>
          <w:rFonts w:eastAsiaTheme="minorEastAsia"/>
        </w:rPr>
        <w:t xml:space="preserve">ENDF/B-VII.0 cross-section library </w:t>
      </w:r>
      <w:r w:rsidRPr="00337B87">
        <w:t xml:space="preserve">is used in MCS. The core </w:t>
      </w:r>
      <w:proofErr w:type="spellStart"/>
      <w:r w:rsidRPr="00337B87">
        <w:rPr>
          <w:i/>
        </w:rPr>
        <w:t>k</w:t>
      </w:r>
      <w:r w:rsidRPr="00337B87">
        <w:rPr>
          <w:iCs/>
          <w:vertAlign w:val="subscript"/>
        </w:rPr>
        <w:t>eff</w:t>
      </w:r>
      <w:proofErr w:type="spellEnd"/>
      <w:r w:rsidRPr="00337B87">
        <w:t xml:space="preserve"> as a function of time with all rods out (ARO) is illustrated in Fig</w:t>
      </w:r>
      <w:r w:rsidR="00414F30">
        <w:t>.</w:t>
      </w:r>
      <w:r w:rsidRPr="00337B87">
        <w:t xml:space="preserve"> </w:t>
      </w:r>
      <w:r w:rsidR="00414F30">
        <w:t>8</w:t>
      </w:r>
      <w:r w:rsidRPr="00337B87">
        <w:t xml:space="preserve">, and it is confirmed that a cycle length of over </w:t>
      </w:r>
      <w:r w:rsidR="00AE0905">
        <w:t>10</w:t>
      </w:r>
      <w:r w:rsidRPr="00337B87">
        <w:t xml:space="preserve"> EFPYs is feasible with a small burnup reactivity swing. </w:t>
      </w:r>
    </w:p>
    <w:p w14:paraId="470D451E" w14:textId="1B7B3582" w:rsidR="00376F10" w:rsidRDefault="006C69B3" w:rsidP="00376F10">
      <w:pPr>
        <w:pStyle w:val="BodyText"/>
        <w:ind w:firstLine="0"/>
        <w:jc w:val="center"/>
      </w:pPr>
      <w:r>
        <w:rPr>
          <w:noProof/>
        </w:rPr>
        <w:drawing>
          <wp:inline distT="0" distB="0" distL="0" distR="0" wp14:anchorId="60C08907" wp14:editId="268E2997">
            <wp:extent cx="3600000" cy="1800199"/>
            <wp:effectExtent l="0" t="0" r="635" b="0"/>
            <wp:docPr id="26" name="Picture 26"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Chart, line chart&#10;&#10;Description automatically generated"/>
                    <pic:cNvPicPr/>
                  </pic:nvPicPr>
                  <pic:blipFill>
                    <a:blip r:embed="rId21" cstate="hqprint">
                      <a:extLst>
                        <a:ext uri="{28A0092B-C50C-407E-A947-70E740481C1C}">
                          <a14:useLocalDpi xmlns:a14="http://schemas.microsoft.com/office/drawing/2010/main"/>
                        </a:ext>
                      </a:extLst>
                    </a:blip>
                    <a:stretch>
                      <a:fillRect/>
                    </a:stretch>
                  </pic:blipFill>
                  <pic:spPr>
                    <a:xfrm>
                      <a:off x="0" y="0"/>
                      <a:ext cx="3600000" cy="1800199"/>
                    </a:xfrm>
                    <a:prstGeom prst="rect">
                      <a:avLst/>
                    </a:prstGeom>
                  </pic:spPr>
                </pic:pic>
              </a:graphicData>
            </a:graphic>
          </wp:inline>
        </w:drawing>
      </w:r>
    </w:p>
    <w:p w14:paraId="63216371" w14:textId="2F7ED670" w:rsidR="00376F10" w:rsidRDefault="00376F10" w:rsidP="00376F10">
      <w:pPr>
        <w:pStyle w:val="Figurecaption"/>
        <w:rPr>
          <w:lang w:eastAsia="es-ES"/>
        </w:rPr>
      </w:pPr>
      <w:r w:rsidRPr="00FA5F27">
        <w:rPr>
          <w:caps/>
          <w:lang w:eastAsia="es-ES"/>
        </w:rPr>
        <w:t>Fig</w:t>
      </w:r>
      <w:r w:rsidRPr="00FA5F27">
        <w:rPr>
          <w:lang w:eastAsia="es-ES"/>
        </w:rPr>
        <w:t>.</w:t>
      </w:r>
      <w:r>
        <w:rPr>
          <w:lang w:eastAsia="es-ES"/>
        </w:rPr>
        <w:t> </w:t>
      </w:r>
      <w:r w:rsidRPr="00FA5F27">
        <w:rPr>
          <w:b/>
          <w:lang w:eastAsia="es-ES"/>
        </w:rPr>
        <w:fldChar w:fldCharType="begin"/>
      </w:r>
      <w:r w:rsidRPr="00FA5F27">
        <w:rPr>
          <w:lang w:eastAsia="es-ES"/>
        </w:rPr>
        <w:instrText xml:space="preserve"> SEQ Figure \* ARABIC </w:instrText>
      </w:r>
      <w:r w:rsidRPr="00FA5F27">
        <w:rPr>
          <w:b/>
          <w:lang w:eastAsia="es-ES"/>
        </w:rPr>
        <w:fldChar w:fldCharType="separate"/>
      </w:r>
      <w:r>
        <w:rPr>
          <w:noProof/>
          <w:lang w:eastAsia="es-ES"/>
        </w:rPr>
        <w:t>8</w:t>
      </w:r>
      <w:r w:rsidRPr="00FA5F27">
        <w:rPr>
          <w:b/>
          <w:lang w:eastAsia="es-ES"/>
        </w:rPr>
        <w:fldChar w:fldCharType="end"/>
      </w:r>
      <w:r w:rsidRPr="00FA5F27">
        <w:rPr>
          <w:lang w:eastAsia="es-ES"/>
        </w:rPr>
        <w:t xml:space="preserve">. </w:t>
      </w:r>
      <w:r w:rsidRPr="00376F10">
        <w:rPr>
          <w:lang w:eastAsia="es-ES"/>
        </w:rPr>
        <w:t xml:space="preserve">Evolution of Core Multiplication Factor over Operation Time.  </w:t>
      </w:r>
    </w:p>
    <w:p w14:paraId="498D1CA3" w14:textId="77777777" w:rsidR="002E1855" w:rsidRDefault="002E1855" w:rsidP="002E1855">
      <w:pPr>
        <w:pStyle w:val="BodyText"/>
        <w:ind w:firstLine="0"/>
      </w:pPr>
    </w:p>
    <w:p w14:paraId="0DFFB8A1" w14:textId="21666510" w:rsidR="002E1855" w:rsidRDefault="002E1855" w:rsidP="002E1855">
      <w:pPr>
        <w:pStyle w:val="BodyText"/>
        <w:ind w:firstLine="720"/>
      </w:pPr>
      <w:r w:rsidRPr="00337B87">
        <w:t>Figs</w:t>
      </w:r>
      <w:r>
        <w:t>.</w:t>
      </w:r>
      <w:r w:rsidRPr="00337B87">
        <w:t xml:space="preserve"> </w:t>
      </w:r>
      <w:r>
        <w:t>9</w:t>
      </w:r>
      <w:r w:rsidRPr="00337B87">
        <w:t xml:space="preserve"> and </w:t>
      </w:r>
      <w:r>
        <w:t>10</w:t>
      </w:r>
      <w:r w:rsidRPr="00337B87">
        <w:t xml:space="preserve"> show the normalized radial and axial power profiles with ARO at BOC, MOC, and EOC. The radial assembly power peak at BOC, MOC, and MOC </w:t>
      </w:r>
      <w:r w:rsidR="009B1F83">
        <w:t>is approximately 1.27</w:t>
      </w:r>
      <w:r w:rsidRPr="00337B87">
        <w:t xml:space="preserve">. As shown in these figures, a power peak tends to move from the core periphery at BOC to the core centre at EOC. Because of the onion zoning core, the axial power rate is depressed at the interface between the two enrichment zones. Overall, the axial power rate during depletion increases at the core centre and decreases at the core bottom and top. </w:t>
      </w:r>
    </w:p>
    <w:p w14:paraId="703FCA83" w14:textId="77777777" w:rsidR="001D4772" w:rsidRDefault="001D4772" w:rsidP="002E1855">
      <w:pPr>
        <w:pStyle w:val="BodyText"/>
        <w:ind w:firstLine="720"/>
      </w:pPr>
    </w:p>
    <w:p w14:paraId="687B7C9F" w14:textId="77777777" w:rsidR="002E1855" w:rsidRDefault="002E1855" w:rsidP="002E1855">
      <w:pPr>
        <w:pStyle w:val="BodyText"/>
        <w:ind w:firstLine="0"/>
        <w:jc w:val="center"/>
      </w:pPr>
      <w:r>
        <w:rPr>
          <w:noProof/>
          <w:szCs w:val="24"/>
        </w:rPr>
        <w:drawing>
          <wp:inline distT="0" distB="0" distL="0" distR="0" wp14:anchorId="3C667914" wp14:editId="086A6901">
            <wp:extent cx="5732145" cy="1527982"/>
            <wp:effectExtent l="0" t="0" r="190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22" cstate="hqprint">
                      <a:extLst>
                        <a:ext uri="{28A0092B-C50C-407E-A947-70E740481C1C}">
                          <a14:useLocalDpi xmlns:a14="http://schemas.microsoft.com/office/drawing/2010/main"/>
                        </a:ext>
                      </a:extLst>
                    </a:blip>
                    <a:stretch>
                      <a:fillRect/>
                    </a:stretch>
                  </pic:blipFill>
                  <pic:spPr>
                    <a:xfrm>
                      <a:off x="0" y="0"/>
                      <a:ext cx="5732145" cy="1527982"/>
                    </a:xfrm>
                    <a:prstGeom prst="rect">
                      <a:avLst/>
                    </a:prstGeom>
                  </pic:spPr>
                </pic:pic>
              </a:graphicData>
            </a:graphic>
          </wp:inline>
        </w:drawing>
      </w:r>
    </w:p>
    <w:p w14:paraId="42987244" w14:textId="1728D019" w:rsidR="002E1855" w:rsidRPr="00337B87" w:rsidRDefault="002E1855" w:rsidP="002E1855">
      <w:pPr>
        <w:pStyle w:val="Figurecaption"/>
      </w:pPr>
      <w:r w:rsidRPr="00FA5F27">
        <w:rPr>
          <w:caps/>
          <w:lang w:eastAsia="es-ES"/>
        </w:rPr>
        <w:t>Fig</w:t>
      </w:r>
      <w:r w:rsidRPr="00FA5F27">
        <w:rPr>
          <w:lang w:eastAsia="es-ES"/>
        </w:rPr>
        <w:t>.</w:t>
      </w:r>
      <w:r>
        <w:rPr>
          <w:lang w:eastAsia="es-ES"/>
        </w:rPr>
        <w:t> </w:t>
      </w:r>
      <w:r w:rsidRPr="00FA5F27">
        <w:rPr>
          <w:b/>
          <w:lang w:eastAsia="es-ES"/>
        </w:rPr>
        <w:fldChar w:fldCharType="begin"/>
      </w:r>
      <w:r w:rsidRPr="00FA5F27">
        <w:rPr>
          <w:lang w:eastAsia="es-ES"/>
        </w:rPr>
        <w:instrText xml:space="preserve"> SEQ Figure \* ARABIC </w:instrText>
      </w:r>
      <w:r w:rsidRPr="00FA5F27">
        <w:rPr>
          <w:b/>
          <w:lang w:eastAsia="es-ES"/>
        </w:rPr>
        <w:fldChar w:fldCharType="separate"/>
      </w:r>
      <w:r>
        <w:rPr>
          <w:noProof/>
          <w:lang w:eastAsia="es-ES"/>
        </w:rPr>
        <w:t>9</w:t>
      </w:r>
      <w:r w:rsidRPr="00FA5F27">
        <w:rPr>
          <w:b/>
          <w:lang w:eastAsia="es-ES"/>
        </w:rPr>
        <w:fldChar w:fldCharType="end"/>
      </w:r>
      <w:r w:rsidRPr="00FA5F27">
        <w:rPr>
          <w:lang w:eastAsia="es-ES"/>
        </w:rPr>
        <w:t xml:space="preserve">. </w:t>
      </w:r>
      <w:r w:rsidR="009B1F83" w:rsidRPr="009B1F83">
        <w:rPr>
          <w:lang w:eastAsia="es-ES"/>
        </w:rPr>
        <w:t>Radial normalized power distribution at BOC, MOC and EOC (left to right).</w:t>
      </w:r>
    </w:p>
    <w:p w14:paraId="11B0D6A2" w14:textId="13F10F13" w:rsidR="00376F10" w:rsidRDefault="00376F10" w:rsidP="00376F10">
      <w:pPr>
        <w:pStyle w:val="BodyText"/>
        <w:ind w:firstLine="0"/>
        <w:jc w:val="center"/>
      </w:pPr>
    </w:p>
    <w:p w14:paraId="190D43AC" w14:textId="03C2422A" w:rsidR="002E1855" w:rsidRDefault="00155392" w:rsidP="002E1855">
      <w:pPr>
        <w:pStyle w:val="BodyText"/>
        <w:ind w:firstLine="0"/>
        <w:jc w:val="center"/>
      </w:pPr>
      <w:r>
        <w:rPr>
          <w:noProof/>
        </w:rPr>
        <w:drawing>
          <wp:inline distT="0" distB="0" distL="0" distR="0" wp14:anchorId="4E70F596" wp14:editId="37C2DFB5">
            <wp:extent cx="4320000" cy="1619941"/>
            <wp:effectExtent l="0" t="0" r="4445" b="0"/>
            <wp:docPr id="23" name="Picture 2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Chart&#10;&#10;Description automatically generated"/>
                    <pic:cNvPicPr/>
                  </pic:nvPicPr>
                  <pic:blipFill>
                    <a:blip r:embed="rId23" cstate="hqprint">
                      <a:extLst>
                        <a:ext uri="{28A0092B-C50C-407E-A947-70E740481C1C}">
                          <a14:useLocalDpi xmlns:a14="http://schemas.microsoft.com/office/drawing/2010/main"/>
                        </a:ext>
                      </a:extLst>
                    </a:blip>
                    <a:stretch>
                      <a:fillRect/>
                    </a:stretch>
                  </pic:blipFill>
                  <pic:spPr>
                    <a:xfrm>
                      <a:off x="0" y="0"/>
                      <a:ext cx="4320000" cy="1619941"/>
                    </a:xfrm>
                    <a:prstGeom prst="rect">
                      <a:avLst/>
                    </a:prstGeom>
                  </pic:spPr>
                </pic:pic>
              </a:graphicData>
            </a:graphic>
          </wp:inline>
        </w:drawing>
      </w:r>
    </w:p>
    <w:p w14:paraId="2CE9E651" w14:textId="2252806C" w:rsidR="002E1855" w:rsidRDefault="002E1855" w:rsidP="002E1855">
      <w:pPr>
        <w:pStyle w:val="Figurecaption"/>
        <w:rPr>
          <w:lang w:eastAsia="es-ES"/>
        </w:rPr>
      </w:pPr>
      <w:r w:rsidRPr="00FA5F27">
        <w:rPr>
          <w:caps/>
          <w:lang w:eastAsia="es-ES"/>
        </w:rPr>
        <w:t>Fig</w:t>
      </w:r>
      <w:r w:rsidRPr="00FA5F27">
        <w:rPr>
          <w:lang w:eastAsia="es-ES"/>
        </w:rPr>
        <w:t>.</w:t>
      </w:r>
      <w:r>
        <w:rPr>
          <w:lang w:eastAsia="es-ES"/>
        </w:rPr>
        <w:t> </w:t>
      </w:r>
      <w:r w:rsidRPr="00FA5F27">
        <w:rPr>
          <w:b/>
          <w:lang w:eastAsia="es-ES"/>
        </w:rPr>
        <w:fldChar w:fldCharType="begin"/>
      </w:r>
      <w:r w:rsidRPr="00FA5F27">
        <w:rPr>
          <w:lang w:eastAsia="es-ES"/>
        </w:rPr>
        <w:instrText xml:space="preserve"> SEQ Figure \* ARABIC </w:instrText>
      </w:r>
      <w:r w:rsidRPr="00FA5F27">
        <w:rPr>
          <w:b/>
          <w:lang w:eastAsia="es-ES"/>
        </w:rPr>
        <w:fldChar w:fldCharType="separate"/>
      </w:r>
      <w:r>
        <w:rPr>
          <w:noProof/>
          <w:lang w:eastAsia="es-ES"/>
        </w:rPr>
        <w:t>10</w:t>
      </w:r>
      <w:r w:rsidRPr="00FA5F27">
        <w:rPr>
          <w:b/>
          <w:lang w:eastAsia="es-ES"/>
        </w:rPr>
        <w:fldChar w:fldCharType="end"/>
      </w:r>
      <w:r w:rsidRPr="00FA5F27">
        <w:rPr>
          <w:lang w:eastAsia="es-ES"/>
        </w:rPr>
        <w:t xml:space="preserve">. </w:t>
      </w:r>
      <w:r w:rsidR="009B1F83" w:rsidRPr="009B1F83">
        <w:rPr>
          <w:lang w:eastAsia="es-ES"/>
        </w:rPr>
        <w:t>Axial normalized power distribution at BOC, MOC and EOC.</w:t>
      </w:r>
    </w:p>
    <w:p w14:paraId="573D9351" w14:textId="77777777" w:rsidR="00285928" w:rsidRDefault="00285928" w:rsidP="00285928">
      <w:pPr>
        <w:pStyle w:val="BodyText"/>
        <w:ind w:firstLine="720"/>
      </w:pPr>
    </w:p>
    <w:p w14:paraId="1BC5F748" w14:textId="72917E12" w:rsidR="00285928" w:rsidRDefault="00285928" w:rsidP="00285928">
      <w:pPr>
        <w:pStyle w:val="BodyText"/>
        <w:ind w:firstLine="720"/>
      </w:pPr>
      <w:r w:rsidRPr="00337B87">
        <w:t xml:space="preserve">MCS depletion calculations can provide isotope-wise number densities for a desired depletion chain with respect to the time step. The mass inventories of several fuel isotopes over the burnup time are shown in </w:t>
      </w:r>
      <w:r>
        <w:t>Fig.</w:t>
      </w:r>
      <w:r w:rsidRPr="00337B87">
        <w:t xml:space="preserve"> </w:t>
      </w:r>
      <w:r>
        <w:t xml:space="preserve">11. </w:t>
      </w:r>
      <w:r w:rsidRPr="00337B87">
        <w:t xml:space="preserve">The isotopes of interest are fissile </w:t>
      </w:r>
      <w:r w:rsidRPr="00337B87">
        <w:rPr>
          <w:vertAlign w:val="superscript"/>
        </w:rPr>
        <w:t>235</w:t>
      </w:r>
      <w:r w:rsidRPr="00337B87">
        <w:t xml:space="preserve">U, </w:t>
      </w:r>
      <w:r w:rsidRPr="00337B87">
        <w:rPr>
          <w:vertAlign w:val="superscript"/>
        </w:rPr>
        <w:t>239</w:t>
      </w:r>
      <w:r w:rsidRPr="00337B87">
        <w:t xml:space="preserve">Pu, </w:t>
      </w:r>
      <w:r w:rsidRPr="00337B87">
        <w:rPr>
          <w:vertAlign w:val="superscript"/>
        </w:rPr>
        <w:t>241</w:t>
      </w:r>
      <w:r w:rsidRPr="00337B87">
        <w:t xml:space="preserve">Pu and fertile </w:t>
      </w:r>
      <w:r w:rsidRPr="00337B87">
        <w:rPr>
          <w:vertAlign w:val="superscript"/>
        </w:rPr>
        <w:t>238</w:t>
      </w:r>
      <w:r w:rsidRPr="00337B87">
        <w:t xml:space="preserve">U, </w:t>
      </w:r>
      <w:r w:rsidRPr="00337B87">
        <w:rPr>
          <w:vertAlign w:val="superscript"/>
        </w:rPr>
        <w:t>240</w:t>
      </w:r>
      <w:r w:rsidRPr="00337B87">
        <w:t xml:space="preserve">Pu. The initial fissile isotope is </w:t>
      </w:r>
      <w:r w:rsidRPr="00337B87">
        <w:rPr>
          <w:vertAlign w:val="superscript"/>
        </w:rPr>
        <w:t>235</w:t>
      </w:r>
      <w:r w:rsidRPr="00337B87">
        <w:t xml:space="preserve">U with a loading mass of approximately </w:t>
      </w:r>
      <w:r>
        <w:t>3</w:t>
      </w:r>
      <w:r w:rsidRPr="00337B87">
        <w:t>,</w:t>
      </w:r>
      <w:r>
        <w:t>0</w:t>
      </w:r>
      <w:r w:rsidRPr="00337B87">
        <w:t xml:space="preserve">00 kg. If the core operates at full power for </w:t>
      </w:r>
      <w:r w:rsidR="00813824">
        <w:t>1</w:t>
      </w:r>
      <w:r w:rsidRPr="00337B87">
        <w:t xml:space="preserve">0 years, the </w:t>
      </w:r>
      <w:r w:rsidRPr="00337B87">
        <w:rPr>
          <w:vertAlign w:val="superscript"/>
        </w:rPr>
        <w:t>235</w:t>
      </w:r>
      <w:r w:rsidRPr="00337B87">
        <w:t>U consumption</w:t>
      </w:r>
      <w:r w:rsidRPr="00337B87">
        <w:rPr>
          <w:vertAlign w:val="superscript"/>
        </w:rPr>
        <w:t xml:space="preserve"> </w:t>
      </w:r>
      <w:r w:rsidRPr="00337B87">
        <w:t xml:space="preserve">amount is approximately </w:t>
      </w:r>
      <w:r w:rsidR="00B244E2">
        <w:t>1,030</w:t>
      </w:r>
      <w:r w:rsidRPr="00337B87">
        <w:t xml:space="preserve"> kg. Additionally, the major fissile isotope produced is </w:t>
      </w:r>
      <w:r w:rsidRPr="00337B87">
        <w:rPr>
          <w:vertAlign w:val="superscript"/>
        </w:rPr>
        <w:t>239</w:t>
      </w:r>
      <w:r w:rsidRPr="00337B87">
        <w:t xml:space="preserve">Pu, of which the mass amount is </w:t>
      </w:r>
      <w:r w:rsidR="00B244E2">
        <w:t>more than</w:t>
      </w:r>
      <w:r w:rsidRPr="00337B87">
        <w:t xml:space="preserve"> </w:t>
      </w:r>
      <w:r w:rsidR="00B244E2">
        <w:t>750</w:t>
      </w:r>
      <w:r w:rsidRPr="00337B87">
        <w:t xml:space="preserve"> kg bred over </w:t>
      </w:r>
      <w:r w:rsidR="00B244E2">
        <w:t>1</w:t>
      </w:r>
      <w:r w:rsidRPr="00337B87">
        <w:t xml:space="preserve">0 EFPYs. The last fissile isotope is </w:t>
      </w:r>
      <w:r w:rsidRPr="00337B87">
        <w:rPr>
          <w:vertAlign w:val="superscript"/>
        </w:rPr>
        <w:t>241</w:t>
      </w:r>
      <w:r w:rsidRPr="00337B87">
        <w:t>Pu, the production rate of which is less than 0.1</w:t>
      </w:r>
      <w:r w:rsidR="00732921">
        <w:t>3</w:t>
      </w:r>
      <w:r w:rsidRPr="00337B87">
        <w:t xml:space="preserve">% compared to </w:t>
      </w:r>
      <w:r w:rsidRPr="00337B87">
        <w:rPr>
          <w:vertAlign w:val="superscript"/>
        </w:rPr>
        <w:t>239</w:t>
      </w:r>
      <w:r w:rsidRPr="00337B87">
        <w:t xml:space="preserve">Pu. </w:t>
      </w:r>
    </w:p>
    <w:p w14:paraId="529E65C9" w14:textId="77777777" w:rsidR="00126049" w:rsidRPr="00337B87" w:rsidRDefault="00126049" w:rsidP="00285928">
      <w:pPr>
        <w:pStyle w:val="BodyText"/>
        <w:ind w:firstLine="720"/>
      </w:pPr>
    </w:p>
    <w:p w14:paraId="71301EB2" w14:textId="1CC34592" w:rsidR="00285928" w:rsidRDefault="00155392" w:rsidP="00285928">
      <w:pPr>
        <w:pStyle w:val="BodyText"/>
        <w:ind w:firstLine="0"/>
        <w:jc w:val="center"/>
      </w:pPr>
      <w:r>
        <w:rPr>
          <w:noProof/>
        </w:rPr>
        <w:drawing>
          <wp:inline distT="0" distB="0" distL="0" distR="0" wp14:anchorId="0A50B481" wp14:editId="48DD72FF">
            <wp:extent cx="4320000" cy="1619940"/>
            <wp:effectExtent l="0" t="0" r="4445" b="0"/>
            <wp:docPr id="25" name="Picture 25"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Chart, line chart&#10;&#10;Description automatically generated"/>
                    <pic:cNvPicPr/>
                  </pic:nvPicPr>
                  <pic:blipFill>
                    <a:blip r:embed="rId24" cstate="hqprint">
                      <a:extLst>
                        <a:ext uri="{28A0092B-C50C-407E-A947-70E740481C1C}">
                          <a14:useLocalDpi xmlns:a14="http://schemas.microsoft.com/office/drawing/2010/main"/>
                        </a:ext>
                      </a:extLst>
                    </a:blip>
                    <a:stretch>
                      <a:fillRect/>
                    </a:stretch>
                  </pic:blipFill>
                  <pic:spPr>
                    <a:xfrm>
                      <a:off x="0" y="0"/>
                      <a:ext cx="4320000" cy="1619940"/>
                    </a:xfrm>
                    <a:prstGeom prst="rect">
                      <a:avLst/>
                    </a:prstGeom>
                  </pic:spPr>
                </pic:pic>
              </a:graphicData>
            </a:graphic>
          </wp:inline>
        </w:drawing>
      </w:r>
    </w:p>
    <w:p w14:paraId="5E167531" w14:textId="441FA29F" w:rsidR="00285928" w:rsidRDefault="00285928" w:rsidP="00285928">
      <w:pPr>
        <w:pStyle w:val="Figurecaption"/>
        <w:rPr>
          <w:lang w:eastAsia="es-ES"/>
        </w:rPr>
      </w:pPr>
      <w:r w:rsidRPr="00FA5F27">
        <w:rPr>
          <w:caps/>
          <w:lang w:eastAsia="es-ES"/>
        </w:rPr>
        <w:t>Fig</w:t>
      </w:r>
      <w:r w:rsidRPr="00FA5F27">
        <w:rPr>
          <w:lang w:eastAsia="es-ES"/>
        </w:rPr>
        <w:t>.</w:t>
      </w:r>
      <w:r>
        <w:rPr>
          <w:lang w:eastAsia="es-ES"/>
        </w:rPr>
        <w:t> </w:t>
      </w:r>
      <w:r w:rsidRPr="00FA5F27">
        <w:rPr>
          <w:b/>
          <w:lang w:eastAsia="es-ES"/>
        </w:rPr>
        <w:fldChar w:fldCharType="begin"/>
      </w:r>
      <w:r w:rsidRPr="00FA5F27">
        <w:rPr>
          <w:lang w:eastAsia="es-ES"/>
        </w:rPr>
        <w:instrText xml:space="preserve"> SEQ Figure \* ARABIC </w:instrText>
      </w:r>
      <w:r w:rsidRPr="00FA5F27">
        <w:rPr>
          <w:b/>
          <w:lang w:eastAsia="es-ES"/>
        </w:rPr>
        <w:fldChar w:fldCharType="separate"/>
      </w:r>
      <w:r w:rsidR="00155392">
        <w:rPr>
          <w:noProof/>
          <w:lang w:eastAsia="es-ES"/>
        </w:rPr>
        <w:t>11</w:t>
      </w:r>
      <w:r w:rsidRPr="00FA5F27">
        <w:rPr>
          <w:b/>
          <w:lang w:eastAsia="es-ES"/>
        </w:rPr>
        <w:fldChar w:fldCharType="end"/>
      </w:r>
      <w:r w:rsidRPr="00FA5F27">
        <w:rPr>
          <w:lang w:eastAsia="es-ES"/>
        </w:rPr>
        <w:t xml:space="preserve">. </w:t>
      </w:r>
      <w:r w:rsidR="00813824" w:rsidRPr="00813824">
        <w:rPr>
          <w:lang w:eastAsia="es-ES"/>
        </w:rPr>
        <w:t>Fuel Isotope Mass Inventories over Operation Time</w:t>
      </w:r>
      <w:r w:rsidR="00813824">
        <w:rPr>
          <w:lang w:eastAsia="es-ES"/>
        </w:rPr>
        <w:t>.</w:t>
      </w:r>
    </w:p>
    <w:p w14:paraId="21DC0D04" w14:textId="7987ECA0" w:rsidR="002E1855" w:rsidRDefault="00860FDD" w:rsidP="00860FDD">
      <w:pPr>
        <w:pStyle w:val="Heading3"/>
      </w:pPr>
      <w:r w:rsidRPr="00860FDD">
        <w:t>Thermal–hydraulic analysis</w:t>
      </w:r>
    </w:p>
    <w:p w14:paraId="3E00E907" w14:textId="3D488E0B" w:rsidR="00BF0E85" w:rsidRPr="00337B87" w:rsidRDefault="00BF0E85" w:rsidP="00BF0E85">
      <w:pPr>
        <w:pStyle w:val="BodyText"/>
      </w:pPr>
      <w:bookmarkStart w:id="4" w:name="_Hlk523132762"/>
      <w:r w:rsidRPr="00337B87">
        <w:t xml:space="preserve">A preliminary TH analysis is performed for the </w:t>
      </w:r>
      <w:r>
        <w:t>ANTS-100e</w:t>
      </w:r>
      <w:r w:rsidRPr="00337B87">
        <w:t xml:space="preserve"> core based on the MCS radial and axial power profiles is performed using </w:t>
      </w:r>
      <w:r w:rsidRPr="00337B87">
        <w:rPr>
          <w:rFonts w:eastAsia="맑은 고딕"/>
        </w:rPr>
        <w:t xml:space="preserve">the MARS-LBE system </w:t>
      </w:r>
      <w:r w:rsidR="004C5CBA">
        <w:rPr>
          <w:rFonts w:eastAsia="맑은 고딕"/>
        </w:rPr>
        <w:fldChar w:fldCharType="begin"/>
      </w:r>
      <w:r w:rsidR="004C5CBA">
        <w:rPr>
          <w:rFonts w:eastAsia="맑은 고딕"/>
        </w:rPr>
        <w:instrText xml:space="preserve"> REF _Ref70590303 \n \h </w:instrText>
      </w:r>
      <w:r w:rsidR="004C5CBA">
        <w:rPr>
          <w:rFonts w:eastAsia="맑은 고딕"/>
        </w:rPr>
      </w:r>
      <w:r w:rsidR="004C5CBA">
        <w:rPr>
          <w:rFonts w:eastAsia="맑은 고딕"/>
        </w:rPr>
        <w:fldChar w:fldCharType="separate"/>
      </w:r>
      <w:r w:rsidR="004C5CBA">
        <w:rPr>
          <w:rFonts w:eastAsia="맑은 고딕"/>
        </w:rPr>
        <w:t>[10]</w:t>
      </w:r>
      <w:r w:rsidR="004C5CBA">
        <w:rPr>
          <w:rFonts w:eastAsia="맑은 고딕"/>
        </w:rPr>
        <w:fldChar w:fldCharType="end"/>
      </w:r>
      <w:r w:rsidRPr="00337B87">
        <w:t xml:space="preserve">. </w:t>
      </w:r>
      <w:bookmarkStart w:id="5" w:name="_Hlk62219615"/>
      <w:r w:rsidRPr="00337B87">
        <w:t xml:space="preserve">In this analysis, a single assembly is considered as </w:t>
      </w:r>
      <w:r w:rsidRPr="00337B87">
        <w:rPr>
          <w:rFonts w:eastAsia="맑은 고딕"/>
        </w:rPr>
        <w:t xml:space="preserve">a 1D domain and the cylindrical and hexagonal </w:t>
      </w:r>
      <w:r w:rsidRPr="00337B87">
        <w:t xml:space="preserve">channels have equivalent diameters. </w:t>
      </w:r>
      <w:bookmarkStart w:id="6" w:name="_Hlk62219199"/>
      <w:r w:rsidRPr="00337B87">
        <w:t xml:space="preserve">The linear heat applied of each channel depends on its location in the radial axial power profiles which is tallied by MCS. </w:t>
      </w:r>
      <w:bookmarkEnd w:id="6"/>
      <w:r w:rsidRPr="00337B87">
        <w:t xml:space="preserve">The average linear heat generation is </w:t>
      </w:r>
      <w:r>
        <w:t>12</w:t>
      </w:r>
      <w:r w:rsidRPr="00337B87">
        <w:t>.</w:t>
      </w:r>
      <w:r>
        <w:t>86</w:t>
      </w:r>
      <w:r w:rsidRPr="00337B87">
        <w:t xml:space="preserve"> kW/m over the core and in the hottest assembly, the local peak linear heat generation is </w:t>
      </w:r>
      <w:r w:rsidR="00F80D35">
        <w:t>approximately 16.33 kW/m</w:t>
      </w:r>
      <w:r w:rsidRPr="00337B87">
        <w:t>.</w:t>
      </w:r>
      <w:bookmarkEnd w:id="5"/>
      <w:r w:rsidRPr="00337B87">
        <w:t xml:space="preserve"> </w:t>
      </w:r>
      <w:r w:rsidR="008B6A55">
        <w:t>Each domain</w:t>
      </w:r>
      <w:r w:rsidRPr="00337B87">
        <w:t xml:space="preserve"> is divided into </w:t>
      </w:r>
      <w:r w:rsidR="007804AB">
        <w:t>20</w:t>
      </w:r>
      <w:r w:rsidRPr="00337B87">
        <w:t xml:space="preserve"> axial meshes (</w:t>
      </w:r>
      <w:r w:rsidR="007804AB">
        <w:t>5</w:t>
      </w:r>
      <w:r w:rsidRPr="00337B87">
        <w:t xml:space="preserve"> cm per mesh). The coolant has an assumed inlet temperature of </w:t>
      </w:r>
      <w:r w:rsidR="007804AB">
        <w:t>30</w:t>
      </w:r>
      <w:r w:rsidRPr="00337B87">
        <w:t xml:space="preserve">0°C and an assumed pressure of 0.1 MPa. </w:t>
      </w:r>
      <w:r w:rsidR="00233908">
        <w:t>T</w:t>
      </w:r>
      <w:r w:rsidR="00233908" w:rsidRPr="00337B87">
        <w:t xml:space="preserve">he flow orifices are to be installed to regulate the channel flow rate </w:t>
      </w:r>
      <w:r w:rsidR="00233908">
        <w:t>and three different flow zones</w:t>
      </w:r>
      <w:r w:rsidR="001D4772">
        <w:t xml:space="preserve"> (as in Fig. 12)</w:t>
      </w:r>
      <w:r w:rsidR="00233908">
        <w:t xml:space="preserve"> are adopted </w:t>
      </w:r>
      <w:r w:rsidR="00233908" w:rsidRPr="00337B87">
        <w:t xml:space="preserve">to maintain the outlet coolant temperature of </w:t>
      </w:r>
      <w:r w:rsidR="00233908">
        <w:t>4</w:t>
      </w:r>
      <w:r w:rsidR="00233908" w:rsidRPr="00337B87">
        <w:t xml:space="preserve">50°C. </w:t>
      </w:r>
      <w:r w:rsidRPr="00337B87">
        <w:t xml:space="preserve">The average </w:t>
      </w:r>
      <w:r w:rsidR="008B6A55">
        <w:t xml:space="preserve">and max </w:t>
      </w:r>
      <w:r w:rsidRPr="00337B87">
        <w:t>velocity of the coolant is 0.</w:t>
      </w:r>
      <w:r w:rsidR="008B6A55">
        <w:t>97</w:t>
      </w:r>
      <w:r w:rsidRPr="00337B87">
        <w:t xml:space="preserve"> m/s </w:t>
      </w:r>
      <w:r w:rsidR="008B6A55">
        <w:t xml:space="preserve">and 1.12 m/s, respectively </w:t>
      </w:r>
      <w:r w:rsidRPr="00337B87">
        <w:t xml:space="preserve">(which is less than the design limit of 1.5 m/s shown in Table 1) to achieve a full output power of </w:t>
      </w:r>
      <w:r w:rsidR="00233908">
        <w:t>10</w:t>
      </w:r>
      <w:r w:rsidRPr="00337B87">
        <w:t>0 MW</w:t>
      </w:r>
      <w:r w:rsidRPr="00337B87">
        <w:rPr>
          <w:vertAlign w:val="subscript"/>
        </w:rPr>
        <w:t>e</w:t>
      </w:r>
      <w:r w:rsidRPr="00337B87">
        <w:t>. Under normal operation, the maximum fuel centreline temperatures, peak cladding temperature, and several coolant parameters at BOC, MOC</w:t>
      </w:r>
      <w:r w:rsidRPr="00337B87">
        <w:rPr>
          <w:rFonts w:eastAsia="맑은 고딕"/>
        </w:rPr>
        <w:t xml:space="preserve">, and EOC are summarized in Table </w:t>
      </w:r>
      <w:r w:rsidR="00E97274">
        <w:t>5</w:t>
      </w:r>
      <w:r w:rsidRPr="00337B87">
        <w:t xml:space="preserve">. </w:t>
      </w:r>
      <w:bookmarkStart w:id="7" w:name="_Hlk521426753"/>
      <w:r w:rsidRPr="00337B87">
        <w:t>Fig</w:t>
      </w:r>
      <w:r w:rsidR="00277F80">
        <w:t>.</w:t>
      </w:r>
      <w:r w:rsidRPr="00337B87">
        <w:t xml:space="preserve"> </w:t>
      </w:r>
      <w:r w:rsidR="00277F80">
        <w:t>12</w:t>
      </w:r>
      <w:r w:rsidRPr="00337B87">
        <w:t xml:space="preserve"> shows the axial fuel, cladding, and coolant temperature distributions for the hottest assembly (the assembly with the maximum power rate). The axial fuel, cladding, and coolant temperatures of the hottest assembly increase from the bottom to the top of the active core as </w:t>
      </w:r>
      <w:r w:rsidRPr="00337B87">
        <w:rPr>
          <w:rFonts w:eastAsia="맑은 고딕"/>
        </w:rPr>
        <w:t xml:space="preserve">the primary </w:t>
      </w:r>
      <w:r w:rsidRPr="00337B87">
        <w:t>coolant flows from the bottom to the top.</w:t>
      </w:r>
      <w:bookmarkEnd w:id="7"/>
      <w:r w:rsidRPr="00337B87">
        <w:t xml:space="preserve"> The maximum fuel centreline temperature and peak cladding temperature over the full cycle are</w:t>
      </w:r>
      <w:r w:rsidR="008B6A55">
        <w:t xml:space="preserve"> less than</w:t>
      </w:r>
      <w:r w:rsidRPr="00337B87">
        <w:t xml:space="preserve">, respectively, </w:t>
      </w:r>
      <w:r w:rsidR="008B6A55">
        <w:t>543</w:t>
      </w:r>
      <w:r w:rsidRPr="00337B87">
        <w:t xml:space="preserve"> and </w:t>
      </w:r>
      <w:r w:rsidR="008B6A55">
        <w:t>500</w:t>
      </w:r>
      <w:r w:rsidRPr="00337B87">
        <w:t xml:space="preserve">°C (as shown in Table </w:t>
      </w:r>
      <w:r w:rsidR="008B6A55">
        <w:t>5</w:t>
      </w:r>
      <w:r w:rsidRPr="00337B87">
        <w:t>)</w:t>
      </w:r>
      <w:bookmarkEnd w:id="4"/>
      <w:r w:rsidRPr="00337B87">
        <w:t xml:space="preserve">. The maximum cladding temperature and coolant outlet temperature remain under 550 </w:t>
      </w:r>
      <w:r w:rsidRPr="00337B87">
        <w:rPr>
          <w:rFonts w:eastAsia="맑은 고딕"/>
        </w:rPr>
        <w:t xml:space="preserve">°C </w:t>
      </w:r>
      <w:r w:rsidRPr="00337B87">
        <w:t xml:space="preserve">under normal operation, which satisfies the criterion mentioned in Table 1. </w:t>
      </w:r>
    </w:p>
    <w:p w14:paraId="201E0335" w14:textId="77777777" w:rsidR="00233908" w:rsidRDefault="00233908" w:rsidP="00233908">
      <w:pPr>
        <w:pStyle w:val="BodyText"/>
        <w:ind w:firstLine="0"/>
      </w:pPr>
    </w:p>
    <w:p w14:paraId="3CC2FEE0" w14:textId="38649564" w:rsidR="00233908" w:rsidRDefault="00233908" w:rsidP="00233908">
      <w:pPr>
        <w:pStyle w:val="BodyText"/>
        <w:ind w:firstLine="0"/>
      </w:pPr>
      <w:r>
        <w:lastRenderedPageBreak/>
        <w:t xml:space="preserve">TABLE </w:t>
      </w:r>
      <w:r w:rsidR="00E97274">
        <w:t>5</w:t>
      </w:r>
      <w:r>
        <w:t>.</w:t>
      </w:r>
      <w:r>
        <w:tab/>
      </w:r>
      <w:r w:rsidR="00E97274" w:rsidRPr="00E97274">
        <w:t>FUEL, CLADDING TEMPERATURES, AND COOLANT PARAMETERS</w:t>
      </w:r>
    </w:p>
    <w:p w14:paraId="1FB8A753" w14:textId="77777777" w:rsidR="00233908" w:rsidRDefault="00233908" w:rsidP="00233908">
      <w:pPr>
        <w:pStyle w:val="BodyText"/>
      </w:pPr>
    </w:p>
    <w:tbl>
      <w:tblPr>
        <w:tblStyle w:val="TableGrid"/>
        <w:tblW w:w="6909" w:type="dxa"/>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38"/>
        <w:gridCol w:w="1103"/>
        <w:gridCol w:w="1134"/>
        <w:gridCol w:w="1134"/>
      </w:tblGrid>
      <w:tr w:rsidR="00DE42B6" w14:paraId="54DB10E4" w14:textId="6C928B89" w:rsidTr="00DE42B6">
        <w:trPr>
          <w:jc w:val="center"/>
        </w:trPr>
        <w:tc>
          <w:tcPr>
            <w:tcW w:w="3538" w:type="dxa"/>
            <w:tcBorders>
              <w:top w:val="single" w:sz="4" w:space="0" w:color="auto"/>
              <w:bottom w:val="single" w:sz="4" w:space="0" w:color="auto"/>
            </w:tcBorders>
          </w:tcPr>
          <w:p w14:paraId="09F7EDBA" w14:textId="303DC02D" w:rsidR="00DE42B6" w:rsidRDefault="00DE42B6" w:rsidP="00233908">
            <w:pPr>
              <w:pStyle w:val="BodyText"/>
              <w:ind w:firstLine="0"/>
            </w:pPr>
            <w:r w:rsidRPr="00337B87">
              <w:rPr>
                <w:b/>
                <w:lang w:val="en-US"/>
              </w:rPr>
              <w:t>Parameter</w:t>
            </w:r>
          </w:p>
        </w:tc>
        <w:tc>
          <w:tcPr>
            <w:tcW w:w="1103" w:type="dxa"/>
            <w:tcBorders>
              <w:top w:val="single" w:sz="4" w:space="0" w:color="auto"/>
              <w:bottom w:val="single" w:sz="4" w:space="0" w:color="auto"/>
            </w:tcBorders>
            <w:vAlign w:val="center"/>
          </w:tcPr>
          <w:p w14:paraId="30374EE9" w14:textId="30C72F94" w:rsidR="00DE42B6" w:rsidRDefault="00DE42B6" w:rsidP="00233908">
            <w:pPr>
              <w:pStyle w:val="BodyText"/>
              <w:ind w:firstLine="0"/>
              <w:jc w:val="center"/>
            </w:pPr>
            <w:r w:rsidRPr="00337B87">
              <w:rPr>
                <w:b/>
                <w:lang w:val="en-US"/>
              </w:rPr>
              <w:t>BOC</w:t>
            </w:r>
          </w:p>
        </w:tc>
        <w:tc>
          <w:tcPr>
            <w:tcW w:w="1134" w:type="dxa"/>
            <w:tcBorders>
              <w:top w:val="single" w:sz="4" w:space="0" w:color="auto"/>
              <w:bottom w:val="single" w:sz="4" w:space="0" w:color="auto"/>
            </w:tcBorders>
            <w:vAlign w:val="center"/>
          </w:tcPr>
          <w:p w14:paraId="0718E29D" w14:textId="64791E59" w:rsidR="00DE42B6" w:rsidRPr="00E13A1C" w:rsidRDefault="00DE42B6" w:rsidP="00233908">
            <w:pPr>
              <w:pStyle w:val="BodyText"/>
              <w:ind w:firstLine="0"/>
              <w:jc w:val="center"/>
              <w:rPr>
                <w:b/>
                <w:bCs/>
                <w:szCs w:val="24"/>
                <w:lang w:val="en-US"/>
              </w:rPr>
            </w:pPr>
            <w:r w:rsidRPr="00337B87">
              <w:rPr>
                <w:b/>
                <w:lang w:val="en-US"/>
              </w:rPr>
              <w:t>MOC</w:t>
            </w:r>
          </w:p>
        </w:tc>
        <w:tc>
          <w:tcPr>
            <w:tcW w:w="1134" w:type="dxa"/>
            <w:tcBorders>
              <w:top w:val="single" w:sz="4" w:space="0" w:color="auto"/>
              <w:bottom w:val="single" w:sz="4" w:space="0" w:color="auto"/>
            </w:tcBorders>
            <w:vAlign w:val="center"/>
          </w:tcPr>
          <w:p w14:paraId="4D0003C0" w14:textId="158E3784" w:rsidR="00DE42B6" w:rsidRPr="00E13A1C" w:rsidRDefault="00DE42B6" w:rsidP="00233908">
            <w:pPr>
              <w:pStyle w:val="BodyText"/>
              <w:ind w:firstLine="0"/>
              <w:jc w:val="center"/>
              <w:rPr>
                <w:b/>
                <w:bCs/>
                <w:szCs w:val="24"/>
                <w:lang w:val="en-US"/>
              </w:rPr>
            </w:pPr>
            <w:r w:rsidRPr="00337B87">
              <w:rPr>
                <w:b/>
                <w:lang w:val="en-US"/>
              </w:rPr>
              <w:t>EOC</w:t>
            </w:r>
          </w:p>
        </w:tc>
      </w:tr>
      <w:tr w:rsidR="00DE42B6" w14:paraId="6BF40292" w14:textId="149CB5B1" w:rsidTr="00DE42B6">
        <w:trPr>
          <w:jc w:val="center"/>
        </w:trPr>
        <w:tc>
          <w:tcPr>
            <w:tcW w:w="3538" w:type="dxa"/>
            <w:tcBorders>
              <w:top w:val="single" w:sz="4" w:space="0" w:color="auto"/>
            </w:tcBorders>
          </w:tcPr>
          <w:p w14:paraId="7323E945" w14:textId="136F793B" w:rsidR="00DE42B6" w:rsidRDefault="00DE42B6" w:rsidP="00233908">
            <w:pPr>
              <w:pStyle w:val="BodyText"/>
              <w:ind w:firstLine="0"/>
            </w:pPr>
            <w:r w:rsidRPr="00337B87">
              <w:rPr>
                <w:lang w:val="en-US"/>
              </w:rPr>
              <w:t>Av</w:t>
            </w:r>
            <w:r>
              <w:rPr>
                <w:lang w:val="en-US"/>
              </w:rPr>
              <w:t>g./Peak</w:t>
            </w:r>
            <w:r w:rsidRPr="00337B87">
              <w:rPr>
                <w:lang w:val="en-US"/>
              </w:rPr>
              <w:t xml:space="preserve"> linear heat generation</w:t>
            </w:r>
            <w:r>
              <w:rPr>
                <w:lang w:val="en-US"/>
              </w:rPr>
              <w:t xml:space="preserve">, </w:t>
            </w:r>
            <w:r w:rsidRPr="00337B87">
              <w:rPr>
                <w:lang w:val="en-US"/>
              </w:rPr>
              <w:t>kW/m</w:t>
            </w:r>
          </w:p>
        </w:tc>
        <w:tc>
          <w:tcPr>
            <w:tcW w:w="3371" w:type="dxa"/>
            <w:gridSpan w:val="3"/>
            <w:tcBorders>
              <w:top w:val="single" w:sz="4" w:space="0" w:color="auto"/>
            </w:tcBorders>
            <w:vAlign w:val="center"/>
          </w:tcPr>
          <w:p w14:paraId="5AF31214" w14:textId="5B69AB34" w:rsidR="00DE42B6" w:rsidRDefault="00DE42B6" w:rsidP="00233908">
            <w:pPr>
              <w:pStyle w:val="BodyText"/>
              <w:ind w:firstLine="0"/>
              <w:jc w:val="center"/>
            </w:pPr>
            <w:r>
              <w:t>12</w:t>
            </w:r>
            <w:r w:rsidRPr="00337B87">
              <w:t>.</w:t>
            </w:r>
            <w:r>
              <w:t xml:space="preserve">86 / </w:t>
            </w:r>
            <w:r>
              <w:rPr>
                <w:lang w:val="en-US"/>
              </w:rPr>
              <w:t>~16.33</w:t>
            </w:r>
          </w:p>
        </w:tc>
      </w:tr>
      <w:tr w:rsidR="00DE42B6" w14:paraId="710037F1" w14:textId="7892088B" w:rsidTr="00DE42B6">
        <w:trPr>
          <w:jc w:val="center"/>
        </w:trPr>
        <w:tc>
          <w:tcPr>
            <w:tcW w:w="3538" w:type="dxa"/>
          </w:tcPr>
          <w:p w14:paraId="61A2B6BA" w14:textId="2BEA5665" w:rsidR="00DE42B6" w:rsidRDefault="00DE42B6" w:rsidP="00233908">
            <w:pPr>
              <w:pStyle w:val="BodyText"/>
              <w:ind w:firstLine="0"/>
            </w:pPr>
            <w:r w:rsidRPr="00337B87">
              <w:rPr>
                <w:lang w:val="en-US"/>
              </w:rPr>
              <w:t>Av</w:t>
            </w:r>
            <w:r>
              <w:rPr>
                <w:lang w:val="en-US"/>
              </w:rPr>
              <w:t>g.</w:t>
            </w:r>
            <w:r w:rsidRPr="00337B87">
              <w:rPr>
                <w:lang w:val="en-US"/>
              </w:rPr>
              <w:t xml:space="preserve"> fuel temperature</w:t>
            </w:r>
            <w:r>
              <w:rPr>
                <w:lang w:val="en-US"/>
              </w:rPr>
              <w:t xml:space="preserve">, </w:t>
            </w:r>
            <w:r w:rsidRPr="00337B87">
              <w:rPr>
                <w:lang w:val="en-US"/>
              </w:rPr>
              <w:t>°C</w:t>
            </w:r>
          </w:p>
        </w:tc>
        <w:tc>
          <w:tcPr>
            <w:tcW w:w="1103" w:type="dxa"/>
            <w:vAlign w:val="center"/>
          </w:tcPr>
          <w:p w14:paraId="18A79B5F" w14:textId="259C627E" w:rsidR="00DE42B6" w:rsidRDefault="00DE42B6" w:rsidP="00233908">
            <w:pPr>
              <w:pStyle w:val="BodyText"/>
              <w:ind w:firstLine="0"/>
              <w:jc w:val="center"/>
            </w:pPr>
            <w:r>
              <w:t>469.6</w:t>
            </w:r>
          </w:p>
        </w:tc>
        <w:tc>
          <w:tcPr>
            <w:tcW w:w="1134" w:type="dxa"/>
            <w:vAlign w:val="center"/>
          </w:tcPr>
          <w:p w14:paraId="3BA0C69A" w14:textId="207A6262" w:rsidR="00DE42B6" w:rsidRPr="00E13A1C" w:rsidRDefault="00DE42B6" w:rsidP="00233908">
            <w:pPr>
              <w:pStyle w:val="BodyText"/>
              <w:ind w:firstLine="0"/>
              <w:jc w:val="center"/>
              <w:rPr>
                <w:szCs w:val="24"/>
                <w:lang w:val="en-US"/>
              </w:rPr>
            </w:pPr>
            <w:r>
              <w:t>469.3</w:t>
            </w:r>
          </w:p>
        </w:tc>
        <w:tc>
          <w:tcPr>
            <w:tcW w:w="1134" w:type="dxa"/>
            <w:vAlign w:val="center"/>
          </w:tcPr>
          <w:p w14:paraId="155EBFEC" w14:textId="6B872BE8" w:rsidR="00DE42B6" w:rsidRPr="00E13A1C" w:rsidRDefault="00DE42B6" w:rsidP="00233908">
            <w:pPr>
              <w:pStyle w:val="BodyText"/>
              <w:ind w:firstLine="0"/>
              <w:jc w:val="center"/>
              <w:rPr>
                <w:szCs w:val="24"/>
                <w:lang w:val="en-US"/>
              </w:rPr>
            </w:pPr>
            <w:r>
              <w:t>468.7</w:t>
            </w:r>
          </w:p>
        </w:tc>
      </w:tr>
      <w:tr w:rsidR="00DE42B6" w14:paraId="21F07191" w14:textId="6EF58B49" w:rsidTr="00DE42B6">
        <w:trPr>
          <w:jc w:val="center"/>
        </w:trPr>
        <w:tc>
          <w:tcPr>
            <w:tcW w:w="3538" w:type="dxa"/>
          </w:tcPr>
          <w:p w14:paraId="306F0DBD" w14:textId="0D670BD1" w:rsidR="00DE42B6" w:rsidRDefault="00DE42B6" w:rsidP="00233908">
            <w:pPr>
              <w:pStyle w:val="BodyText"/>
              <w:ind w:firstLine="0"/>
            </w:pPr>
            <w:r w:rsidRPr="00337B87">
              <w:rPr>
                <w:lang w:val="en-US"/>
              </w:rPr>
              <w:t>Max</w:t>
            </w:r>
            <w:r>
              <w:rPr>
                <w:lang w:val="en-US"/>
              </w:rPr>
              <w:t>.</w:t>
            </w:r>
            <w:r w:rsidRPr="00337B87">
              <w:rPr>
                <w:lang w:val="en-US"/>
              </w:rPr>
              <w:t xml:space="preserve"> fuel centerline temperature</w:t>
            </w:r>
            <w:r>
              <w:rPr>
                <w:lang w:val="en-US"/>
              </w:rPr>
              <w:t xml:space="preserve">, </w:t>
            </w:r>
            <w:r w:rsidRPr="00337B87">
              <w:rPr>
                <w:lang w:val="en-US"/>
              </w:rPr>
              <w:t>°C</w:t>
            </w:r>
          </w:p>
        </w:tc>
        <w:tc>
          <w:tcPr>
            <w:tcW w:w="1103" w:type="dxa"/>
            <w:vAlign w:val="center"/>
          </w:tcPr>
          <w:p w14:paraId="4CE5AB7B" w14:textId="2176BE0A" w:rsidR="00DE42B6" w:rsidRDefault="00DE42B6" w:rsidP="00233908">
            <w:pPr>
              <w:pStyle w:val="BodyText"/>
              <w:ind w:firstLine="0"/>
              <w:jc w:val="center"/>
            </w:pPr>
            <w:r>
              <w:rPr>
                <w:lang w:val="en-US"/>
              </w:rPr>
              <w:t>542.9</w:t>
            </w:r>
          </w:p>
        </w:tc>
        <w:tc>
          <w:tcPr>
            <w:tcW w:w="1134" w:type="dxa"/>
            <w:vAlign w:val="center"/>
          </w:tcPr>
          <w:p w14:paraId="0B64CD76" w14:textId="3D94959C" w:rsidR="00DE42B6" w:rsidRPr="00E13A1C" w:rsidRDefault="00DE42B6" w:rsidP="00233908">
            <w:pPr>
              <w:pStyle w:val="BodyText"/>
              <w:ind w:firstLine="0"/>
              <w:jc w:val="center"/>
              <w:rPr>
                <w:szCs w:val="24"/>
                <w:lang w:val="en-US"/>
              </w:rPr>
            </w:pPr>
            <w:r>
              <w:rPr>
                <w:lang w:val="en-US"/>
              </w:rPr>
              <w:t>542.0</w:t>
            </w:r>
          </w:p>
        </w:tc>
        <w:tc>
          <w:tcPr>
            <w:tcW w:w="1134" w:type="dxa"/>
            <w:vAlign w:val="center"/>
          </w:tcPr>
          <w:p w14:paraId="5CED6575" w14:textId="0121EB96" w:rsidR="00DE42B6" w:rsidRPr="00E13A1C" w:rsidRDefault="00DE42B6" w:rsidP="00233908">
            <w:pPr>
              <w:pStyle w:val="BodyText"/>
              <w:ind w:firstLine="0"/>
              <w:jc w:val="center"/>
              <w:rPr>
                <w:szCs w:val="24"/>
                <w:lang w:val="en-US"/>
              </w:rPr>
            </w:pPr>
            <w:r>
              <w:rPr>
                <w:lang w:val="en-US"/>
              </w:rPr>
              <w:t>543.2</w:t>
            </w:r>
          </w:p>
        </w:tc>
      </w:tr>
      <w:tr w:rsidR="00DE42B6" w14:paraId="4B30788B" w14:textId="1A5A0FC0" w:rsidTr="00DE42B6">
        <w:trPr>
          <w:jc w:val="center"/>
        </w:trPr>
        <w:tc>
          <w:tcPr>
            <w:tcW w:w="3538" w:type="dxa"/>
          </w:tcPr>
          <w:p w14:paraId="20418006" w14:textId="7AB5578A" w:rsidR="00DE42B6" w:rsidRDefault="00DE42B6" w:rsidP="00233908">
            <w:pPr>
              <w:pStyle w:val="BodyText"/>
              <w:ind w:firstLine="0"/>
            </w:pPr>
            <w:r w:rsidRPr="00337B87">
              <w:rPr>
                <w:lang w:val="en-US"/>
              </w:rPr>
              <w:t>Peak cladding temperature</w:t>
            </w:r>
            <w:r>
              <w:rPr>
                <w:lang w:val="en-US"/>
              </w:rPr>
              <w:t xml:space="preserve">, </w:t>
            </w:r>
            <w:r w:rsidRPr="00337B87">
              <w:rPr>
                <w:lang w:val="en-US"/>
              </w:rPr>
              <w:t>°C</w:t>
            </w:r>
          </w:p>
        </w:tc>
        <w:tc>
          <w:tcPr>
            <w:tcW w:w="1103" w:type="dxa"/>
            <w:vAlign w:val="center"/>
          </w:tcPr>
          <w:p w14:paraId="2623EC64" w14:textId="5F16CE29" w:rsidR="00DE42B6" w:rsidRDefault="00DE42B6" w:rsidP="00233908">
            <w:pPr>
              <w:pStyle w:val="BodyText"/>
              <w:ind w:firstLine="0"/>
              <w:jc w:val="center"/>
            </w:pPr>
            <w:r>
              <w:rPr>
                <w:lang w:val="en-US"/>
              </w:rPr>
              <w:t>498.5</w:t>
            </w:r>
          </w:p>
        </w:tc>
        <w:tc>
          <w:tcPr>
            <w:tcW w:w="1134" w:type="dxa"/>
            <w:vAlign w:val="center"/>
          </w:tcPr>
          <w:p w14:paraId="4744BB1E" w14:textId="0FE85A77" w:rsidR="00DE42B6" w:rsidRPr="00E13A1C" w:rsidRDefault="00DE42B6" w:rsidP="00233908">
            <w:pPr>
              <w:pStyle w:val="BodyText"/>
              <w:ind w:firstLine="0"/>
              <w:jc w:val="center"/>
              <w:rPr>
                <w:szCs w:val="24"/>
                <w:lang w:val="en-US"/>
              </w:rPr>
            </w:pPr>
            <w:r>
              <w:rPr>
                <w:lang w:val="en-US"/>
              </w:rPr>
              <w:t>490.5</w:t>
            </w:r>
          </w:p>
        </w:tc>
        <w:tc>
          <w:tcPr>
            <w:tcW w:w="1134" w:type="dxa"/>
            <w:vAlign w:val="center"/>
          </w:tcPr>
          <w:p w14:paraId="0C1AEEDA" w14:textId="441F229F" w:rsidR="00DE42B6" w:rsidRPr="00E13A1C" w:rsidRDefault="00DE42B6" w:rsidP="00233908">
            <w:pPr>
              <w:pStyle w:val="BodyText"/>
              <w:ind w:firstLine="0"/>
              <w:jc w:val="center"/>
              <w:rPr>
                <w:szCs w:val="24"/>
                <w:lang w:val="en-US"/>
              </w:rPr>
            </w:pPr>
            <w:r>
              <w:rPr>
                <w:lang w:val="en-US"/>
              </w:rPr>
              <w:t>485.2</w:t>
            </w:r>
          </w:p>
        </w:tc>
      </w:tr>
      <w:tr w:rsidR="00DE42B6" w14:paraId="15CB389C" w14:textId="0049DA38" w:rsidTr="00DE42B6">
        <w:trPr>
          <w:jc w:val="center"/>
        </w:trPr>
        <w:tc>
          <w:tcPr>
            <w:tcW w:w="3538" w:type="dxa"/>
          </w:tcPr>
          <w:p w14:paraId="1D8D3986" w14:textId="23A6DDD7" w:rsidR="00DE42B6" w:rsidRDefault="00DE42B6" w:rsidP="00233908">
            <w:pPr>
              <w:pStyle w:val="BodyText"/>
              <w:ind w:firstLine="0"/>
            </w:pPr>
            <w:r w:rsidRPr="00337B87">
              <w:rPr>
                <w:lang w:val="en-US"/>
              </w:rPr>
              <w:t>Coolant (in active core region)</w:t>
            </w:r>
          </w:p>
        </w:tc>
        <w:tc>
          <w:tcPr>
            <w:tcW w:w="1103" w:type="dxa"/>
            <w:vAlign w:val="center"/>
          </w:tcPr>
          <w:p w14:paraId="55CF8918" w14:textId="77777777" w:rsidR="00DE42B6" w:rsidRDefault="00DE42B6" w:rsidP="00233908">
            <w:pPr>
              <w:pStyle w:val="BodyText"/>
              <w:ind w:firstLine="0"/>
              <w:jc w:val="center"/>
            </w:pPr>
          </w:p>
        </w:tc>
        <w:tc>
          <w:tcPr>
            <w:tcW w:w="1134" w:type="dxa"/>
          </w:tcPr>
          <w:p w14:paraId="39C2E3E5" w14:textId="270425E5" w:rsidR="00DE42B6" w:rsidRDefault="00DE42B6" w:rsidP="00233908">
            <w:pPr>
              <w:pStyle w:val="BodyText"/>
              <w:ind w:firstLine="0"/>
              <w:jc w:val="center"/>
            </w:pPr>
          </w:p>
        </w:tc>
        <w:tc>
          <w:tcPr>
            <w:tcW w:w="1134" w:type="dxa"/>
            <w:vAlign w:val="center"/>
          </w:tcPr>
          <w:p w14:paraId="2C455296" w14:textId="77777777" w:rsidR="00DE42B6" w:rsidRDefault="00DE42B6" w:rsidP="00233908">
            <w:pPr>
              <w:pStyle w:val="BodyText"/>
              <w:ind w:firstLine="0"/>
              <w:jc w:val="center"/>
            </w:pPr>
          </w:p>
        </w:tc>
      </w:tr>
      <w:tr w:rsidR="00DE42B6" w14:paraId="1084EEAE" w14:textId="09524BC0" w:rsidTr="00DE42B6">
        <w:trPr>
          <w:jc w:val="center"/>
        </w:trPr>
        <w:tc>
          <w:tcPr>
            <w:tcW w:w="3538" w:type="dxa"/>
          </w:tcPr>
          <w:p w14:paraId="4F151115" w14:textId="4D5B6ABF" w:rsidR="00DE42B6" w:rsidRDefault="00DE42B6" w:rsidP="00233908">
            <w:pPr>
              <w:pStyle w:val="BodyText"/>
              <w:ind w:firstLine="0"/>
            </w:pPr>
            <w:r w:rsidRPr="00337B87">
              <w:rPr>
                <w:lang w:val="en-US"/>
              </w:rPr>
              <w:t xml:space="preserve">- </w:t>
            </w:r>
            <w:r>
              <w:rPr>
                <w:lang w:val="en-US"/>
              </w:rPr>
              <w:t>Avg./ Max. f</w:t>
            </w:r>
            <w:r w:rsidRPr="00337B87">
              <w:rPr>
                <w:lang w:val="en-US"/>
              </w:rPr>
              <w:t>luid velocity</w:t>
            </w:r>
            <w:r>
              <w:rPr>
                <w:lang w:val="en-US"/>
              </w:rPr>
              <w:t>, m/s</w:t>
            </w:r>
          </w:p>
        </w:tc>
        <w:tc>
          <w:tcPr>
            <w:tcW w:w="3371" w:type="dxa"/>
            <w:gridSpan w:val="3"/>
            <w:vAlign w:val="center"/>
          </w:tcPr>
          <w:p w14:paraId="3530AA11" w14:textId="7945C0BB" w:rsidR="00DE42B6" w:rsidRDefault="00DE42B6" w:rsidP="00233908">
            <w:pPr>
              <w:pStyle w:val="BodyText"/>
              <w:ind w:firstLine="0"/>
              <w:jc w:val="center"/>
            </w:pPr>
            <w:r>
              <w:rPr>
                <w:lang w:val="en-US"/>
              </w:rPr>
              <w:t>0.97/1.12</w:t>
            </w:r>
          </w:p>
        </w:tc>
      </w:tr>
      <w:tr w:rsidR="00DE42B6" w14:paraId="02048434" w14:textId="26F91330" w:rsidTr="00DE42B6">
        <w:trPr>
          <w:jc w:val="center"/>
        </w:trPr>
        <w:tc>
          <w:tcPr>
            <w:tcW w:w="3538" w:type="dxa"/>
          </w:tcPr>
          <w:p w14:paraId="56C54BE5" w14:textId="450216A2" w:rsidR="00DE42B6" w:rsidRDefault="00DE42B6" w:rsidP="0062520B">
            <w:pPr>
              <w:pStyle w:val="BodyText"/>
              <w:ind w:firstLine="0"/>
            </w:pPr>
            <w:r w:rsidRPr="00337B87">
              <w:rPr>
                <w:lang w:val="en-US"/>
              </w:rPr>
              <w:t xml:space="preserve">- </w:t>
            </w:r>
            <w:r>
              <w:rPr>
                <w:lang w:val="en-US"/>
              </w:rPr>
              <w:t>Total f</w:t>
            </w:r>
            <w:r w:rsidRPr="00337B87">
              <w:rPr>
                <w:lang w:val="en-US"/>
              </w:rPr>
              <w:t>low rate</w:t>
            </w:r>
            <w:r>
              <w:rPr>
                <w:lang w:val="en-US"/>
              </w:rPr>
              <w:t>, kg/s</w:t>
            </w:r>
          </w:p>
        </w:tc>
        <w:tc>
          <w:tcPr>
            <w:tcW w:w="3371" w:type="dxa"/>
            <w:gridSpan w:val="3"/>
            <w:vAlign w:val="center"/>
          </w:tcPr>
          <w:p w14:paraId="3C61D714" w14:textId="51171C91" w:rsidR="00DE42B6" w:rsidRDefault="00DE42B6" w:rsidP="008D2427">
            <w:pPr>
              <w:pStyle w:val="BodyText"/>
              <w:ind w:firstLine="0"/>
              <w:jc w:val="center"/>
            </w:pPr>
            <w:r>
              <w:rPr>
                <w:lang w:val="en-US"/>
              </w:rPr>
              <w:t>13,633</w:t>
            </w:r>
          </w:p>
        </w:tc>
      </w:tr>
      <w:tr w:rsidR="00DE42B6" w14:paraId="66B8E186" w14:textId="1084EE6A" w:rsidTr="00DE42B6">
        <w:trPr>
          <w:jc w:val="center"/>
        </w:trPr>
        <w:tc>
          <w:tcPr>
            <w:tcW w:w="3538" w:type="dxa"/>
          </w:tcPr>
          <w:p w14:paraId="0250724C" w14:textId="60D50998" w:rsidR="00DE42B6" w:rsidRDefault="00DE42B6" w:rsidP="0062520B">
            <w:pPr>
              <w:pStyle w:val="BodyText"/>
              <w:ind w:firstLine="0"/>
            </w:pPr>
            <w:r w:rsidRPr="00337B87">
              <w:rPr>
                <w:lang w:val="en-US"/>
              </w:rPr>
              <w:t>- Av</w:t>
            </w:r>
            <w:r>
              <w:rPr>
                <w:lang w:val="en-US"/>
              </w:rPr>
              <w:t>g./Max.</w:t>
            </w:r>
            <w:r w:rsidRPr="00337B87">
              <w:rPr>
                <w:lang w:val="en-US"/>
              </w:rPr>
              <w:t xml:space="preserve"> coolant temperature</w:t>
            </w:r>
            <w:r>
              <w:rPr>
                <w:lang w:val="en-US"/>
              </w:rPr>
              <w:t xml:space="preserve">, </w:t>
            </w:r>
            <w:r w:rsidRPr="00337B87">
              <w:rPr>
                <w:lang w:val="en-US"/>
              </w:rPr>
              <w:t>°C</w:t>
            </w:r>
          </w:p>
        </w:tc>
        <w:tc>
          <w:tcPr>
            <w:tcW w:w="1103" w:type="dxa"/>
            <w:vAlign w:val="center"/>
          </w:tcPr>
          <w:p w14:paraId="47496BC9" w14:textId="374C858B" w:rsidR="00DE42B6" w:rsidRDefault="00DE42B6" w:rsidP="0062520B">
            <w:pPr>
              <w:pStyle w:val="BodyText"/>
              <w:ind w:firstLine="0"/>
              <w:jc w:val="center"/>
            </w:pPr>
            <w:r>
              <w:rPr>
                <w:lang w:val="en-US"/>
              </w:rPr>
              <w:t>450/481</w:t>
            </w:r>
          </w:p>
        </w:tc>
        <w:tc>
          <w:tcPr>
            <w:tcW w:w="1134" w:type="dxa"/>
          </w:tcPr>
          <w:p w14:paraId="3CE06827" w14:textId="04F850D2" w:rsidR="00DE42B6" w:rsidRDefault="00DE42B6" w:rsidP="0062520B">
            <w:pPr>
              <w:pStyle w:val="BodyText"/>
              <w:ind w:firstLine="0"/>
              <w:jc w:val="center"/>
              <w:rPr>
                <w:szCs w:val="24"/>
                <w:lang w:val="en-US"/>
              </w:rPr>
            </w:pPr>
            <w:r>
              <w:rPr>
                <w:szCs w:val="24"/>
                <w:lang w:val="en-US"/>
              </w:rPr>
              <w:t>450/474</w:t>
            </w:r>
          </w:p>
        </w:tc>
        <w:tc>
          <w:tcPr>
            <w:tcW w:w="1134" w:type="dxa"/>
            <w:vAlign w:val="center"/>
          </w:tcPr>
          <w:p w14:paraId="56BB0B4F" w14:textId="7840654E" w:rsidR="00DE42B6" w:rsidRDefault="00DE42B6" w:rsidP="0062520B">
            <w:pPr>
              <w:pStyle w:val="BodyText"/>
              <w:ind w:firstLine="0"/>
              <w:jc w:val="center"/>
              <w:rPr>
                <w:szCs w:val="24"/>
                <w:lang w:val="en-US"/>
              </w:rPr>
            </w:pPr>
            <w:r>
              <w:rPr>
                <w:szCs w:val="24"/>
                <w:lang w:val="en-US"/>
              </w:rPr>
              <w:t>450/469</w:t>
            </w:r>
          </w:p>
        </w:tc>
      </w:tr>
    </w:tbl>
    <w:p w14:paraId="1E80DF1F" w14:textId="50FC676D" w:rsidR="00C763A6" w:rsidRDefault="00C763A6" w:rsidP="00C763A6">
      <w:pPr>
        <w:pStyle w:val="BodyText"/>
        <w:ind w:firstLine="0"/>
      </w:pPr>
    </w:p>
    <w:p w14:paraId="7E189F27" w14:textId="3D8F4AEB" w:rsidR="00C763A6" w:rsidRDefault="00C763A6" w:rsidP="00C763A6">
      <w:pPr>
        <w:pStyle w:val="BodyText"/>
        <w:ind w:firstLine="0"/>
        <w:jc w:val="center"/>
      </w:pPr>
      <w:r>
        <w:rPr>
          <w:noProof/>
        </w:rPr>
        <w:drawing>
          <wp:inline distT="0" distB="0" distL="0" distR="0" wp14:anchorId="0E0E8E00" wp14:editId="3470C8CD">
            <wp:extent cx="2637828" cy="2880000"/>
            <wp:effectExtent l="0" t="0" r="0" b="0"/>
            <wp:docPr id="19803" name="Picture 19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a:ext>
                      </a:extLst>
                    </a:blip>
                    <a:srcRect/>
                    <a:stretch>
                      <a:fillRect/>
                    </a:stretch>
                  </pic:blipFill>
                  <pic:spPr bwMode="auto">
                    <a:xfrm>
                      <a:off x="0" y="0"/>
                      <a:ext cx="2637828" cy="2880000"/>
                    </a:xfrm>
                    <a:prstGeom prst="rect">
                      <a:avLst/>
                    </a:prstGeom>
                    <a:noFill/>
                  </pic:spPr>
                </pic:pic>
              </a:graphicData>
            </a:graphic>
          </wp:inline>
        </w:drawing>
      </w:r>
      <w:r>
        <w:rPr>
          <w:noProof/>
        </w:rPr>
        <w:drawing>
          <wp:inline distT="0" distB="0" distL="0" distR="0" wp14:anchorId="011DF65B" wp14:editId="6AAD1EB3">
            <wp:extent cx="2880000" cy="2880000"/>
            <wp:effectExtent l="0" t="0" r="0" b="0"/>
            <wp:docPr id="19804" name="Picture 1980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4" name="Picture 19804" descr="Chart&#10;&#10;Description automatically generated"/>
                    <pic:cNvPicPr/>
                  </pic:nvPicPr>
                  <pic:blipFill>
                    <a:blip r:embed="rId26" cstate="hqprint">
                      <a:extLst>
                        <a:ext uri="{28A0092B-C50C-407E-A947-70E740481C1C}">
                          <a14:useLocalDpi xmlns:a14="http://schemas.microsoft.com/office/drawing/2010/main"/>
                        </a:ext>
                      </a:extLst>
                    </a:blip>
                    <a:stretch>
                      <a:fillRect/>
                    </a:stretch>
                  </pic:blipFill>
                  <pic:spPr>
                    <a:xfrm>
                      <a:off x="0" y="0"/>
                      <a:ext cx="2880000" cy="2880000"/>
                    </a:xfrm>
                    <a:prstGeom prst="rect">
                      <a:avLst/>
                    </a:prstGeom>
                  </pic:spPr>
                </pic:pic>
              </a:graphicData>
            </a:graphic>
          </wp:inline>
        </w:drawing>
      </w:r>
    </w:p>
    <w:p w14:paraId="72317BED" w14:textId="08B2756F" w:rsidR="004E326F" w:rsidRDefault="004E326F" w:rsidP="004E326F">
      <w:pPr>
        <w:pStyle w:val="Figurecaption"/>
        <w:rPr>
          <w:lang w:eastAsia="es-ES"/>
        </w:rPr>
      </w:pPr>
      <w:r w:rsidRPr="00FA5F27">
        <w:rPr>
          <w:caps/>
          <w:lang w:eastAsia="es-ES"/>
        </w:rPr>
        <w:t>Fig</w:t>
      </w:r>
      <w:r w:rsidRPr="00FA5F27">
        <w:rPr>
          <w:lang w:eastAsia="es-ES"/>
        </w:rPr>
        <w:t>.</w:t>
      </w:r>
      <w:r>
        <w:rPr>
          <w:lang w:eastAsia="es-ES"/>
        </w:rPr>
        <w:t> </w:t>
      </w:r>
      <w:r w:rsidRPr="00FA5F27">
        <w:rPr>
          <w:b/>
          <w:lang w:eastAsia="es-ES"/>
        </w:rPr>
        <w:fldChar w:fldCharType="begin"/>
      </w:r>
      <w:r w:rsidRPr="00FA5F27">
        <w:rPr>
          <w:lang w:eastAsia="es-ES"/>
        </w:rPr>
        <w:instrText xml:space="preserve"> SEQ Figure \* ARABIC </w:instrText>
      </w:r>
      <w:r w:rsidRPr="00FA5F27">
        <w:rPr>
          <w:b/>
          <w:lang w:eastAsia="es-ES"/>
        </w:rPr>
        <w:fldChar w:fldCharType="separate"/>
      </w:r>
      <w:r>
        <w:rPr>
          <w:noProof/>
          <w:lang w:eastAsia="es-ES"/>
        </w:rPr>
        <w:t>12</w:t>
      </w:r>
      <w:r w:rsidRPr="00FA5F27">
        <w:rPr>
          <w:b/>
          <w:lang w:eastAsia="es-ES"/>
        </w:rPr>
        <w:fldChar w:fldCharType="end"/>
      </w:r>
      <w:r w:rsidRPr="00FA5F27">
        <w:rPr>
          <w:lang w:eastAsia="es-ES"/>
        </w:rPr>
        <w:t xml:space="preserve">. </w:t>
      </w:r>
      <w:r>
        <w:rPr>
          <w:lang w:eastAsia="es-ES"/>
        </w:rPr>
        <w:t>Flow zones (left) and axial temperature profiles</w:t>
      </w:r>
      <w:r w:rsidR="003C0516">
        <w:rPr>
          <w:lang w:eastAsia="es-ES"/>
        </w:rPr>
        <w:t xml:space="preserve"> of the hottest FA</w:t>
      </w:r>
      <w:r>
        <w:rPr>
          <w:lang w:eastAsia="es-ES"/>
        </w:rPr>
        <w:t xml:space="preserve"> (right)</w:t>
      </w:r>
      <w:r w:rsidRPr="00813824">
        <w:rPr>
          <w:lang w:eastAsia="es-ES"/>
        </w:rPr>
        <w:t xml:space="preserve"> over </w:t>
      </w:r>
      <w:r w:rsidR="001D4772">
        <w:rPr>
          <w:lang w:eastAsia="es-ES"/>
        </w:rPr>
        <w:t>o</w:t>
      </w:r>
      <w:r w:rsidRPr="00813824">
        <w:rPr>
          <w:lang w:eastAsia="es-ES"/>
        </w:rPr>
        <w:t xml:space="preserve">peration </w:t>
      </w:r>
      <w:r w:rsidR="005A3769">
        <w:rPr>
          <w:lang w:eastAsia="es-ES"/>
        </w:rPr>
        <w:t>t</w:t>
      </w:r>
      <w:r w:rsidRPr="00813824">
        <w:rPr>
          <w:lang w:eastAsia="es-ES"/>
        </w:rPr>
        <w:t>ime</w:t>
      </w:r>
      <w:r>
        <w:rPr>
          <w:lang w:eastAsia="es-ES"/>
        </w:rPr>
        <w:t>.</w:t>
      </w:r>
    </w:p>
    <w:p w14:paraId="5DB0B3E9" w14:textId="20AB30EE" w:rsidR="00233908" w:rsidRDefault="00E97274" w:rsidP="00E97274">
      <w:pPr>
        <w:pStyle w:val="Heading3"/>
      </w:pPr>
      <w:r w:rsidRPr="00337B87">
        <w:t>Reactivity feedback coefficients and control rod worth</w:t>
      </w:r>
    </w:p>
    <w:p w14:paraId="5F3B5B66" w14:textId="49A8193C" w:rsidR="00B948E9" w:rsidRDefault="00E97274" w:rsidP="000D1FBB">
      <w:pPr>
        <w:pStyle w:val="BodyText"/>
      </w:pPr>
      <w:r w:rsidRPr="00337B87">
        <w:t xml:space="preserve">To compute the reactivity feedback coefﬁcients of </w:t>
      </w:r>
      <w:r>
        <w:t>ANTS-100e</w:t>
      </w:r>
      <w:r w:rsidRPr="00337B87">
        <w:t xml:space="preserve">, the direct approach </w:t>
      </w:r>
      <w:r w:rsidR="004C5CBA">
        <w:fldChar w:fldCharType="begin"/>
      </w:r>
      <w:r w:rsidR="004C5CBA">
        <w:instrText xml:space="preserve"> REF _Ref70590293 \n \h </w:instrText>
      </w:r>
      <w:r w:rsidR="004C5CBA">
        <w:fldChar w:fldCharType="separate"/>
      </w:r>
      <w:r w:rsidR="004C5CBA">
        <w:t>[11]</w:t>
      </w:r>
      <w:r w:rsidR="004C5CBA">
        <w:fldChar w:fldCharType="end"/>
      </w:r>
      <w:r w:rsidRPr="00337B87">
        <w:t xml:space="preserve"> is employed by MCS. The coefficients considered in this work include the fuel Doppler coefficient, coolant temperature coefficient, axial core expansion coefficient, radial core expansion coefficient, and control rod worth (CRW). These coefficients are determined by direct reactivity discrepancies between the base state and perturbed configuration of the reactor.</w:t>
      </w:r>
      <w:r w:rsidR="000D1FBB">
        <w:t xml:space="preserve"> </w:t>
      </w:r>
      <w:r w:rsidRPr="00E97274">
        <w:t xml:space="preserve">The values of the reactivity feedback coefficients calculated by MCS at BOC, MOC, and EOC are presented in Table </w:t>
      </w:r>
      <w:r>
        <w:t>6</w:t>
      </w:r>
      <w:r w:rsidR="00B948E9" w:rsidRPr="00B948E9">
        <w:t xml:space="preserve">. </w:t>
      </w:r>
      <w:r w:rsidRPr="00E97274">
        <w:t xml:space="preserve">The Doppler coefficients and radial expansion coefficients are the dominant contributions to the negative feedback throughout the core lifetime. The coolant temperature coefficient and the axial expansion coefficient are of small magnitude, because the LBE density does not change significantly with respect to temperature and the </w:t>
      </w:r>
      <w:r w:rsidR="00F36AAB">
        <w:t>insignificant</w:t>
      </w:r>
      <w:r w:rsidRPr="00E97274">
        <w:t xml:space="preserve"> thermal expansion coefficient of </w:t>
      </w:r>
      <w:r w:rsidR="00F36AAB">
        <w:t>UN</w:t>
      </w:r>
      <w:r w:rsidRPr="00E97274">
        <w:t xml:space="preserve"> fuel. </w:t>
      </w:r>
      <w:r w:rsidR="00B948E9">
        <w:t>T</w:t>
      </w:r>
      <w:r w:rsidR="00B948E9" w:rsidRPr="00B948E9">
        <w:t xml:space="preserve">he CRW at different stages </w:t>
      </w:r>
      <w:r w:rsidR="00B948E9">
        <w:t>is shown in Table 7. It is seen that the CRW can manage the excess reactivity and enough for core shutdown or</w:t>
      </w:r>
      <w:r w:rsidR="00B948E9" w:rsidRPr="00B948E9">
        <w:t xml:space="preserve"> emergence</w:t>
      </w:r>
      <w:r w:rsidR="00B948E9">
        <w:t xml:space="preserve"> scram. </w:t>
      </w:r>
    </w:p>
    <w:p w14:paraId="52D5BA3C" w14:textId="77777777" w:rsidR="0043390B" w:rsidRDefault="0043390B" w:rsidP="00E97274">
      <w:pPr>
        <w:pStyle w:val="BodyText"/>
      </w:pPr>
    </w:p>
    <w:p w14:paraId="5B32195E" w14:textId="07EE33EE" w:rsidR="00E97274" w:rsidRDefault="00E97274" w:rsidP="00E97274">
      <w:pPr>
        <w:pStyle w:val="BodyText"/>
        <w:ind w:firstLine="0"/>
      </w:pPr>
      <w:r>
        <w:t>TABLE 6.</w:t>
      </w:r>
      <w:r>
        <w:tab/>
      </w:r>
      <w:r w:rsidR="0043390B" w:rsidRPr="00337B87">
        <w:t>REACTIVITY FEEDBACK COEFFICIENT (</w:t>
      </w:r>
      <w:r w:rsidR="00DE42B6">
        <w:t xml:space="preserve">in: ± σ </w:t>
      </w:r>
      <w:r w:rsidR="00DE42B6" w:rsidRPr="00337B87">
        <w:t>pcm/°C</w:t>
      </w:r>
      <w:r w:rsidR="00DE42B6">
        <w:t>)</w:t>
      </w:r>
    </w:p>
    <w:p w14:paraId="2C040357" w14:textId="77777777" w:rsidR="00E97274" w:rsidRDefault="00E97274" w:rsidP="00E97274">
      <w:pPr>
        <w:pStyle w:val="BodyText"/>
      </w:pPr>
    </w:p>
    <w:tbl>
      <w:tblPr>
        <w:tblStyle w:val="TableGrid"/>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0"/>
        <w:gridCol w:w="1632"/>
        <w:gridCol w:w="1555"/>
        <w:gridCol w:w="1555"/>
      </w:tblGrid>
      <w:tr w:rsidR="00DE42B6" w14:paraId="5BED918E" w14:textId="77777777" w:rsidTr="004D384C">
        <w:trPr>
          <w:jc w:val="center"/>
        </w:trPr>
        <w:tc>
          <w:tcPr>
            <w:tcW w:w="2860" w:type="dxa"/>
            <w:tcBorders>
              <w:top w:val="single" w:sz="4" w:space="0" w:color="auto"/>
              <w:bottom w:val="single" w:sz="4" w:space="0" w:color="auto"/>
            </w:tcBorders>
          </w:tcPr>
          <w:p w14:paraId="3100F26E" w14:textId="77777777" w:rsidR="00DE42B6" w:rsidRDefault="00DE42B6" w:rsidP="00D27B83">
            <w:pPr>
              <w:pStyle w:val="BodyText"/>
              <w:ind w:firstLine="0"/>
            </w:pPr>
            <w:r w:rsidRPr="00337B87">
              <w:rPr>
                <w:b/>
                <w:lang w:val="en-US"/>
              </w:rPr>
              <w:t>Parameter</w:t>
            </w:r>
          </w:p>
        </w:tc>
        <w:tc>
          <w:tcPr>
            <w:tcW w:w="1632" w:type="dxa"/>
            <w:tcBorders>
              <w:top w:val="single" w:sz="4" w:space="0" w:color="auto"/>
              <w:bottom w:val="single" w:sz="4" w:space="0" w:color="auto"/>
            </w:tcBorders>
            <w:vAlign w:val="center"/>
          </w:tcPr>
          <w:p w14:paraId="061F1816" w14:textId="77777777" w:rsidR="00DE42B6" w:rsidRDefault="00DE42B6" w:rsidP="00D27B83">
            <w:pPr>
              <w:pStyle w:val="BodyText"/>
              <w:ind w:firstLine="0"/>
              <w:jc w:val="center"/>
            </w:pPr>
            <w:r w:rsidRPr="00337B87">
              <w:rPr>
                <w:b/>
                <w:lang w:val="en-US"/>
              </w:rPr>
              <w:t>BOC</w:t>
            </w:r>
          </w:p>
        </w:tc>
        <w:tc>
          <w:tcPr>
            <w:tcW w:w="1555" w:type="dxa"/>
            <w:tcBorders>
              <w:top w:val="single" w:sz="4" w:space="0" w:color="auto"/>
              <w:bottom w:val="single" w:sz="4" w:space="0" w:color="auto"/>
            </w:tcBorders>
            <w:vAlign w:val="center"/>
          </w:tcPr>
          <w:p w14:paraId="71EBAA21" w14:textId="77777777" w:rsidR="00DE42B6" w:rsidRPr="00E13A1C" w:rsidRDefault="00DE42B6" w:rsidP="00D27B83">
            <w:pPr>
              <w:pStyle w:val="BodyText"/>
              <w:ind w:firstLine="0"/>
              <w:jc w:val="center"/>
              <w:rPr>
                <w:b/>
                <w:bCs/>
                <w:szCs w:val="24"/>
                <w:lang w:val="en-US"/>
              </w:rPr>
            </w:pPr>
            <w:r w:rsidRPr="00337B87">
              <w:rPr>
                <w:b/>
                <w:lang w:val="en-US"/>
              </w:rPr>
              <w:t>MOC</w:t>
            </w:r>
          </w:p>
        </w:tc>
        <w:tc>
          <w:tcPr>
            <w:tcW w:w="1555" w:type="dxa"/>
            <w:tcBorders>
              <w:top w:val="single" w:sz="4" w:space="0" w:color="auto"/>
              <w:bottom w:val="single" w:sz="4" w:space="0" w:color="auto"/>
            </w:tcBorders>
            <w:vAlign w:val="center"/>
          </w:tcPr>
          <w:p w14:paraId="78EA9F48" w14:textId="77777777" w:rsidR="00DE42B6" w:rsidRPr="00E13A1C" w:rsidRDefault="00DE42B6" w:rsidP="00D27B83">
            <w:pPr>
              <w:pStyle w:val="BodyText"/>
              <w:ind w:firstLine="0"/>
              <w:jc w:val="center"/>
              <w:rPr>
                <w:b/>
                <w:bCs/>
                <w:szCs w:val="24"/>
                <w:lang w:val="en-US"/>
              </w:rPr>
            </w:pPr>
            <w:r w:rsidRPr="00337B87">
              <w:rPr>
                <w:b/>
                <w:lang w:val="en-US"/>
              </w:rPr>
              <w:t>EOC</w:t>
            </w:r>
          </w:p>
        </w:tc>
      </w:tr>
      <w:tr w:rsidR="00DE42B6" w14:paraId="1E9CE1CA" w14:textId="77777777" w:rsidTr="004D384C">
        <w:trPr>
          <w:jc w:val="center"/>
        </w:trPr>
        <w:tc>
          <w:tcPr>
            <w:tcW w:w="2860" w:type="dxa"/>
            <w:tcBorders>
              <w:top w:val="single" w:sz="4" w:space="0" w:color="auto"/>
            </w:tcBorders>
            <w:vAlign w:val="center"/>
          </w:tcPr>
          <w:p w14:paraId="43F5CCED" w14:textId="72253237" w:rsidR="00DE42B6" w:rsidRDefault="00DE42B6" w:rsidP="004D384C">
            <w:pPr>
              <w:pStyle w:val="BodyText"/>
              <w:ind w:firstLine="0"/>
            </w:pPr>
            <w:r w:rsidRPr="001F3E5D">
              <w:t>Doppler coefficient</w:t>
            </w:r>
          </w:p>
        </w:tc>
        <w:tc>
          <w:tcPr>
            <w:tcW w:w="1632" w:type="dxa"/>
            <w:tcBorders>
              <w:top w:val="single" w:sz="4" w:space="0" w:color="auto"/>
            </w:tcBorders>
          </w:tcPr>
          <w:p w14:paraId="320CD3A5" w14:textId="1A0B0453" w:rsidR="00DE42B6" w:rsidRDefault="00DE42B6" w:rsidP="004D384C">
            <w:pPr>
              <w:pStyle w:val="BodyText"/>
              <w:ind w:firstLine="0"/>
              <w:jc w:val="center"/>
            </w:pPr>
            <w:r>
              <w:t>−</w:t>
            </w:r>
            <w:r w:rsidRPr="007A6A18">
              <w:t>0.872±0.079</w:t>
            </w:r>
          </w:p>
        </w:tc>
        <w:tc>
          <w:tcPr>
            <w:tcW w:w="1555" w:type="dxa"/>
            <w:tcBorders>
              <w:top w:val="single" w:sz="4" w:space="0" w:color="auto"/>
            </w:tcBorders>
          </w:tcPr>
          <w:p w14:paraId="312027AD" w14:textId="40FE570C" w:rsidR="00DE42B6" w:rsidRDefault="00DE42B6" w:rsidP="004D384C">
            <w:pPr>
              <w:pStyle w:val="BodyText"/>
              <w:ind w:firstLine="0"/>
              <w:jc w:val="center"/>
            </w:pPr>
            <w:r>
              <w:t>−</w:t>
            </w:r>
            <w:r w:rsidRPr="007A6A18">
              <w:t>0.829±0.087</w:t>
            </w:r>
          </w:p>
        </w:tc>
        <w:tc>
          <w:tcPr>
            <w:tcW w:w="1555" w:type="dxa"/>
            <w:tcBorders>
              <w:top w:val="single" w:sz="4" w:space="0" w:color="auto"/>
            </w:tcBorders>
          </w:tcPr>
          <w:p w14:paraId="399EDD4F" w14:textId="50C78C6B" w:rsidR="00DE42B6" w:rsidRDefault="00DE42B6" w:rsidP="004D384C">
            <w:pPr>
              <w:pStyle w:val="BodyText"/>
              <w:ind w:firstLine="0"/>
              <w:jc w:val="center"/>
            </w:pPr>
            <w:r>
              <w:t>−</w:t>
            </w:r>
            <w:r w:rsidRPr="007A6A18">
              <w:t>0.771±0.074</w:t>
            </w:r>
          </w:p>
        </w:tc>
      </w:tr>
      <w:tr w:rsidR="00DE42B6" w14:paraId="67E795D5" w14:textId="77777777" w:rsidTr="004D384C">
        <w:trPr>
          <w:jc w:val="center"/>
        </w:trPr>
        <w:tc>
          <w:tcPr>
            <w:tcW w:w="2860" w:type="dxa"/>
            <w:vAlign w:val="center"/>
          </w:tcPr>
          <w:p w14:paraId="038EBDCE" w14:textId="0E7C98B2" w:rsidR="00DE42B6" w:rsidRDefault="00DE42B6" w:rsidP="004D384C">
            <w:pPr>
              <w:pStyle w:val="BodyText"/>
              <w:ind w:firstLine="0"/>
            </w:pPr>
            <w:r w:rsidRPr="001F3E5D">
              <w:t>Coolant</w:t>
            </w:r>
            <w:r>
              <w:t xml:space="preserve"> </w:t>
            </w:r>
            <w:r w:rsidRPr="001F3E5D">
              <w:t>temperature coefficient</w:t>
            </w:r>
          </w:p>
        </w:tc>
        <w:tc>
          <w:tcPr>
            <w:tcW w:w="1632" w:type="dxa"/>
          </w:tcPr>
          <w:p w14:paraId="21709B05" w14:textId="70DF21ED" w:rsidR="00DE42B6" w:rsidRDefault="00DE42B6" w:rsidP="004D384C">
            <w:pPr>
              <w:pStyle w:val="BodyText"/>
              <w:ind w:firstLine="0"/>
              <w:jc w:val="center"/>
            </w:pPr>
            <w:r>
              <w:t>−</w:t>
            </w:r>
            <w:r w:rsidRPr="00B70CB3">
              <w:t>0.196±0.018</w:t>
            </w:r>
          </w:p>
        </w:tc>
        <w:tc>
          <w:tcPr>
            <w:tcW w:w="1555" w:type="dxa"/>
          </w:tcPr>
          <w:p w14:paraId="77F7DE63" w14:textId="25911EBE" w:rsidR="00DE42B6" w:rsidRDefault="00DE42B6" w:rsidP="004D384C">
            <w:pPr>
              <w:pStyle w:val="BodyText"/>
              <w:ind w:firstLine="0"/>
              <w:jc w:val="center"/>
              <w:rPr>
                <w:szCs w:val="24"/>
                <w:lang w:val="en-US"/>
              </w:rPr>
            </w:pPr>
            <w:r>
              <w:t>−</w:t>
            </w:r>
            <w:r w:rsidRPr="00B70CB3">
              <w:t>0.157±0.013</w:t>
            </w:r>
          </w:p>
        </w:tc>
        <w:tc>
          <w:tcPr>
            <w:tcW w:w="1555" w:type="dxa"/>
          </w:tcPr>
          <w:p w14:paraId="7B1B786B" w14:textId="1E063862" w:rsidR="00DE42B6" w:rsidRDefault="00DE42B6" w:rsidP="004D384C">
            <w:pPr>
              <w:pStyle w:val="BodyText"/>
              <w:ind w:firstLine="0"/>
              <w:jc w:val="center"/>
              <w:rPr>
                <w:szCs w:val="24"/>
                <w:lang w:val="en-US"/>
              </w:rPr>
            </w:pPr>
            <w:r>
              <w:t>−</w:t>
            </w:r>
            <w:r w:rsidRPr="00B70CB3">
              <w:t>0.113±0.016</w:t>
            </w:r>
          </w:p>
        </w:tc>
      </w:tr>
      <w:tr w:rsidR="00DE42B6" w14:paraId="01739E96" w14:textId="77777777" w:rsidTr="004D384C">
        <w:trPr>
          <w:jc w:val="center"/>
        </w:trPr>
        <w:tc>
          <w:tcPr>
            <w:tcW w:w="2860" w:type="dxa"/>
            <w:vAlign w:val="center"/>
          </w:tcPr>
          <w:p w14:paraId="3A6BFB0C" w14:textId="634B4203" w:rsidR="00DE42B6" w:rsidRDefault="00DE42B6" w:rsidP="004D384C">
            <w:pPr>
              <w:pStyle w:val="BodyText"/>
              <w:ind w:firstLine="0"/>
            </w:pPr>
            <w:r w:rsidRPr="001F3E5D">
              <w:t>Axial expansion coefficient</w:t>
            </w:r>
          </w:p>
        </w:tc>
        <w:tc>
          <w:tcPr>
            <w:tcW w:w="1632" w:type="dxa"/>
          </w:tcPr>
          <w:p w14:paraId="79C2A472" w14:textId="7A8F3629" w:rsidR="00DE42B6" w:rsidRDefault="00DE42B6" w:rsidP="004D384C">
            <w:pPr>
              <w:pStyle w:val="BodyText"/>
              <w:ind w:firstLine="0"/>
              <w:jc w:val="center"/>
            </w:pPr>
            <w:r>
              <w:t>−</w:t>
            </w:r>
            <w:r w:rsidRPr="002E3C43">
              <w:t>0.153±0.027</w:t>
            </w:r>
          </w:p>
        </w:tc>
        <w:tc>
          <w:tcPr>
            <w:tcW w:w="1555" w:type="dxa"/>
          </w:tcPr>
          <w:p w14:paraId="3B2B9310" w14:textId="0981946F" w:rsidR="00DE42B6" w:rsidRPr="00E13A1C" w:rsidRDefault="00DE42B6" w:rsidP="004D384C">
            <w:pPr>
              <w:pStyle w:val="BodyText"/>
              <w:ind w:firstLine="0"/>
              <w:jc w:val="center"/>
              <w:rPr>
                <w:szCs w:val="24"/>
                <w:lang w:val="en-US"/>
              </w:rPr>
            </w:pPr>
            <w:r>
              <w:t>−</w:t>
            </w:r>
            <w:r w:rsidRPr="002E3C43">
              <w:t>0.117±0.025</w:t>
            </w:r>
          </w:p>
        </w:tc>
        <w:tc>
          <w:tcPr>
            <w:tcW w:w="1555" w:type="dxa"/>
          </w:tcPr>
          <w:p w14:paraId="11B5AB26" w14:textId="5CC5FB65" w:rsidR="00DE42B6" w:rsidRPr="00E13A1C" w:rsidRDefault="00DE42B6" w:rsidP="004D384C">
            <w:pPr>
              <w:pStyle w:val="BodyText"/>
              <w:ind w:firstLine="0"/>
              <w:jc w:val="center"/>
              <w:rPr>
                <w:szCs w:val="24"/>
                <w:lang w:val="en-US"/>
              </w:rPr>
            </w:pPr>
            <w:r>
              <w:t>−</w:t>
            </w:r>
            <w:r w:rsidRPr="002E3C43">
              <w:t>0.115±0.025</w:t>
            </w:r>
          </w:p>
        </w:tc>
      </w:tr>
      <w:tr w:rsidR="00DE42B6" w14:paraId="7F0CD883" w14:textId="77777777" w:rsidTr="004D384C">
        <w:trPr>
          <w:jc w:val="center"/>
        </w:trPr>
        <w:tc>
          <w:tcPr>
            <w:tcW w:w="2860" w:type="dxa"/>
            <w:vAlign w:val="center"/>
          </w:tcPr>
          <w:p w14:paraId="4B97826F" w14:textId="6A52C627" w:rsidR="00DE42B6" w:rsidRDefault="00DE42B6" w:rsidP="004D384C">
            <w:pPr>
              <w:pStyle w:val="BodyText"/>
              <w:ind w:firstLine="0"/>
            </w:pPr>
            <w:r w:rsidRPr="001F3E5D">
              <w:t>Radial expansion coefficient</w:t>
            </w:r>
          </w:p>
        </w:tc>
        <w:tc>
          <w:tcPr>
            <w:tcW w:w="1632" w:type="dxa"/>
          </w:tcPr>
          <w:p w14:paraId="09C113A5" w14:textId="61B9FA7C" w:rsidR="00DE42B6" w:rsidRDefault="00DE42B6" w:rsidP="004D384C">
            <w:pPr>
              <w:pStyle w:val="BodyText"/>
              <w:ind w:firstLine="0"/>
              <w:jc w:val="center"/>
            </w:pPr>
            <w:r>
              <w:t>−</w:t>
            </w:r>
            <w:r w:rsidRPr="002E3C43">
              <w:t>0.453±0.024</w:t>
            </w:r>
          </w:p>
        </w:tc>
        <w:tc>
          <w:tcPr>
            <w:tcW w:w="1555" w:type="dxa"/>
          </w:tcPr>
          <w:p w14:paraId="4F1B5C36" w14:textId="2E59F814" w:rsidR="00DE42B6" w:rsidRPr="00E13A1C" w:rsidRDefault="00DE42B6" w:rsidP="004D384C">
            <w:pPr>
              <w:pStyle w:val="BodyText"/>
              <w:ind w:firstLine="0"/>
              <w:jc w:val="center"/>
              <w:rPr>
                <w:szCs w:val="24"/>
                <w:lang w:val="en-US"/>
              </w:rPr>
            </w:pPr>
            <w:r>
              <w:t>−</w:t>
            </w:r>
            <w:r w:rsidRPr="002E3C43">
              <w:t>0.415±0.025</w:t>
            </w:r>
          </w:p>
        </w:tc>
        <w:tc>
          <w:tcPr>
            <w:tcW w:w="1555" w:type="dxa"/>
          </w:tcPr>
          <w:p w14:paraId="67AD5117" w14:textId="207724FF" w:rsidR="00DE42B6" w:rsidRPr="00E13A1C" w:rsidRDefault="00DE42B6" w:rsidP="004D384C">
            <w:pPr>
              <w:pStyle w:val="BodyText"/>
              <w:ind w:firstLine="0"/>
              <w:jc w:val="center"/>
              <w:rPr>
                <w:szCs w:val="24"/>
                <w:lang w:val="en-US"/>
              </w:rPr>
            </w:pPr>
            <w:r>
              <w:t>−</w:t>
            </w:r>
            <w:r w:rsidRPr="002E3C43">
              <w:t>0.407±0.028</w:t>
            </w:r>
          </w:p>
        </w:tc>
      </w:tr>
    </w:tbl>
    <w:p w14:paraId="0683A158" w14:textId="77777777" w:rsidR="00B948E9" w:rsidRDefault="00B948E9" w:rsidP="00B948E9">
      <w:pPr>
        <w:pStyle w:val="BodyText"/>
        <w:ind w:firstLine="0"/>
      </w:pPr>
    </w:p>
    <w:p w14:paraId="06B9635F" w14:textId="6B144EBE" w:rsidR="00B948E9" w:rsidRDefault="00B948E9" w:rsidP="00B948E9">
      <w:pPr>
        <w:pStyle w:val="BodyText"/>
        <w:ind w:firstLine="0"/>
      </w:pPr>
      <w:r>
        <w:lastRenderedPageBreak/>
        <w:t>TABLE 7.</w:t>
      </w:r>
      <w:r>
        <w:tab/>
      </w:r>
      <w:r w:rsidRPr="004D384C">
        <w:t xml:space="preserve">CONTROL ROD WORTH </w:t>
      </w:r>
      <w:r w:rsidR="00DE42B6" w:rsidRPr="00337B87">
        <w:t>(</w:t>
      </w:r>
      <w:r w:rsidR="00DE42B6">
        <w:t xml:space="preserve">in: ± σ </w:t>
      </w:r>
      <w:r w:rsidR="00DE42B6" w:rsidRPr="00337B87">
        <w:t>pcm</w:t>
      </w:r>
      <w:r w:rsidR="00DE42B6">
        <w:t>)</w:t>
      </w:r>
    </w:p>
    <w:p w14:paraId="1125E724" w14:textId="77777777" w:rsidR="00B948E9" w:rsidRDefault="00B948E9" w:rsidP="00B948E9">
      <w:pPr>
        <w:pStyle w:val="BodyText"/>
      </w:pPr>
    </w:p>
    <w:tbl>
      <w:tblPr>
        <w:tblStyle w:val="TableGrid"/>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27"/>
        <w:gridCol w:w="1632"/>
        <w:gridCol w:w="1555"/>
        <w:gridCol w:w="1555"/>
      </w:tblGrid>
      <w:tr w:rsidR="00000A9C" w14:paraId="2961615B" w14:textId="77777777" w:rsidTr="00F34EF5">
        <w:trPr>
          <w:jc w:val="center"/>
        </w:trPr>
        <w:tc>
          <w:tcPr>
            <w:tcW w:w="1227" w:type="dxa"/>
            <w:tcBorders>
              <w:top w:val="single" w:sz="4" w:space="0" w:color="auto"/>
              <w:bottom w:val="single" w:sz="4" w:space="0" w:color="auto"/>
            </w:tcBorders>
          </w:tcPr>
          <w:p w14:paraId="76210952" w14:textId="77777777" w:rsidR="00000A9C" w:rsidRDefault="00000A9C" w:rsidP="00F34EF5">
            <w:pPr>
              <w:pStyle w:val="BodyText"/>
              <w:ind w:firstLine="0"/>
            </w:pPr>
            <w:r w:rsidRPr="00337B87">
              <w:rPr>
                <w:b/>
                <w:lang w:val="en-US"/>
              </w:rPr>
              <w:t>Parameter</w:t>
            </w:r>
          </w:p>
        </w:tc>
        <w:tc>
          <w:tcPr>
            <w:tcW w:w="1632" w:type="dxa"/>
            <w:tcBorders>
              <w:top w:val="single" w:sz="4" w:space="0" w:color="auto"/>
              <w:bottom w:val="single" w:sz="4" w:space="0" w:color="auto"/>
            </w:tcBorders>
            <w:vAlign w:val="center"/>
          </w:tcPr>
          <w:p w14:paraId="0D800707" w14:textId="77777777" w:rsidR="00000A9C" w:rsidRDefault="00000A9C" w:rsidP="00F34EF5">
            <w:pPr>
              <w:pStyle w:val="BodyText"/>
              <w:ind w:firstLine="0"/>
              <w:jc w:val="center"/>
            </w:pPr>
            <w:r w:rsidRPr="00337B87">
              <w:rPr>
                <w:b/>
                <w:lang w:val="en-US"/>
              </w:rPr>
              <w:t>BOC</w:t>
            </w:r>
          </w:p>
        </w:tc>
        <w:tc>
          <w:tcPr>
            <w:tcW w:w="1555" w:type="dxa"/>
            <w:tcBorders>
              <w:top w:val="single" w:sz="4" w:space="0" w:color="auto"/>
              <w:bottom w:val="single" w:sz="4" w:space="0" w:color="auto"/>
            </w:tcBorders>
            <w:vAlign w:val="center"/>
          </w:tcPr>
          <w:p w14:paraId="039A3CF0" w14:textId="77777777" w:rsidR="00000A9C" w:rsidRPr="00E13A1C" w:rsidRDefault="00000A9C" w:rsidP="00F34EF5">
            <w:pPr>
              <w:pStyle w:val="BodyText"/>
              <w:ind w:firstLine="0"/>
              <w:jc w:val="center"/>
              <w:rPr>
                <w:b/>
                <w:bCs/>
                <w:szCs w:val="24"/>
                <w:lang w:val="en-US"/>
              </w:rPr>
            </w:pPr>
            <w:r w:rsidRPr="00337B87">
              <w:rPr>
                <w:b/>
                <w:lang w:val="en-US"/>
              </w:rPr>
              <w:t>MOC</w:t>
            </w:r>
          </w:p>
        </w:tc>
        <w:tc>
          <w:tcPr>
            <w:tcW w:w="1555" w:type="dxa"/>
            <w:tcBorders>
              <w:top w:val="single" w:sz="4" w:space="0" w:color="auto"/>
              <w:bottom w:val="single" w:sz="4" w:space="0" w:color="auto"/>
            </w:tcBorders>
            <w:vAlign w:val="center"/>
          </w:tcPr>
          <w:p w14:paraId="4F2068CD" w14:textId="77777777" w:rsidR="00000A9C" w:rsidRPr="00E13A1C" w:rsidRDefault="00000A9C" w:rsidP="00F34EF5">
            <w:pPr>
              <w:pStyle w:val="BodyText"/>
              <w:ind w:firstLine="0"/>
              <w:jc w:val="center"/>
              <w:rPr>
                <w:b/>
                <w:bCs/>
                <w:szCs w:val="24"/>
                <w:lang w:val="en-US"/>
              </w:rPr>
            </w:pPr>
            <w:r w:rsidRPr="00337B87">
              <w:rPr>
                <w:b/>
                <w:lang w:val="en-US"/>
              </w:rPr>
              <w:t>EOC</w:t>
            </w:r>
          </w:p>
        </w:tc>
      </w:tr>
      <w:tr w:rsidR="00000A9C" w14:paraId="2CE46894" w14:textId="77777777" w:rsidTr="00F34EF5">
        <w:trPr>
          <w:jc w:val="center"/>
        </w:trPr>
        <w:tc>
          <w:tcPr>
            <w:tcW w:w="1227" w:type="dxa"/>
          </w:tcPr>
          <w:p w14:paraId="17E0B495" w14:textId="77777777" w:rsidR="00000A9C" w:rsidRDefault="00000A9C" w:rsidP="00F34EF5">
            <w:pPr>
              <w:pStyle w:val="BodyText"/>
              <w:ind w:firstLine="0"/>
            </w:pPr>
            <w:r w:rsidRPr="001F3E5D">
              <w:t xml:space="preserve">Primary </w:t>
            </w:r>
          </w:p>
        </w:tc>
        <w:tc>
          <w:tcPr>
            <w:tcW w:w="1632" w:type="dxa"/>
          </w:tcPr>
          <w:p w14:paraId="1997F23A" w14:textId="77777777" w:rsidR="00000A9C" w:rsidRDefault="00000A9C" w:rsidP="00F34EF5">
            <w:pPr>
              <w:pStyle w:val="BodyText"/>
              <w:ind w:firstLine="0"/>
              <w:jc w:val="center"/>
            </w:pPr>
            <w:r w:rsidRPr="000D7BBE">
              <w:t>2</w:t>
            </w:r>
            <w:r>
              <w:t>,</w:t>
            </w:r>
            <w:r w:rsidRPr="000D7BBE">
              <w:t>420±16</w:t>
            </w:r>
          </w:p>
        </w:tc>
        <w:tc>
          <w:tcPr>
            <w:tcW w:w="1555" w:type="dxa"/>
          </w:tcPr>
          <w:p w14:paraId="75344EB1" w14:textId="77777777" w:rsidR="00000A9C" w:rsidRDefault="00000A9C" w:rsidP="00F34EF5">
            <w:pPr>
              <w:pStyle w:val="BodyText"/>
              <w:ind w:firstLine="0"/>
              <w:jc w:val="center"/>
              <w:rPr>
                <w:szCs w:val="24"/>
                <w:lang w:val="en-US"/>
              </w:rPr>
            </w:pPr>
            <w:r w:rsidRPr="000D7BBE">
              <w:t>2</w:t>
            </w:r>
            <w:r>
              <w:t>,</w:t>
            </w:r>
            <w:r w:rsidRPr="000D7BBE">
              <w:t>550±17</w:t>
            </w:r>
          </w:p>
        </w:tc>
        <w:tc>
          <w:tcPr>
            <w:tcW w:w="1555" w:type="dxa"/>
          </w:tcPr>
          <w:p w14:paraId="72BBE245" w14:textId="77777777" w:rsidR="00000A9C" w:rsidRDefault="00000A9C" w:rsidP="00F34EF5">
            <w:pPr>
              <w:pStyle w:val="BodyText"/>
              <w:ind w:firstLine="0"/>
              <w:jc w:val="center"/>
              <w:rPr>
                <w:szCs w:val="24"/>
                <w:lang w:val="en-US"/>
              </w:rPr>
            </w:pPr>
            <w:r w:rsidRPr="000D7BBE">
              <w:t>2</w:t>
            </w:r>
            <w:r>
              <w:t>,</w:t>
            </w:r>
            <w:r w:rsidRPr="000D7BBE">
              <w:t>665±18</w:t>
            </w:r>
          </w:p>
        </w:tc>
      </w:tr>
      <w:tr w:rsidR="00000A9C" w14:paraId="0202590D" w14:textId="77777777" w:rsidTr="00F34EF5">
        <w:trPr>
          <w:jc w:val="center"/>
        </w:trPr>
        <w:tc>
          <w:tcPr>
            <w:tcW w:w="1227" w:type="dxa"/>
          </w:tcPr>
          <w:p w14:paraId="518CC4D0" w14:textId="77777777" w:rsidR="00000A9C" w:rsidRDefault="00000A9C" w:rsidP="00F34EF5">
            <w:pPr>
              <w:pStyle w:val="BodyText"/>
              <w:ind w:firstLine="0"/>
            </w:pPr>
            <w:r w:rsidRPr="001F3E5D">
              <w:t xml:space="preserve">Secondary </w:t>
            </w:r>
          </w:p>
        </w:tc>
        <w:tc>
          <w:tcPr>
            <w:tcW w:w="1632" w:type="dxa"/>
          </w:tcPr>
          <w:p w14:paraId="36B26C52" w14:textId="77777777" w:rsidR="00000A9C" w:rsidRDefault="00000A9C" w:rsidP="00F34EF5">
            <w:pPr>
              <w:pStyle w:val="BodyText"/>
              <w:ind w:firstLine="0"/>
              <w:jc w:val="center"/>
            </w:pPr>
            <w:r w:rsidRPr="000D7BBE">
              <w:t>5</w:t>
            </w:r>
            <w:r>
              <w:t>,</w:t>
            </w:r>
            <w:r w:rsidRPr="000D7BBE">
              <w:t>942±17</w:t>
            </w:r>
          </w:p>
        </w:tc>
        <w:tc>
          <w:tcPr>
            <w:tcW w:w="1555" w:type="dxa"/>
          </w:tcPr>
          <w:p w14:paraId="75F2446D" w14:textId="77777777" w:rsidR="00000A9C" w:rsidRPr="00E13A1C" w:rsidRDefault="00000A9C" w:rsidP="00F34EF5">
            <w:pPr>
              <w:pStyle w:val="BodyText"/>
              <w:ind w:firstLine="0"/>
              <w:jc w:val="center"/>
              <w:rPr>
                <w:szCs w:val="24"/>
                <w:lang w:val="en-US"/>
              </w:rPr>
            </w:pPr>
            <w:r w:rsidRPr="000D7BBE">
              <w:t>5</w:t>
            </w:r>
            <w:r>
              <w:t>,</w:t>
            </w:r>
            <w:r w:rsidRPr="000D7BBE">
              <w:t>718±17</w:t>
            </w:r>
          </w:p>
        </w:tc>
        <w:tc>
          <w:tcPr>
            <w:tcW w:w="1555" w:type="dxa"/>
          </w:tcPr>
          <w:p w14:paraId="6A38041A" w14:textId="77777777" w:rsidR="00000A9C" w:rsidRPr="00E13A1C" w:rsidRDefault="00000A9C" w:rsidP="00F34EF5">
            <w:pPr>
              <w:pStyle w:val="BodyText"/>
              <w:ind w:firstLine="0"/>
              <w:jc w:val="center"/>
              <w:rPr>
                <w:szCs w:val="24"/>
                <w:lang w:val="en-US"/>
              </w:rPr>
            </w:pPr>
            <w:r w:rsidRPr="000D7BBE">
              <w:t>5</w:t>
            </w:r>
            <w:r>
              <w:t>,</w:t>
            </w:r>
            <w:r w:rsidRPr="000D7BBE">
              <w:t>545±16</w:t>
            </w:r>
          </w:p>
        </w:tc>
      </w:tr>
      <w:tr w:rsidR="00000A9C" w14:paraId="3E00D678" w14:textId="77777777" w:rsidTr="00F34EF5">
        <w:trPr>
          <w:jc w:val="center"/>
        </w:trPr>
        <w:tc>
          <w:tcPr>
            <w:tcW w:w="1227" w:type="dxa"/>
          </w:tcPr>
          <w:p w14:paraId="2F1F0803" w14:textId="77777777" w:rsidR="00000A9C" w:rsidRDefault="00000A9C" w:rsidP="00F34EF5">
            <w:pPr>
              <w:pStyle w:val="BodyText"/>
              <w:ind w:firstLine="0"/>
            </w:pPr>
            <w:r w:rsidRPr="001F3E5D">
              <w:t xml:space="preserve">Total </w:t>
            </w:r>
          </w:p>
        </w:tc>
        <w:tc>
          <w:tcPr>
            <w:tcW w:w="1632" w:type="dxa"/>
          </w:tcPr>
          <w:p w14:paraId="47B24139" w14:textId="77777777" w:rsidR="00000A9C" w:rsidRDefault="00000A9C" w:rsidP="00F34EF5">
            <w:pPr>
              <w:pStyle w:val="BodyText"/>
              <w:ind w:firstLine="0"/>
              <w:jc w:val="center"/>
            </w:pPr>
            <w:r w:rsidRPr="000D7BBE">
              <w:t>9</w:t>
            </w:r>
            <w:r>
              <w:t>,</w:t>
            </w:r>
            <w:r w:rsidRPr="000D7BBE">
              <w:t>177±18</w:t>
            </w:r>
          </w:p>
        </w:tc>
        <w:tc>
          <w:tcPr>
            <w:tcW w:w="1555" w:type="dxa"/>
          </w:tcPr>
          <w:p w14:paraId="1C7D0692" w14:textId="77777777" w:rsidR="00000A9C" w:rsidRPr="00E13A1C" w:rsidRDefault="00000A9C" w:rsidP="00F34EF5">
            <w:pPr>
              <w:pStyle w:val="BodyText"/>
              <w:ind w:firstLine="0"/>
              <w:jc w:val="center"/>
              <w:rPr>
                <w:szCs w:val="24"/>
                <w:lang w:val="en-US"/>
              </w:rPr>
            </w:pPr>
            <w:r w:rsidRPr="000D7BBE">
              <w:t>9</w:t>
            </w:r>
            <w:r>
              <w:t>,</w:t>
            </w:r>
            <w:r w:rsidRPr="000D7BBE">
              <w:t>262±16</w:t>
            </w:r>
          </w:p>
        </w:tc>
        <w:tc>
          <w:tcPr>
            <w:tcW w:w="1555" w:type="dxa"/>
          </w:tcPr>
          <w:p w14:paraId="0371C0DF" w14:textId="77777777" w:rsidR="00000A9C" w:rsidRPr="00E13A1C" w:rsidRDefault="00000A9C" w:rsidP="00F34EF5">
            <w:pPr>
              <w:pStyle w:val="BodyText"/>
              <w:ind w:firstLine="0"/>
              <w:jc w:val="center"/>
              <w:rPr>
                <w:szCs w:val="24"/>
                <w:lang w:val="en-US"/>
              </w:rPr>
            </w:pPr>
            <w:r w:rsidRPr="000D7BBE">
              <w:t>9</w:t>
            </w:r>
            <w:r>
              <w:t>,</w:t>
            </w:r>
            <w:r w:rsidRPr="000D7BBE">
              <w:t>194±15</w:t>
            </w:r>
          </w:p>
        </w:tc>
      </w:tr>
    </w:tbl>
    <w:p w14:paraId="6E8DA3D1" w14:textId="581A5627" w:rsidR="00BF0E85" w:rsidRDefault="00E97274" w:rsidP="00E97274">
      <w:pPr>
        <w:pStyle w:val="Heading2"/>
      </w:pPr>
      <w:r>
        <w:t>Conclusions</w:t>
      </w:r>
    </w:p>
    <w:p w14:paraId="7F3B90B9" w14:textId="4A7EEB46" w:rsidR="00E97274" w:rsidRPr="00337B87" w:rsidRDefault="00E97274" w:rsidP="00E97274">
      <w:pPr>
        <w:pStyle w:val="BodyText"/>
      </w:pPr>
      <w:r w:rsidRPr="00337B87">
        <w:t xml:space="preserve">An innovative LMFR core cooled by LBE, </w:t>
      </w:r>
      <w:r w:rsidR="00B970B4">
        <w:t>ANTS-100e</w:t>
      </w:r>
      <w:r w:rsidRPr="00337B87">
        <w:t xml:space="preserve">, has been designed to satisfy the requirements of a SMR for </w:t>
      </w:r>
      <w:r w:rsidR="00B970B4">
        <w:t>power</w:t>
      </w:r>
      <w:r w:rsidRPr="00337B87">
        <w:t xml:space="preserve"> </w:t>
      </w:r>
      <w:r w:rsidR="00B970B4">
        <w:t>generation</w:t>
      </w:r>
      <w:r w:rsidRPr="00337B87">
        <w:t>. A</w:t>
      </w:r>
      <w:r w:rsidR="00B970B4">
        <w:t>n</w:t>
      </w:r>
      <w:r w:rsidRPr="00337B87">
        <w:t xml:space="preserve"> optimization study </w:t>
      </w:r>
      <w:r w:rsidR="00B970B4">
        <w:t xml:space="preserve">with a simple FA-reflector model </w:t>
      </w:r>
      <w:r w:rsidR="005E0EBD">
        <w:t xml:space="preserve">is conducted </w:t>
      </w:r>
      <w:r w:rsidR="00B970B4">
        <w:t xml:space="preserve">to determine the </w:t>
      </w:r>
      <w:r w:rsidR="00026A18">
        <w:t xml:space="preserve">optimized </w:t>
      </w:r>
      <w:r w:rsidR="00B970B4">
        <w:t>enrichment zones</w:t>
      </w:r>
      <w:r w:rsidRPr="00337B87">
        <w:t xml:space="preserve">. </w:t>
      </w:r>
      <w:r w:rsidR="0026704F">
        <w:t>Finally, t</w:t>
      </w:r>
      <w:r w:rsidRPr="00337B87">
        <w:t xml:space="preserve">he conceptual core has an active equivalent diameter and height of </w:t>
      </w:r>
      <w:r w:rsidR="00B970B4">
        <w:t>235</w:t>
      </w:r>
      <w:r w:rsidRPr="00337B87">
        <w:t xml:space="preserve"> and </w:t>
      </w:r>
      <w:r w:rsidR="00B970B4">
        <w:t>100</w:t>
      </w:r>
      <w:r w:rsidRPr="00337B87">
        <w:t xml:space="preserve"> cm, respectively, and onion enrichment zoning for flattening the power distribution. The </w:t>
      </w:r>
      <w:r w:rsidR="00B970B4">
        <w:t>ANTS-100e</w:t>
      </w:r>
      <w:r w:rsidRPr="00337B87">
        <w:t xml:space="preserve"> core achieves </w:t>
      </w:r>
      <w:r w:rsidR="00B970B4">
        <w:t>10</w:t>
      </w:r>
      <w:r w:rsidRPr="00337B87">
        <w:t xml:space="preserve"> EFPY operation with less than 1</w:t>
      </w:r>
      <w:r w:rsidR="00B970B4">
        <w:t>,000 pcm</w:t>
      </w:r>
      <w:r w:rsidRPr="00337B87">
        <w:t xml:space="preserve"> </w:t>
      </w:r>
      <w:r w:rsidR="0026704F">
        <w:t xml:space="preserve">of </w:t>
      </w:r>
      <w:r w:rsidRPr="00337B87">
        <w:t>burnup reactivity swing</w:t>
      </w:r>
      <w:r w:rsidR="00B970B4">
        <w:t>.</w:t>
      </w:r>
      <w:r w:rsidRPr="00337B87">
        <w:t xml:space="preserve"> </w:t>
      </w:r>
      <w:r w:rsidRPr="00337B87">
        <w:rPr>
          <w:bCs/>
        </w:rPr>
        <w:t xml:space="preserve">Several aspects of </w:t>
      </w:r>
      <w:r w:rsidR="00B970B4">
        <w:rPr>
          <w:bCs/>
        </w:rPr>
        <w:t>ANTS-100e</w:t>
      </w:r>
      <w:r w:rsidRPr="00337B87">
        <w:rPr>
          <w:bCs/>
        </w:rPr>
        <w:t xml:space="preserve"> in terms of core safety analysis, including the</w:t>
      </w:r>
      <w:r w:rsidR="00B970B4">
        <w:rPr>
          <w:bCs/>
        </w:rPr>
        <w:t xml:space="preserve"> </w:t>
      </w:r>
      <w:r w:rsidRPr="00337B87">
        <w:rPr>
          <w:bCs/>
        </w:rPr>
        <w:t>reactivity feedback coefficient</w:t>
      </w:r>
      <w:r w:rsidR="00B970B4">
        <w:rPr>
          <w:bCs/>
        </w:rPr>
        <w:t>, and</w:t>
      </w:r>
      <w:r w:rsidRPr="00337B87">
        <w:rPr>
          <w:bCs/>
        </w:rPr>
        <w:t xml:space="preserve"> control rod worth at different burnup steps, were investigated using the MC code MCS</w:t>
      </w:r>
      <w:r w:rsidRPr="00337B87">
        <w:t xml:space="preserve">. It was shown that the reactivity feedback coefficients are negative, which is an important contribution to the inherent safety of the core. The insertion of </w:t>
      </w:r>
      <w:r w:rsidR="00B970B4">
        <w:t xml:space="preserve">control </w:t>
      </w:r>
      <w:r w:rsidRPr="00337B87">
        <w:t>system</w:t>
      </w:r>
      <w:r w:rsidR="00B970B4">
        <w:t>s</w:t>
      </w:r>
      <w:r w:rsidRPr="00337B87">
        <w:t xml:space="preserve"> can provide a sufficient margin to manage the excess reactivity throughout the full cycle. </w:t>
      </w:r>
      <w:r w:rsidR="00B970B4">
        <w:t xml:space="preserve">Future works are to focus on the refuelling and shuffling strategy for the equilibrium cycles of the ANTS-100e. </w:t>
      </w:r>
    </w:p>
    <w:p w14:paraId="433FE095" w14:textId="77777777" w:rsidR="00285755" w:rsidRDefault="00285755" w:rsidP="008F1422">
      <w:pPr>
        <w:pStyle w:val="Otherunnumberedheadings"/>
        <w:outlineLvl w:val="1"/>
      </w:pPr>
      <w:r w:rsidRPr="00285755">
        <w:t>ACKNOWLEDGEMENTS</w:t>
      </w:r>
    </w:p>
    <w:p w14:paraId="433FE096" w14:textId="0D11D221" w:rsidR="00D26ADA" w:rsidRDefault="0048700E" w:rsidP="00537496">
      <w:pPr>
        <w:pStyle w:val="BodyText"/>
      </w:pPr>
      <w:r w:rsidRPr="0048700E">
        <w:t>This work was supported by the National Research Foundation of Korea</w:t>
      </w:r>
      <w:r>
        <w:t xml:space="preserve"> </w:t>
      </w:r>
      <w:r w:rsidRPr="0048700E">
        <w:t>(NRF) grant funded by the Korea government</w:t>
      </w:r>
      <w:r>
        <w:t xml:space="preserve"> </w:t>
      </w:r>
      <w:r w:rsidRPr="0048700E">
        <w:t>(MSIT). (No.NRF-2017M2A8A2018595)</w:t>
      </w:r>
    </w:p>
    <w:p w14:paraId="433FE097" w14:textId="77777777" w:rsidR="00D26ADA" w:rsidRPr="00285755" w:rsidRDefault="00D26ADA" w:rsidP="008F1422">
      <w:pPr>
        <w:pStyle w:val="Otherunnumberedheadings"/>
        <w:outlineLvl w:val="1"/>
      </w:pPr>
      <w:r>
        <w:t>References</w:t>
      </w:r>
    </w:p>
    <w:p w14:paraId="433FE098" w14:textId="6405C7A6" w:rsidR="00285755" w:rsidRDefault="00920B1F" w:rsidP="00537496">
      <w:pPr>
        <w:pStyle w:val="Referencelist"/>
      </w:pPr>
      <w:bookmarkStart w:id="8" w:name="_Ref70588457"/>
      <w:r>
        <w:t>ROWINSKI, M.K. et al.</w:t>
      </w:r>
      <w:r w:rsidR="00D26ADA" w:rsidRPr="00D26ADA">
        <w:t xml:space="preserve">, </w:t>
      </w:r>
      <w:proofErr w:type="gramStart"/>
      <w:r w:rsidR="002637F8" w:rsidRPr="002637F8">
        <w:t>Small</w:t>
      </w:r>
      <w:proofErr w:type="gramEnd"/>
      <w:r w:rsidR="002637F8" w:rsidRPr="002637F8">
        <w:t xml:space="preserve"> and medium sized reactors (SMR): a review of technology</w:t>
      </w:r>
      <w:r w:rsidR="002637F8">
        <w:t xml:space="preserve">, </w:t>
      </w:r>
      <w:r w:rsidR="002637F8" w:rsidRPr="002637F8">
        <w:t xml:space="preserve">Renew. Sustain. Energy Rev. </w:t>
      </w:r>
      <w:r w:rsidR="002637F8" w:rsidRPr="002637F8">
        <w:rPr>
          <w:b/>
          <w:bCs/>
        </w:rPr>
        <w:t>44</w:t>
      </w:r>
      <w:r w:rsidR="002637F8" w:rsidRPr="002637F8">
        <w:t xml:space="preserve"> (2015)</w:t>
      </w:r>
      <w:r w:rsidR="002637F8">
        <w:t xml:space="preserve"> </w:t>
      </w:r>
      <w:r w:rsidR="002637F8" w:rsidRPr="002637F8">
        <w:t>643</w:t>
      </w:r>
      <w:r w:rsidR="002637F8">
        <w:t>–</w:t>
      </w:r>
      <w:r w:rsidR="002637F8" w:rsidRPr="002637F8">
        <w:t>656</w:t>
      </w:r>
      <w:r w:rsidR="002637F8">
        <w:t>.</w:t>
      </w:r>
      <w:bookmarkEnd w:id="8"/>
      <w:r w:rsidR="002637F8">
        <w:t xml:space="preserve"> </w:t>
      </w:r>
    </w:p>
    <w:p w14:paraId="433FE099" w14:textId="2FD4F96E" w:rsidR="009E0D5B" w:rsidRDefault="00B26A61" w:rsidP="00537496">
      <w:pPr>
        <w:pStyle w:val="Referencelist"/>
      </w:pPr>
      <w:bookmarkStart w:id="9" w:name="_Ref70588795"/>
      <w:r w:rsidRPr="00487F3F">
        <w:t>TUČEK, K</w:t>
      </w:r>
      <w:r w:rsidR="00487F3F" w:rsidRPr="00487F3F">
        <w:t>.</w:t>
      </w:r>
      <w:r>
        <w:t xml:space="preserve"> </w:t>
      </w:r>
      <w:r w:rsidR="00487F3F">
        <w:t>et al.</w:t>
      </w:r>
      <w:r w:rsidR="00487F3F" w:rsidRPr="00487F3F">
        <w:t>,</w:t>
      </w:r>
      <w:r w:rsidR="00487F3F">
        <w:t xml:space="preserve"> </w:t>
      </w:r>
      <w:r w:rsidRPr="00B26A61">
        <w:t xml:space="preserve">Comparison of sodium and lead-cooled fast reactors regarding reactor physics aspects, severe </w:t>
      </w:r>
      <w:proofErr w:type="gramStart"/>
      <w:r w:rsidRPr="00B26A61">
        <w:t>safety</w:t>
      </w:r>
      <w:proofErr w:type="gramEnd"/>
      <w:r w:rsidRPr="00B26A61">
        <w:t xml:space="preserve"> and </w:t>
      </w:r>
      <w:proofErr w:type="spellStart"/>
      <w:r w:rsidRPr="00B26A61">
        <w:t>economical</w:t>
      </w:r>
      <w:proofErr w:type="spellEnd"/>
      <w:r w:rsidRPr="00B26A61">
        <w:t xml:space="preserve"> issues</w:t>
      </w:r>
      <w:r>
        <w:t>,</w:t>
      </w:r>
      <w:r w:rsidRPr="00B26A61">
        <w:t xml:space="preserve"> </w:t>
      </w:r>
      <w:proofErr w:type="spellStart"/>
      <w:r w:rsidRPr="00B26A61">
        <w:t>Nucl</w:t>
      </w:r>
      <w:proofErr w:type="spellEnd"/>
      <w:r w:rsidRPr="00B26A61">
        <w:t>. Eng. Des</w:t>
      </w:r>
      <w:r w:rsidR="00755901">
        <w:t>.</w:t>
      </w:r>
      <w:r w:rsidRPr="00B26A61">
        <w:t xml:space="preserve"> </w:t>
      </w:r>
      <w:r w:rsidRPr="00B26A61">
        <w:rPr>
          <w:b/>
          <w:bCs/>
        </w:rPr>
        <w:t>10</w:t>
      </w:r>
      <w:r w:rsidRPr="00B26A61">
        <w:t xml:space="preserve"> (2020)</w:t>
      </w:r>
      <w:r>
        <w:t xml:space="preserve"> </w:t>
      </w:r>
      <w:r w:rsidRPr="00B26A61">
        <w:t>65.</w:t>
      </w:r>
      <w:bookmarkEnd w:id="9"/>
    </w:p>
    <w:p w14:paraId="1933F08C" w14:textId="4064DD5C" w:rsidR="00B26A61" w:rsidRPr="009E0D5B" w:rsidRDefault="00B26A61" w:rsidP="00537496">
      <w:pPr>
        <w:pStyle w:val="Referencelist"/>
      </w:pPr>
      <w:bookmarkStart w:id="10" w:name="_Ref70588807"/>
      <w:r w:rsidRPr="00B26A61">
        <w:t>A</w:t>
      </w:r>
      <w:r w:rsidR="00C760F0">
        <w:t>HN</w:t>
      </w:r>
      <w:r w:rsidRPr="00B26A61">
        <w:t>, Y.</w:t>
      </w:r>
      <w:r>
        <w:t xml:space="preserve"> et al.</w:t>
      </w:r>
      <w:r w:rsidRPr="00B26A61">
        <w:t>,</w:t>
      </w:r>
      <w:r>
        <w:t xml:space="preserve"> </w:t>
      </w:r>
      <w:r w:rsidRPr="00B26A61">
        <w:t>Review of supercritical CO</w:t>
      </w:r>
      <w:r w:rsidRPr="00B26A61">
        <w:rPr>
          <w:vertAlign w:val="subscript"/>
        </w:rPr>
        <w:t>2</w:t>
      </w:r>
      <w:r w:rsidRPr="00B26A61">
        <w:t xml:space="preserve"> power cycle technology and </w:t>
      </w:r>
      <w:proofErr w:type="gramStart"/>
      <w:r w:rsidRPr="00B26A61">
        <w:t>current status</w:t>
      </w:r>
      <w:proofErr w:type="gramEnd"/>
      <w:r w:rsidRPr="00B26A61">
        <w:t xml:space="preserve"> of research and development</w:t>
      </w:r>
      <w:r w:rsidR="00040299">
        <w:t xml:space="preserve">, </w:t>
      </w:r>
      <w:proofErr w:type="spellStart"/>
      <w:r w:rsidR="00040299" w:rsidRPr="00040299">
        <w:t>Nucl</w:t>
      </w:r>
      <w:proofErr w:type="spellEnd"/>
      <w:r w:rsidR="00040299" w:rsidRPr="00040299">
        <w:t xml:space="preserve">. Eng. Technol. </w:t>
      </w:r>
      <w:r w:rsidR="00040299" w:rsidRPr="00040299">
        <w:rPr>
          <w:b/>
          <w:bCs/>
        </w:rPr>
        <w:t>47</w:t>
      </w:r>
      <w:r w:rsidR="00040299" w:rsidRPr="00040299">
        <w:t xml:space="preserve"> (2015) 647</w:t>
      </w:r>
      <w:r w:rsidR="00040299">
        <w:t>–</w:t>
      </w:r>
      <w:r w:rsidR="00040299" w:rsidRPr="00040299">
        <w:t>661.</w:t>
      </w:r>
      <w:bookmarkEnd w:id="10"/>
    </w:p>
    <w:p w14:paraId="433FE09A" w14:textId="0E494DDF" w:rsidR="009E0D5B" w:rsidRDefault="0085416A" w:rsidP="00537496">
      <w:pPr>
        <w:pStyle w:val="Referencelist"/>
      </w:pPr>
      <w:bookmarkStart w:id="11" w:name="_Ref70589422"/>
      <w:r w:rsidRPr="0085416A">
        <w:t>PUKARI, M., Experimental and theoretical studies of nitride fuels, Doctoral diss</w:t>
      </w:r>
      <w:r>
        <w:t>.</w:t>
      </w:r>
      <w:r w:rsidRPr="0085416A">
        <w:t>, KTH Royal Institute of Technology (2013).</w:t>
      </w:r>
      <w:bookmarkEnd w:id="11"/>
    </w:p>
    <w:p w14:paraId="433FE09B" w14:textId="51871034" w:rsidR="009E0D5B" w:rsidRDefault="00755901" w:rsidP="00537496">
      <w:pPr>
        <w:pStyle w:val="Referencelist"/>
      </w:pPr>
      <w:bookmarkStart w:id="12" w:name="_Ref70589499"/>
      <w:r w:rsidRPr="00755901">
        <w:t>CAUTAERTS, N.</w:t>
      </w:r>
      <w:r>
        <w:t xml:space="preserve"> et al.</w:t>
      </w:r>
      <w:r w:rsidRPr="00755901">
        <w:t xml:space="preserve">, Thermal creep properties of </w:t>
      </w:r>
      <w:proofErr w:type="spellStart"/>
      <w:r w:rsidRPr="00755901">
        <w:t>Ti</w:t>
      </w:r>
      <w:proofErr w:type="spellEnd"/>
      <w:r w:rsidRPr="00755901">
        <w:t>-stabilized DIN 1.4970 (15-15Ti) austenitic stainless steel pressurized cladding tubes</w:t>
      </w:r>
      <w:r>
        <w:t>,</w:t>
      </w:r>
      <w:r w:rsidRPr="00755901">
        <w:t xml:space="preserve"> J. </w:t>
      </w:r>
      <w:proofErr w:type="spellStart"/>
      <w:r w:rsidRPr="00755901">
        <w:t>Nucl</w:t>
      </w:r>
      <w:proofErr w:type="spellEnd"/>
      <w:r w:rsidRPr="00755901">
        <w:t>. Mater.</w:t>
      </w:r>
      <w:r>
        <w:t xml:space="preserve"> </w:t>
      </w:r>
      <w:r w:rsidRPr="00755901">
        <w:rPr>
          <w:b/>
          <w:bCs/>
        </w:rPr>
        <w:t xml:space="preserve">493 </w:t>
      </w:r>
      <w:r w:rsidRPr="00755901">
        <w:t>(2017) 154</w:t>
      </w:r>
      <w:r>
        <w:t>–</w:t>
      </w:r>
      <w:r w:rsidRPr="00755901">
        <w:t>167.</w:t>
      </w:r>
      <w:bookmarkEnd w:id="12"/>
    </w:p>
    <w:p w14:paraId="433FE09C" w14:textId="35563995" w:rsidR="009E0D5B" w:rsidRDefault="00B94937" w:rsidP="00537496">
      <w:pPr>
        <w:pStyle w:val="Referencelist"/>
      </w:pPr>
      <w:bookmarkStart w:id="13" w:name="_Ref70590392"/>
      <w:r w:rsidRPr="00B94937">
        <w:t>JUST, L. C.</w:t>
      </w:r>
      <w:r>
        <w:t xml:space="preserve"> et al.</w:t>
      </w:r>
      <w:r w:rsidRPr="00B94937">
        <w:t>, System Aspects and Interface Data Sets of the Argonne Reactor Computation (ARC) System</w:t>
      </w:r>
      <w:r>
        <w:t xml:space="preserve">, </w:t>
      </w:r>
      <w:r w:rsidRPr="00B94937">
        <w:t>No. ANL--7711, Argonne National Laboratory</w:t>
      </w:r>
      <w:r>
        <w:t>, U.S.A. (</w:t>
      </w:r>
      <w:r w:rsidRPr="00B94937">
        <w:t>1971</w:t>
      </w:r>
      <w:r>
        <w:t>)</w:t>
      </w:r>
      <w:r w:rsidRPr="00B94937">
        <w:t>.</w:t>
      </w:r>
      <w:bookmarkEnd w:id="13"/>
    </w:p>
    <w:p w14:paraId="1C6FF5BA" w14:textId="06B3D473" w:rsidR="00B94937" w:rsidRPr="00B94937" w:rsidRDefault="00B94937" w:rsidP="00B94937">
      <w:pPr>
        <w:pStyle w:val="Referencelist"/>
      </w:pPr>
      <w:bookmarkStart w:id="14" w:name="_Ref70590384"/>
      <w:r w:rsidRPr="00B94937">
        <w:t>L</w:t>
      </w:r>
      <w:r>
        <w:t>EE</w:t>
      </w:r>
      <w:r w:rsidRPr="00B94937">
        <w:t>, H.</w:t>
      </w:r>
      <w:r>
        <w:t xml:space="preserve"> et al.</w:t>
      </w:r>
      <w:r w:rsidRPr="00B94937">
        <w:t>,</w:t>
      </w:r>
      <w:r>
        <w:t xml:space="preserve"> </w:t>
      </w:r>
      <w:r w:rsidRPr="00B94937">
        <w:t>MCS–A Monte Carlo particle transport code for large-scale power reactor analysis</w:t>
      </w:r>
      <w:r>
        <w:t>,</w:t>
      </w:r>
      <w:r w:rsidRPr="00B94937">
        <w:t xml:space="preserve"> Ann. </w:t>
      </w:r>
      <w:proofErr w:type="spellStart"/>
      <w:r w:rsidRPr="00B94937">
        <w:t>Nucl</w:t>
      </w:r>
      <w:proofErr w:type="spellEnd"/>
      <w:r w:rsidRPr="00B94937">
        <w:t xml:space="preserve">. Energy </w:t>
      </w:r>
      <w:r w:rsidRPr="00B94937">
        <w:rPr>
          <w:b/>
          <w:bCs/>
        </w:rPr>
        <w:t>139</w:t>
      </w:r>
      <w:r w:rsidRPr="00B94937">
        <w:t xml:space="preserve"> (2020) 107276.</w:t>
      </w:r>
      <w:bookmarkEnd w:id="14"/>
      <w:r w:rsidRPr="00B94937">
        <w:t xml:space="preserve"> </w:t>
      </w:r>
    </w:p>
    <w:p w14:paraId="7F1DBFC7" w14:textId="1A4E6360" w:rsidR="00B94937" w:rsidRPr="00B94937" w:rsidRDefault="00B94937" w:rsidP="00B94937">
      <w:pPr>
        <w:pStyle w:val="Referencelist"/>
      </w:pPr>
      <w:bookmarkStart w:id="15" w:name="_Ref70590370"/>
      <w:r w:rsidRPr="00B94937">
        <w:t>L</w:t>
      </w:r>
      <w:r>
        <w:t>I</w:t>
      </w:r>
      <w:r w:rsidRPr="00B94937">
        <w:t>, H.</w:t>
      </w:r>
      <w:r>
        <w:t xml:space="preserve"> et al.</w:t>
      </w:r>
      <w:r w:rsidRPr="00B94937">
        <w:t>, Corrosion resistance in Pb-Bi alloy of 15-15Ti steel coated with Al2O3/</w:t>
      </w:r>
      <w:proofErr w:type="spellStart"/>
      <w:r w:rsidRPr="00B94937">
        <w:t>SiC</w:t>
      </w:r>
      <w:proofErr w:type="spellEnd"/>
      <w:r w:rsidRPr="00B94937">
        <w:t xml:space="preserve"> bilayer thin films by magnetron sputtering</w:t>
      </w:r>
      <w:r>
        <w:t>,</w:t>
      </w:r>
      <w:r w:rsidRPr="00B94937">
        <w:t xml:space="preserve"> Fusion Eng. Des. </w:t>
      </w:r>
      <w:r w:rsidRPr="00B94937">
        <w:rPr>
          <w:b/>
          <w:bCs/>
        </w:rPr>
        <w:t>125</w:t>
      </w:r>
      <w:r w:rsidRPr="00B94937">
        <w:t xml:space="preserve"> (2017)</w:t>
      </w:r>
      <w:r>
        <w:t xml:space="preserve"> </w:t>
      </w:r>
      <w:r w:rsidRPr="00B94937">
        <w:t>384</w:t>
      </w:r>
      <w:r>
        <w:t>–</w:t>
      </w:r>
      <w:r w:rsidRPr="00B94937">
        <w:t>390.</w:t>
      </w:r>
      <w:bookmarkEnd w:id="15"/>
    </w:p>
    <w:p w14:paraId="2710CAA1" w14:textId="23BA5D84" w:rsidR="00F34EF5" w:rsidRDefault="00F34EF5" w:rsidP="00537496">
      <w:pPr>
        <w:pStyle w:val="Referencelist"/>
      </w:pPr>
      <w:bookmarkStart w:id="16" w:name="_Ref70590313"/>
      <w:r w:rsidRPr="00F34EF5">
        <w:t>FUKUSHIMA, M.</w:t>
      </w:r>
      <w:r w:rsidR="00CF27CE">
        <w:t xml:space="preserve"> et al., </w:t>
      </w:r>
      <w:r w:rsidRPr="00F34EF5">
        <w:t xml:space="preserve">Measurement and analysis of reflector reactivity worth by replacing stainless steel with zirconium at the fast critical assembly (FCA), </w:t>
      </w:r>
      <w:r w:rsidR="00CF27CE" w:rsidRPr="00CF27CE">
        <w:t>J</w:t>
      </w:r>
      <w:r w:rsidR="00CF27CE">
        <w:t>.</w:t>
      </w:r>
      <w:r w:rsidR="00CF27CE" w:rsidRPr="00CF27CE">
        <w:t xml:space="preserve"> </w:t>
      </w:r>
      <w:proofErr w:type="spellStart"/>
      <w:r w:rsidR="00CF27CE" w:rsidRPr="00CF27CE">
        <w:t>Nucl</w:t>
      </w:r>
      <w:proofErr w:type="spellEnd"/>
      <w:r w:rsidR="00CF27CE">
        <w:t>.</w:t>
      </w:r>
      <w:r w:rsidR="00CF27CE" w:rsidRPr="00CF27CE">
        <w:t xml:space="preserve"> Sci</w:t>
      </w:r>
      <w:r w:rsidR="00CF27CE">
        <w:t>.</w:t>
      </w:r>
      <w:r w:rsidR="00CF27CE" w:rsidRPr="00CF27CE">
        <w:t xml:space="preserve"> Technol</w:t>
      </w:r>
      <w:r w:rsidR="00CF27CE">
        <w:t>.</w:t>
      </w:r>
      <w:r w:rsidR="00CF27CE" w:rsidRPr="00CF27CE">
        <w:t xml:space="preserve"> </w:t>
      </w:r>
      <w:r w:rsidRPr="00CF27CE">
        <w:rPr>
          <w:b/>
          <w:bCs/>
        </w:rPr>
        <w:t>49</w:t>
      </w:r>
      <w:r w:rsidRPr="00F34EF5">
        <w:t xml:space="preserve"> </w:t>
      </w:r>
      <w:r w:rsidR="00CF27CE" w:rsidRPr="00F34EF5">
        <w:t>(2012)</w:t>
      </w:r>
      <w:r w:rsidR="00CF27CE">
        <w:t xml:space="preserve"> </w:t>
      </w:r>
      <w:r w:rsidRPr="00F34EF5">
        <w:t>961</w:t>
      </w:r>
      <w:r w:rsidR="00CF27CE">
        <w:t>–</w:t>
      </w:r>
      <w:r w:rsidRPr="00F34EF5">
        <w:t>965.</w:t>
      </w:r>
      <w:bookmarkEnd w:id="16"/>
    </w:p>
    <w:p w14:paraId="702FC62B" w14:textId="6713FDAA" w:rsidR="00CF27CE" w:rsidRPr="00CF27CE" w:rsidRDefault="00CF27CE" w:rsidP="00CF27CE">
      <w:pPr>
        <w:pStyle w:val="Referencelist"/>
      </w:pPr>
      <w:bookmarkStart w:id="17" w:name="_Ref70590303"/>
      <w:r>
        <w:t>KIM, J.Y. et al.,</w:t>
      </w:r>
      <w:r w:rsidRPr="00CF27CE">
        <w:t xml:space="preserve"> “</w:t>
      </w:r>
      <w:r>
        <w:t>P</w:t>
      </w:r>
      <w:r w:rsidRPr="00CF27CE">
        <w:t>reliminary safety analysis results of lead cooled fast reactor design using MARS Code”, KNS Winter Meeting, Korea (online), Dec. 16 – 18 (2020).</w:t>
      </w:r>
      <w:bookmarkEnd w:id="17"/>
    </w:p>
    <w:p w14:paraId="15E273C0" w14:textId="0B0C12C8" w:rsidR="002C29DB" w:rsidRDefault="002464D1" w:rsidP="002464D1">
      <w:pPr>
        <w:pStyle w:val="Referencelist"/>
      </w:pPr>
      <w:bookmarkStart w:id="18" w:name="_Ref70590293"/>
      <w:r w:rsidRPr="002464D1">
        <w:t>W</w:t>
      </w:r>
      <w:r>
        <w:t>ADE</w:t>
      </w:r>
      <w:r w:rsidRPr="002464D1">
        <w:t>, D. C.</w:t>
      </w:r>
      <w:r>
        <w:t xml:space="preserve"> et al.</w:t>
      </w:r>
      <w:r w:rsidRPr="002464D1">
        <w:t>, The safety of the IFR</w:t>
      </w:r>
      <w:r>
        <w:t>,</w:t>
      </w:r>
      <w:r w:rsidRPr="002464D1">
        <w:t xml:space="preserve"> Prog. </w:t>
      </w:r>
      <w:proofErr w:type="spellStart"/>
      <w:r w:rsidRPr="002464D1">
        <w:t>Nucl</w:t>
      </w:r>
      <w:proofErr w:type="spellEnd"/>
      <w:r w:rsidRPr="002464D1">
        <w:t xml:space="preserve">. Energy </w:t>
      </w:r>
      <w:r w:rsidRPr="002464D1">
        <w:rPr>
          <w:b/>
          <w:bCs/>
        </w:rPr>
        <w:t>31</w:t>
      </w:r>
      <w:r>
        <w:t xml:space="preserve"> </w:t>
      </w:r>
      <w:r w:rsidRPr="002464D1">
        <w:t>(1997)</w:t>
      </w:r>
      <w:r>
        <w:t xml:space="preserve"> </w:t>
      </w:r>
      <w:r w:rsidRPr="002464D1">
        <w:t>63</w:t>
      </w:r>
      <w:r w:rsidRPr="00CF27CE">
        <w:t>–</w:t>
      </w:r>
      <w:r w:rsidRPr="002464D1">
        <w:t>82.</w:t>
      </w:r>
      <w:bookmarkEnd w:id="18"/>
    </w:p>
    <w:p w14:paraId="433FE0B6" w14:textId="77777777" w:rsidR="00F45EEE" w:rsidRPr="00662532" w:rsidRDefault="00F45EEE" w:rsidP="00537496">
      <w:pPr>
        <w:pStyle w:val="BodyText"/>
        <w:ind w:firstLine="0"/>
        <w:jc w:val="left"/>
      </w:pPr>
    </w:p>
    <w:sectPr w:rsidR="00F45EEE" w:rsidRPr="00662532" w:rsidSect="0026525A">
      <w:headerReference w:type="even" r:id="rId27"/>
      <w:headerReference w:type="default" r:id="rId28"/>
      <w:footerReference w:type="even" r:id="rId29"/>
      <w:footerReference w:type="default" r:id="rId30"/>
      <w:headerReference w:type="first" r:id="rId31"/>
      <w:footerReference w:type="first" r:id="rId32"/>
      <w:type w:val="oddPage"/>
      <w:pgSz w:w="11907" w:h="16840" w:code="9"/>
      <w:pgMar w:top="1440" w:right="1440" w:bottom="1440" w:left="1440" w:header="539" w:footer="964" w:gutter="0"/>
      <w:pgNumType w:start="1"/>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02DB9BF" w14:textId="77777777" w:rsidR="00061468" w:rsidRDefault="00061468">
      <w:r>
        <w:separator/>
      </w:r>
    </w:p>
  </w:endnote>
  <w:endnote w:type="continuationSeparator" w:id="0">
    <w:p w14:paraId="4E1BF2CB" w14:textId="77777777" w:rsidR="00061468" w:rsidRDefault="0006146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imes New Roman Bold">
    <w:panose1 w:val="00000000000000000000"/>
    <w:charset w:val="00"/>
    <w:family w:val="roman"/>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맑은 고딕">
    <w:panose1 w:val="020B0503020000020004"/>
    <w:charset w:val="81"/>
    <w:family w:val="modern"/>
    <w:pitch w:val="variable"/>
    <w:sig w:usb0="9000002F" w:usb1="29D77CFB" w:usb2="00000012" w:usb3="00000000" w:csb0="00080001"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3FE0C6" w14:textId="77777777" w:rsidR="00F34EF5" w:rsidRDefault="00F34EF5">
    <w:pPr>
      <w:pStyle w:val="zyxClassification1"/>
    </w:pPr>
    <w:r>
      <w:fldChar w:fldCharType="begin"/>
    </w:r>
    <w:r>
      <w:instrText xml:space="preserve"> DOCPROPERTY "IaeaClassification"  \* MERGEFORMAT </w:instrText>
    </w:r>
    <w:r>
      <w:fldChar w:fldCharType="end"/>
    </w:r>
  </w:p>
  <w:p w14:paraId="433FE0C7" w14:textId="77777777" w:rsidR="00F34EF5" w:rsidRDefault="00F34EF5">
    <w:pPr>
      <w:pStyle w:val="zyxClassification2"/>
    </w:pPr>
    <w:r>
      <w:fldChar w:fldCharType="begin"/>
    </w:r>
    <w:r>
      <w:instrText>DOCPROPERTY "IaeaClassification2"  \* MERGEFORMAT</w:instrTex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3FE0C8" w14:textId="77777777" w:rsidR="00F34EF5" w:rsidRDefault="00F34EF5">
    <w:pPr>
      <w:pStyle w:val="zyxClassification1"/>
    </w:pPr>
    <w:r>
      <w:fldChar w:fldCharType="begin"/>
    </w:r>
    <w:r>
      <w:instrText xml:space="preserve"> DOCPROPERTY "IaeaClassification"  \* MERGEFORMAT </w:instrText>
    </w:r>
    <w:r>
      <w:fldChar w:fldCharType="end"/>
    </w:r>
  </w:p>
  <w:p w14:paraId="433FE0C9" w14:textId="1A12A3B3" w:rsidR="00F34EF5" w:rsidRPr="00037321" w:rsidRDefault="00F34EF5">
    <w:pPr>
      <w:pStyle w:val="zyxClassification2"/>
      <w:rPr>
        <w:rFonts w:ascii="Times New Roman" w:hAnsi="Times New Roman" w:cs="Times New Roman"/>
        <w:sz w:val="20"/>
      </w:rPr>
    </w:pPr>
    <w:r w:rsidRPr="00037321">
      <w:rPr>
        <w:rFonts w:ascii="Times New Roman" w:hAnsi="Times New Roman" w:cs="Times New Roman"/>
        <w:sz w:val="20"/>
      </w:rPr>
      <w:fldChar w:fldCharType="begin"/>
    </w:r>
    <w:r w:rsidRPr="00037321">
      <w:rPr>
        <w:rFonts w:ascii="Times New Roman" w:hAnsi="Times New Roman" w:cs="Times New Roman"/>
        <w:sz w:val="20"/>
      </w:rPr>
      <w:instrText xml:space="preserve"> PAGE </w:instrText>
    </w:r>
    <w:r w:rsidRPr="00037321">
      <w:rPr>
        <w:rFonts w:ascii="Times New Roman" w:hAnsi="Times New Roman" w:cs="Times New Roman"/>
        <w:sz w:val="20"/>
      </w:rPr>
      <w:fldChar w:fldCharType="separate"/>
    </w:r>
    <w:r>
      <w:rPr>
        <w:rFonts w:ascii="Times New Roman" w:hAnsi="Times New Roman" w:cs="Times New Roman"/>
        <w:noProof/>
        <w:sz w:val="20"/>
      </w:rPr>
      <w:t>1</w:t>
    </w:r>
    <w:r w:rsidRPr="00037321">
      <w:rPr>
        <w:rFonts w:ascii="Times New Roman" w:hAnsi="Times New Roman" w:cs="Times New Roman"/>
        <w:sz w:val="20"/>
      </w:rPr>
      <w:fldChar w:fldCharType="end"/>
    </w:r>
    <w:r w:rsidRPr="00037321">
      <w:rPr>
        <w:rFonts w:ascii="Times New Roman" w:hAnsi="Times New Roman" w:cs="Times New Roman"/>
        <w:sz w:val="20"/>
      </w:rPr>
      <w:fldChar w:fldCharType="begin"/>
    </w:r>
    <w:r w:rsidRPr="00037321">
      <w:rPr>
        <w:rFonts w:ascii="Times New Roman" w:hAnsi="Times New Roman" w:cs="Times New Roman"/>
        <w:sz w:val="20"/>
      </w:rPr>
      <w:instrText>DOCPROPERTY "IaeaClassification2"  \* MERGEFORMAT</w:instrText>
    </w:r>
    <w:r w:rsidRPr="00037321">
      <w:rPr>
        <w:rFonts w:ascii="Times New Roman" w:hAnsi="Times New Roman" w:cs="Times New Roman"/>
        <w:sz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vertAnchor="page" w:horzAnchor="page" w:tblpX="1390" w:tblpY="15707"/>
      <w:tblOverlap w:val="never"/>
      <w:tblW w:w="10314" w:type="dxa"/>
      <w:tblLook w:val="0000" w:firstRow="0" w:lastRow="0" w:firstColumn="0" w:lastColumn="0" w:noHBand="0" w:noVBand="0"/>
    </w:tblPr>
    <w:tblGrid>
      <w:gridCol w:w="4644"/>
      <w:gridCol w:w="5670"/>
    </w:tblGrid>
    <w:tr w:rsidR="00F34EF5" w14:paraId="433FE0D8" w14:textId="77777777">
      <w:trPr>
        <w:cantSplit/>
      </w:trPr>
      <w:tc>
        <w:tcPr>
          <w:tcW w:w="4644" w:type="dxa"/>
        </w:tcPr>
        <w:p w14:paraId="433FE0D4" w14:textId="77777777" w:rsidR="00F34EF5" w:rsidRDefault="00F34EF5">
          <w:pPr>
            <w:pStyle w:val="zyxDistribution"/>
            <w:framePr w:wrap="auto" w:vAnchor="margin" w:hAnchor="text" w:xAlign="left" w:yAlign="inline"/>
            <w:suppressOverlap w:val="0"/>
          </w:pPr>
          <w:r>
            <w:fldChar w:fldCharType="begin"/>
          </w:r>
          <w:r>
            <w:instrText xml:space="preserve"> DOCPROPERTY "IaeaDistribution"  \* MERGEFORMAT </w:instrText>
          </w:r>
          <w:r>
            <w:fldChar w:fldCharType="end"/>
          </w:r>
        </w:p>
        <w:p w14:paraId="433FE0D5" w14:textId="77777777" w:rsidR="00F34EF5" w:rsidRDefault="00F34EF5">
          <w:pPr>
            <w:pStyle w:val="zyxSensitivity"/>
            <w:framePr w:wrap="auto" w:vAnchor="margin" w:hAnchor="text" w:xAlign="left" w:yAlign="inline"/>
            <w:suppressOverlap w:val="0"/>
          </w:pPr>
          <w:r>
            <w:fldChar w:fldCharType="begin"/>
          </w:r>
          <w:r>
            <w:instrText xml:space="preserve"> DOCPROPERTY "IaeaSensitivity"  \* MERGEFORMAT </w:instrText>
          </w:r>
          <w:r>
            <w:fldChar w:fldCharType="end"/>
          </w:r>
        </w:p>
      </w:tc>
      <w:bookmarkStart w:id="20" w:name="DOC_bkmClassification2"/>
      <w:tc>
        <w:tcPr>
          <w:tcW w:w="5670" w:type="dxa"/>
          <w:tcMar>
            <w:right w:w="249" w:type="dxa"/>
          </w:tcMar>
        </w:tcPr>
        <w:p w14:paraId="433FE0D6" w14:textId="77777777" w:rsidR="00F34EF5" w:rsidRDefault="00F34EF5">
          <w:pPr>
            <w:pStyle w:val="zyxConfidBlack"/>
            <w:framePr w:wrap="auto" w:vAnchor="margin" w:hAnchor="text" w:xAlign="left" w:yAlign="inline"/>
            <w:suppressOverlap w:val="0"/>
          </w:pPr>
          <w:r>
            <w:fldChar w:fldCharType="begin"/>
          </w:r>
          <w:r>
            <w:instrText xml:space="preserve"> DOCPROPERTY "IaeaClassification"  \* MERGEFORMAT </w:instrText>
          </w:r>
          <w:r>
            <w:fldChar w:fldCharType="end"/>
          </w:r>
        </w:p>
        <w:bookmarkEnd w:id="20"/>
        <w:p w14:paraId="433FE0D7" w14:textId="77777777" w:rsidR="00F34EF5" w:rsidRDefault="00F34EF5">
          <w:pPr>
            <w:spacing w:after="20" w:line="220" w:lineRule="exact"/>
            <w:jc w:val="right"/>
            <w:rPr>
              <w:rFonts w:ascii="Arial" w:hAnsi="Arial" w:cs="Arial"/>
              <w:color w:val="FF0000"/>
            </w:rPr>
          </w:pPr>
          <w:r>
            <w:rPr>
              <w:rFonts w:ascii="Arial" w:hAnsi="Arial"/>
              <w:b/>
            </w:rPr>
            <w:fldChar w:fldCharType="begin"/>
          </w:r>
          <w:r>
            <w:rPr>
              <w:rFonts w:ascii="Arial" w:hAnsi="Arial"/>
              <w:b/>
            </w:rPr>
            <w:instrText>DOCPROPERTY "IaeaConfidentialAttachments"  \* MERGEFORMAT</w:instrText>
          </w:r>
          <w:r>
            <w:rPr>
              <w:rFonts w:ascii="Arial" w:hAnsi="Arial"/>
              <w:b/>
            </w:rPr>
            <w:fldChar w:fldCharType="end"/>
          </w:r>
          <w:r>
            <w:rPr>
              <w:rFonts w:ascii="Arial" w:hAnsi="Arial" w:cs="Arial"/>
              <w:color w:val="FF0000"/>
            </w:rPr>
            <w:fldChar w:fldCharType="begin"/>
          </w:r>
          <w:r>
            <w:rPr>
              <w:rFonts w:ascii="Arial" w:hAnsi="Arial" w:cs="Arial"/>
              <w:color w:val="FF0000"/>
            </w:rPr>
            <w:instrText>DOCPROPERTY "IaeaClassification2"  \* MERGEFORMAT</w:instrText>
          </w:r>
          <w:r>
            <w:rPr>
              <w:rFonts w:ascii="Arial" w:hAnsi="Arial" w:cs="Arial"/>
              <w:color w:val="FF0000"/>
            </w:rPr>
            <w:fldChar w:fldCharType="end"/>
          </w:r>
        </w:p>
      </w:tc>
    </w:tr>
  </w:tbl>
  <w:bookmarkStart w:id="21" w:name="DOC_bkmFileName"/>
  <w:p w14:paraId="433FE0D9" w14:textId="77777777" w:rsidR="00F34EF5" w:rsidRDefault="00F34EF5">
    <w:r>
      <w:rPr>
        <w:sz w:val="16"/>
      </w:rPr>
      <w:fldChar w:fldCharType="begin"/>
    </w:r>
    <w:r>
      <w:rPr>
        <w:sz w:val="16"/>
      </w:rPr>
      <w:instrText xml:space="preserve"> FILENAME \* MERGEFORMAT </w:instrText>
    </w:r>
    <w:r>
      <w:rPr>
        <w:sz w:val="16"/>
      </w:rPr>
      <w:fldChar w:fldCharType="separate"/>
    </w:r>
    <w:r>
      <w:rPr>
        <w:noProof/>
        <w:sz w:val="16"/>
      </w:rPr>
      <w:t>Example paper.docx</w:t>
    </w:r>
    <w:r>
      <w:rPr>
        <w:sz w:val="16"/>
      </w:rPr>
      <w:fldChar w:fldCharType="end"/>
    </w:r>
    <w:bookmarkEnd w:id="21"/>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B23E437" w14:textId="77777777" w:rsidR="00061468" w:rsidRDefault="00061468">
      <w:r>
        <w:t>___________________________________________________________________________</w:t>
      </w:r>
    </w:p>
  </w:footnote>
  <w:footnote w:type="continuationSeparator" w:id="0">
    <w:p w14:paraId="67CE2D80" w14:textId="77777777" w:rsidR="00061468" w:rsidRDefault="00061468">
      <w:r>
        <w:t>___________________________________________________________________________</w:t>
      </w:r>
    </w:p>
  </w:footnote>
  <w:footnote w:type="continuationNotice" w:id="1">
    <w:p w14:paraId="0753DB3D" w14:textId="77777777" w:rsidR="00061468" w:rsidRDefault="00061468"/>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3FE0C2" w14:textId="30645062" w:rsidR="00F34EF5" w:rsidRDefault="00F34EF5" w:rsidP="00E8062A">
    <w:pPr>
      <w:pStyle w:val="Runninghead"/>
    </w:pPr>
    <w:r>
      <w:tab/>
      <w:t>FR21: IAEA-CN-291/275</w:t>
    </w:r>
    <w:r>
      <w:tab/>
    </w:r>
    <w:r>
      <w:fldChar w:fldCharType="begin"/>
    </w:r>
    <w:r>
      <w:instrText xml:space="preserve"> DOCPROPERTY "IaeaClassification"  \* MERGEFORMAT </w:instrText>
    </w:r>
    <w:r>
      <w:fldChar w:fldCharType="end"/>
    </w:r>
  </w:p>
  <w:p w14:paraId="433FE0C3" w14:textId="77777777" w:rsidR="00F34EF5" w:rsidRDefault="00F34EF5">
    <w:pPr>
      <w:pStyle w:val="zyxClassification2"/>
    </w:pPr>
    <w:r>
      <w:fldChar w:fldCharType="begin"/>
    </w:r>
    <w:r>
      <w:instrText>DOCPROPERTY "IaeaClassification2"  \* MERGEFORMAT</w:instrText>
    </w:r>
    <w: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3FE0C5" w14:textId="4D163B1B" w:rsidR="00F34EF5" w:rsidRPr="00E8062A" w:rsidRDefault="00F34EF5" w:rsidP="00E8062A">
    <w:pPr>
      <w:pStyle w:val="Runninghead"/>
    </w:pPr>
    <w:r>
      <w:t>NGUYEN et al.</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vertAnchor="page" w:horzAnchor="page" w:tblpX="1333" w:tblpY="228"/>
      <w:tblOverlap w:val="never"/>
      <w:tblW w:w="10319" w:type="dxa"/>
      <w:tblLayout w:type="fixed"/>
      <w:tblLook w:val="0000" w:firstRow="0" w:lastRow="0" w:firstColumn="0" w:lastColumn="0" w:noHBand="0" w:noVBand="0"/>
    </w:tblPr>
    <w:tblGrid>
      <w:gridCol w:w="979"/>
      <w:gridCol w:w="3638"/>
      <w:gridCol w:w="5702"/>
    </w:tblGrid>
    <w:tr w:rsidR="00F34EF5" w14:paraId="433FE0CE" w14:textId="77777777">
      <w:trPr>
        <w:cantSplit/>
        <w:trHeight w:val="716"/>
      </w:trPr>
      <w:tc>
        <w:tcPr>
          <w:tcW w:w="979" w:type="dxa"/>
          <w:vMerge w:val="restart"/>
        </w:tcPr>
        <w:p w14:paraId="433FE0CA" w14:textId="77777777" w:rsidR="00F34EF5" w:rsidRDefault="00F34EF5">
          <w:pPr>
            <w:spacing w:before="180"/>
            <w:ind w:left="17"/>
          </w:pPr>
        </w:p>
      </w:tc>
      <w:tc>
        <w:tcPr>
          <w:tcW w:w="3638" w:type="dxa"/>
          <w:vAlign w:val="bottom"/>
        </w:tcPr>
        <w:p w14:paraId="433FE0CB" w14:textId="77777777" w:rsidR="00F34EF5" w:rsidRDefault="00F34EF5">
          <w:pPr>
            <w:spacing w:after="20"/>
          </w:pPr>
        </w:p>
      </w:tc>
      <w:bookmarkStart w:id="19" w:name="DOC_bkmClassification1"/>
      <w:tc>
        <w:tcPr>
          <w:tcW w:w="5702" w:type="dxa"/>
          <w:vMerge w:val="restart"/>
          <w:tcMar>
            <w:right w:w="193" w:type="dxa"/>
          </w:tcMar>
        </w:tcPr>
        <w:p w14:paraId="433FE0CC" w14:textId="77777777" w:rsidR="00F34EF5" w:rsidRDefault="00F34EF5">
          <w:pPr>
            <w:pStyle w:val="zyxConfidBlack"/>
            <w:framePr w:wrap="auto" w:vAnchor="margin" w:hAnchor="text" w:xAlign="left" w:yAlign="inline"/>
            <w:suppressOverlap w:val="0"/>
          </w:pPr>
          <w:r>
            <w:fldChar w:fldCharType="begin"/>
          </w:r>
          <w:r>
            <w:instrText xml:space="preserve"> DOCPROPERTY "IaeaClassification"  \* MERGEFORMAT </w:instrText>
          </w:r>
          <w:r>
            <w:fldChar w:fldCharType="end"/>
          </w:r>
        </w:p>
        <w:bookmarkEnd w:id="19"/>
        <w:p w14:paraId="433FE0CD" w14:textId="77777777" w:rsidR="00F34EF5" w:rsidRDefault="00F34EF5">
          <w:pPr>
            <w:pStyle w:val="zyxConfid2Red"/>
          </w:pPr>
          <w:r>
            <w:fldChar w:fldCharType="begin"/>
          </w:r>
          <w:r>
            <w:instrText>DOCPROPERTY "IaeaClassification2"  \* MERGEFORMAT</w:instrText>
          </w:r>
          <w:r>
            <w:fldChar w:fldCharType="end"/>
          </w:r>
        </w:p>
      </w:tc>
    </w:tr>
    <w:tr w:rsidR="00F34EF5" w14:paraId="433FE0D2" w14:textId="77777777">
      <w:trPr>
        <w:cantSplit/>
        <w:trHeight w:val="167"/>
      </w:trPr>
      <w:tc>
        <w:tcPr>
          <w:tcW w:w="979" w:type="dxa"/>
          <w:vMerge/>
        </w:tcPr>
        <w:p w14:paraId="433FE0CF" w14:textId="77777777" w:rsidR="00F34EF5" w:rsidRDefault="00F34EF5">
          <w:pPr>
            <w:spacing w:before="57"/>
          </w:pPr>
        </w:p>
      </w:tc>
      <w:tc>
        <w:tcPr>
          <w:tcW w:w="3638" w:type="dxa"/>
          <w:vAlign w:val="bottom"/>
        </w:tcPr>
        <w:p w14:paraId="433FE0D0" w14:textId="77777777" w:rsidR="00F34EF5" w:rsidRDefault="00F34EF5">
          <w:pPr>
            <w:pStyle w:val="Heading9"/>
            <w:spacing w:before="0" w:after="10"/>
          </w:pPr>
        </w:p>
      </w:tc>
      <w:tc>
        <w:tcPr>
          <w:tcW w:w="5702" w:type="dxa"/>
          <w:vMerge/>
          <w:vAlign w:val="bottom"/>
        </w:tcPr>
        <w:p w14:paraId="433FE0D1" w14:textId="77777777" w:rsidR="00F34EF5" w:rsidRDefault="00F34EF5">
          <w:pPr>
            <w:pStyle w:val="Heading9"/>
            <w:spacing w:before="0" w:after="10"/>
          </w:pPr>
        </w:p>
      </w:tc>
    </w:tr>
  </w:tbl>
  <w:p w14:paraId="433FE0D3" w14:textId="77777777" w:rsidR="00F34EF5" w:rsidRDefault="00F34EF5"/>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A24264"/>
    <w:multiLevelType w:val="multilevel"/>
    <w:tmpl w:val="F1EC865C"/>
    <w:lvl w:ilvl="0">
      <w:start w:val="1"/>
      <w:numFmt w:val="decimal"/>
      <w:pStyle w:val="AgendaList"/>
      <w:lvlText w:val="%1."/>
      <w:lvlJc w:val="left"/>
      <w:pPr>
        <w:tabs>
          <w:tab w:val="num" w:pos="459"/>
        </w:tabs>
        <w:ind w:left="459" w:hanging="459"/>
      </w:pPr>
      <w:rPr>
        <w:rFonts w:ascii="Times New Roman" w:hAnsi="Times New Roman" w:hint="default"/>
        <w:b w:val="0"/>
        <w:i w:val="0"/>
        <w:caps w:val="0"/>
        <w:strike w:val="0"/>
        <w:dstrike w:val="0"/>
        <w:vanish w:val="0"/>
        <w:color w:val="000000"/>
        <w:sz w:val="22"/>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lowerLetter"/>
      <w:lvlText w:val="(%2)"/>
      <w:lvlJc w:val="left"/>
      <w:pPr>
        <w:tabs>
          <w:tab w:val="num" w:pos="919"/>
        </w:tabs>
        <w:ind w:left="919" w:hanging="459"/>
      </w:pPr>
      <w:rPr>
        <w:rFonts w:ascii="Times New Roman" w:hAnsi="Times New Roman" w:hint="default"/>
        <w:b w:val="0"/>
        <w:i w:val="0"/>
        <w:caps w:val="0"/>
        <w:strike w:val="0"/>
        <w:dstrike w:val="0"/>
        <w:vanish w:val="0"/>
        <w:color w:val="000000"/>
        <w:sz w:val="22"/>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bullet"/>
      <w:lvlText w:val="-"/>
      <w:lvlJc w:val="left"/>
      <w:pPr>
        <w:tabs>
          <w:tab w:val="num" w:pos="1378"/>
        </w:tabs>
        <w:ind w:left="1378" w:hanging="459"/>
      </w:pPr>
      <w:rPr>
        <w:rFonts w:ascii="Times New Roman" w:cs="Times New Roman" w:hint="default"/>
        <w:b w:val="0"/>
        <w:i w:val="0"/>
        <w:caps w:val="0"/>
        <w:strike w:val="0"/>
        <w:dstrike w:val="0"/>
        <w:vanish w:val="0"/>
        <w:color w:val="000000"/>
        <w:sz w:val="24"/>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4)"/>
      <w:lvlJc w:val="left"/>
      <w:pPr>
        <w:tabs>
          <w:tab w:val="num" w:pos="811"/>
        </w:tabs>
        <w:ind w:left="811" w:hanging="360"/>
      </w:pPr>
      <w:rPr>
        <w:rFonts w:hint="default"/>
      </w:rPr>
    </w:lvl>
    <w:lvl w:ilvl="4">
      <w:start w:val="1"/>
      <w:numFmt w:val="lowerLetter"/>
      <w:lvlText w:val="(%5)"/>
      <w:lvlJc w:val="left"/>
      <w:pPr>
        <w:tabs>
          <w:tab w:val="num" w:pos="1171"/>
        </w:tabs>
        <w:ind w:left="1171" w:hanging="360"/>
      </w:pPr>
      <w:rPr>
        <w:rFonts w:hint="default"/>
      </w:rPr>
    </w:lvl>
    <w:lvl w:ilvl="5">
      <w:start w:val="1"/>
      <w:numFmt w:val="lowerRoman"/>
      <w:lvlText w:val="(%6)"/>
      <w:lvlJc w:val="left"/>
      <w:pPr>
        <w:tabs>
          <w:tab w:val="num" w:pos="1531"/>
        </w:tabs>
        <w:ind w:left="1531" w:hanging="360"/>
      </w:pPr>
      <w:rPr>
        <w:rFonts w:hint="default"/>
      </w:rPr>
    </w:lvl>
    <w:lvl w:ilvl="6">
      <w:start w:val="1"/>
      <w:numFmt w:val="decimal"/>
      <w:lvlText w:val="%7."/>
      <w:lvlJc w:val="left"/>
      <w:pPr>
        <w:tabs>
          <w:tab w:val="num" w:pos="1891"/>
        </w:tabs>
        <w:ind w:left="1891" w:hanging="360"/>
      </w:pPr>
      <w:rPr>
        <w:rFonts w:hint="default"/>
      </w:rPr>
    </w:lvl>
    <w:lvl w:ilvl="7">
      <w:start w:val="1"/>
      <w:numFmt w:val="lowerLetter"/>
      <w:lvlText w:val="%8."/>
      <w:lvlJc w:val="left"/>
      <w:pPr>
        <w:tabs>
          <w:tab w:val="num" w:pos="2251"/>
        </w:tabs>
        <w:ind w:left="2251" w:hanging="360"/>
      </w:pPr>
      <w:rPr>
        <w:rFonts w:hint="default"/>
      </w:rPr>
    </w:lvl>
    <w:lvl w:ilvl="8">
      <w:start w:val="1"/>
      <w:numFmt w:val="lowerRoman"/>
      <w:lvlText w:val="%9."/>
      <w:lvlJc w:val="left"/>
      <w:pPr>
        <w:tabs>
          <w:tab w:val="num" w:pos="2611"/>
        </w:tabs>
        <w:ind w:left="2611" w:hanging="360"/>
      </w:pPr>
      <w:rPr>
        <w:rFonts w:hint="default"/>
      </w:rPr>
    </w:lvl>
  </w:abstractNum>
  <w:abstractNum w:abstractNumId="1" w15:restartNumberingAfterBreak="0">
    <w:nsid w:val="179F5671"/>
    <w:multiLevelType w:val="hybridMultilevel"/>
    <w:tmpl w:val="67246400"/>
    <w:name w:val="HeadingTemplate2"/>
    <w:lvl w:ilvl="0" w:tplc="EDCE82DC">
      <w:start w:val="1"/>
      <w:numFmt w:val="bullet"/>
      <w:pStyle w:val="ListEmdash"/>
      <w:lvlText w:val="—"/>
      <w:lvlJc w:val="left"/>
      <w:pPr>
        <w:ind w:left="1287" w:hanging="360"/>
      </w:pPr>
      <w:rPr>
        <w:rFonts w:ascii="Times New Roman" w:hAnsi="Times New Roman" w:cs="Times New Roman"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2" w15:restartNumberingAfterBreak="0">
    <w:nsid w:val="1CE663AE"/>
    <w:multiLevelType w:val="hybridMultilevel"/>
    <w:tmpl w:val="2BB4F1C6"/>
    <w:name w:val="HeadingTemplate22"/>
    <w:lvl w:ilvl="0" w:tplc="DB862C6E">
      <w:start w:val="1"/>
      <w:numFmt w:val="lowerLetter"/>
      <w:pStyle w:val="ListNumbered"/>
      <w:lvlText w:val="(%1)"/>
      <w:lvlJc w:val="left"/>
      <w:pPr>
        <w:ind w:left="720" w:hanging="360"/>
      </w:pPr>
      <w:rPr>
        <w:rFonts w:hint="default"/>
      </w:rPr>
    </w:lvl>
    <w:lvl w:ilvl="1" w:tplc="08090019" w:tentative="1">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1F583872"/>
    <w:multiLevelType w:val="hybridMultilevel"/>
    <w:tmpl w:val="3170DCCE"/>
    <w:lvl w:ilvl="0" w:tplc="3FF29240">
      <w:start w:val="1"/>
      <w:numFmt w:val="bullet"/>
      <w:pStyle w:val="BodyTextSummary"/>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30C540B8"/>
    <w:multiLevelType w:val="hybridMultilevel"/>
    <w:tmpl w:val="EA742534"/>
    <w:lvl w:ilvl="0" w:tplc="FF68CE92">
      <w:start w:val="1"/>
      <w:numFmt w:val="bullet"/>
      <w:pStyle w:val="ListBulleted"/>
      <w:lvlText w:val=""/>
      <w:lvlJc w:val="left"/>
      <w:pPr>
        <w:tabs>
          <w:tab w:val="num" w:pos="1179"/>
        </w:tabs>
        <w:ind w:left="1179" w:hanging="360"/>
      </w:pPr>
      <w:rPr>
        <w:rFonts w:ascii="Symbol" w:hAnsi="Symbol" w:hint="default"/>
      </w:rPr>
    </w:lvl>
    <w:lvl w:ilvl="1" w:tplc="04090003" w:tentative="1">
      <w:start w:val="1"/>
      <w:numFmt w:val="bullet"/>
      <w:lvlText w:val="o"/>
      <w:lvlJc w:val="left"/>
      <w:pPr>
        <w:tabs>
          <w:tab w:val="num" w:pos="1899"/>
        </w:tabs>
        <w:ind w:left="1899" w:hanging="360"/>
      </w:pPr>
      <w:rPr>
        <w:rFonts w:ascii="Courier New" w:hAnsi="Courier New" w:hint="default"/>
      </w:rPr>
    </w:lvl>
    <w:lvl w:ilvl="2" w:tplc="04090005" w:tentative="1">
      <w:start w:val="1"/>
      <w:numFmt w:val="bullet"/>
      <w:lvlText w:val=""/>
      <w:lvlJc w:val="left"/>
      <w:pPr>
        <w:tabs>
          <w:tab w:val="num" w:pos="2619"/>
        </w:tabs>
        <w:ind w:left="2619" w:hanging="360"/>
      </w:pPr>
      <w:rPr>
        <w:rFonts w:ascii="Wingdings" w:hAnsi="Wingdings" w:hint="default"/>
      </w:rPr>
    </w:lvl>
    <w:lvl w:ilvl="3" w:tplc="04090001" w:tentative="1">
      <w:start w:val="1"/>
      <w:numFmt w:val="bullet"/>
      <w:lvlText w:val=""/>
      <w:lvlJc w:val="left"/>
      <w:pPr>
        <w:tabs>
          <w:tab w:val="num" w:pos="3339"/>
        </w:tabs>
        <w:ind w:left="3339" w:hanging="360"/>
      </w:pPr>
      <w:rPr>
        <w:rFonts w:ascii="Symbol" w:hAnsi="Symbol" w:hint="default"/>
      </w:rPr>
    </w:lvl>
    <w:lvl w:ilvl="4" w:tplc="04090003" w:tentative="1">
      <w:start w:val="1"/>
      <w:numFmt w:val="bullet"/>
      <w:lvlText w:val="o"/>
      <w:lvlJc w:val="left"/>
      <w:pPr>
        <w:tabs>
          <w:tab w:val="num" w:pos="4059"/>
        </w:tabs>
        <w:ind w:left="4059" w:hanging="360"/>
      </w:pPr>
      <w:rPr>
        <w:rFonts w:ascii="Courier New" w:hAnsi="Courier New" w:hint="default"/>
      </w:rPr>
    </w:lvl>
    <w:lvl w:ilvl="5" w:tplc="04090005" w:tentative="1">
      <w:start w:val="1"/>
      <w:numFmt w:val="bullet"/>
      <w:lvlText w:val=""/>
      <w:lvlJc w:val="left"/>
      <w:pPr>
        <w:tabs>
          <w:tab w:val="num" w:pos="4779"/>
        </w:tabs>
        <w:ind w:left="4779" w:hanging="360"/>
      </w:pPr>
      <w:rPr>
        <w:rFonts w:ascii="Wingdings" w:hAnsi="Wingdings" w:hint="default"/>
      </w:rPr>
    </w:lvl>
    <w:lvl w:ilvl="6" w:tplc="04090001" w:tentative="1">
      <w:start w:val="1"/>
      <w:numFmt w:val="bullet"/>
      <w:lvlText w:val=""/>
      <w:lvlJc w:val="left"/>
      <w:pPr>
        <w:tabs>
          <w:tab w:val="num" w:pos="5499"/>
        </w:tabs>
        <w:ind w:left="5499" w:hanging="360"/>
      </w:pPr>
      <w:rPr>
        <w:rFonts w:ascii="Symbol" w:hAnsi="Symbol" w:hint="default"/>
      </w:rPr>
    </w:lvl>
    <w:lvl w:ilvl="7" w:tplc="04090003" w:tentative="1">
      <w:start w:val="1"/>
      <w:numFmt w:val="bullet"/>
      <w:lvlText w:val="o"/>
      <w:lvlJc w:val="left"/>
      <w:pPr>
        <w:tabs>
          <w:tab w:val="num" w:pos="6219"/>
        </w:tabs>
        <w:ind w:left="6219" w:hanging="360"/>
      </w:pPr>
      <w:rPr>
        <w:rFonts w:ascii="Courier New" w:hAnsi="Courier New" w:hint="default"/>
      </w:rPr>
    </w:lvl>
    <w:lvl w:ilvl="8" w:tplc="04090005" w:tentative="1">
      <w:start w:val="1"/>
      <w:numFmt w:val="bullet"/>
      <w:lvlText w:val=""/>
      <w:lvlJc w:val="left"/>
      <w:pPr>
        <w:tabs>
          <w:tab w:val="num" w:pos="6939"/>
        </w:tabs>
        <w:ind w:left="6939" w:hanging="360"/>
      </w:pPr>
      <w:rPr>
        <w:rFonts w:ascii="Wingdings" w:hAnsi="Wingdings" w:hint="default"/>
      </w:rPr>
    </w:lvl>
  </w:abstractNum>
  <w:abstractNum w:abstractNumId="5" w15:restartNumberingAfterBreak="0">
    <w:nsid w:val="30EE5A03"/>
    <w:multiLevelType w:val="multilevel"/>
    <w:tmpl w:val="82162BCE"/>
    <w:name w:val="HeadingTemplate3"/>
    <w:lvl w:ilvl="0">
      <w:start w:val="1"/>
      <w:numFmt w:val="none"/>
      <w:lvlRestart w:val="0"/>
      <w:lvlText w:val=""/>
      <w:lvlJc w:val="left"/>
      <w:pPr>
        <w:tabs>
          <w:tab w:val="num" w:pos="459"/>
        </w:tabs>
        <w:ind w:left="0" w:firstLine="0"/>
      </w:pPr>
      <w:rPr>
        <w:rFonts w:hint="default"/>
      </w:rPr>
    </w:lvl>
    <w:lvl w:ilvl="1">
      <w:start w:val="1"/>
      <w:numFmt w:val="decimal"/>
      <w:lvlRestart w:val="0"/>
      <w:pStyle w:val="Heading2"/>
      <w:suff w:val="space"/>
      <w:lvlText w:val="%1%2."/>
      <w:lvlJc w:val="left"/>
      <w:pPr>
        <w:ind w:left="0" w:firstLine="0"/>
      </w:pPr>
      <w:rPr>
        <w:rFonts w:ascii="Times New Roman" w:hAnsi="Times New Roman"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Restart w:val="0"/>
      <w:pStyle w:val="Heading3"/>
      <w:isLgl/>
      <w:lvlText w:val="%1%2.%3."/>
      <w:lvlJc w:val="left"/>
      <w:pPr>
        <w:ind w:left="0" w:firstLine="0"/>
      </w:pPr>
      <w:rPr>
        <w:rFonts w:hint="eastAsia"/>
        <w:b/>
        <w:bCs/>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3">
      <w:start w:val="1"/>
      <w:numFmt w:val="decimal"/>
      <w:lvlRestart w:val="0"/>
      <w:pStyle w:val="Heading4"/>
      <w:lvlText w:val="%2.%3.%4."/>
      <w:lvlJc w:val="left"/>
      <w:pPr>
        <w:ind w:left="1701" w:firstLine="0"/>
      </w:pPr>
      <w:rPr>
        <w:rFonts w:hint="default"/>
      </w:rPr>
    </w:lvl>
    <w:lvl w:ilvl="4">
      <w:start w:val="1"/>
      <w:numFmt w:val="lowerLetter"/>
      <w:lvlRestart w:val="0"/>
      <w:lvlText w:val="%1(%5)"/>
      <w:lvlJc w:val="left"/>
      <w:pPr>
        <w:tabs>
          <w:tab w:val="num" w:pos="3345"/>
        </w:tabs>
        <w:ind w:left="2268" w:firstLine="0"/>
      </w:pPr>
      <w:rPr>
        <w:rFonts w:hint="default"/>
        <w:sz w:val="20"/>
      </w:rPr>
    </w:lvl>
    <w:lvl w:ilvl="5">
      <w:start w:val="1"/>
      <w:numFmt w:val="decimal"/>
      <w:lvlText w:val="%1.%2.%3.%4.%5.%6"/>
      <w:lvlJc w:val="left"/>
      <w:pPr>
        <w:tabs>
          <w:tab w:val="num" w:pos="3912"/>
        </w:tabs>
        <w:ind w:left="2835" w:firstLine="0"/>
      </w:pPr>
      <w:rPr>
        <w:rFonts w:hint="default"/>
      </w:rPr>
    </w:lvl>
    <w:lvl w:ilvl="6">
      <w:start w:val="1"/>
      <w:numFmt w:val="decimal"/>
      <w:lvlText w:val="%1.%2.%3.%4.%5.%6.%7"/>
      <w:lvlJc w:val="left"/>
      <w:pPr>
        <w:tabs>
          <w:tab w:val="num" w:pos="2432"/>
        </w:tabs>
        <w:ind w:left="2432" w:hanging="1298"/>
      </w:pPr>
      <w:rPr>
        <w:rFonts w:hint="default"/>
      </w:rPr>
    </w:lvl>
    <w:lvl w:ilvl="7">
      <w:start w:val="1"/>
      <w:numFmt w:val="decimal"/>
      <w:lvlText w:val="%1.%2.%3.%4.%5.%6.%7.%8"/>
      <w:lvlJc w:val="left"/>
      <w:pPr>
        <w:tabs>
          <w:tab w:val="num" w:pos="2574"/>
        </w:tabs>
        <w:ind w:left="2574" w:hanging="1440"/>
      </w:pPr>
      <w:rPr>
        <w:rFonts w:hint="default"/>
      </w:rPr>
    </w:lvl>
    <w:lvl w:ilvl="8">
      <w:start w:val="1"/>
      <w:numFmt w:val="decimal"/>
      <w:lvlText w:val="%1.%2.%3.%4.%5.%6.%7.%8.%9"/>
      <w:lvlJc w:val="left"/>
      <w:pPr>
        <w:tabs>
          <w:tab w:val="num" w:pos="2716"/>
        </w:tabs>
        <w:ind w:left="2716" w:hanging="1582"/>
      </w:pPr>
      <w:rPr>
        <w:rFonts w:hint="default"/>
      </w:rPr>
    </w:lvl>
  </w:abstractNum>
  <w:abstractNum w:abstractNumId="6" w15:restartNumberingAfterBreak="0">
    <w:nsid w:val="3D18048A"/>
    <w:multiLevelType w:val="hybridMultilevel"/>
    <w:tmpl w:val="1642268C"/>
    <w:name w:val="HeadingTemplate222"/>
    <w:lvl w:ilvl="0" w:tplc="309A0324">
      <w:start w:val="1"/>
      <w:numFmt w:val="decimal"/>
      <w:pStyle w:val="Referencelist"/>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5117250B"/>
    <w:multiLevelType w:val="multilevel"/>
    <w:tmpl w:val="CC8CC4DE"/>
    <w:name w:val="HeadingTemplate3"/>
    <w:lvl w:ilvl="0">
      <w:start w:val="1"/>
      <w:numFmt w:val="decimal"/>
      <w:lvlRestart w:val="0"/>
      <w:pStyle w:val="BodyTextMultiline"/>
      <w:lvlText w:val="%1."/>
      <w:lvlJc w:val="left"/>
      <w:pPr>
        <w:tabs>
          <w:tab w:val="num" w:pos="459"/>
        </w:tabs>
        <w:ind w:left="0" w:firstLine="0"/>
      </w:pPr>
    </w:lvl>
    <w:lvl w:ilvl="1">
      <w:start w:val="1"/>
      <w:numFmt w:val="decimal"/>
      <w:lvlText w:val="%1.%2."/>
      <w:lvlJc w:val="left"/>
      <w:pPr>
        <w:tabs>
          <w:tab w:val="num" w:pos="918"/>
        </w:tabs>
        <w:ind w:left="459" w:firstLine="0"/>
      </w:pPr>
    </w:lvl>
    <w:lvl w:ilvl="2">
      <w:start w:val="1"/>
      <w:numFmt w:val="decimal"/>
      <w:lvlText w:val="%1.%2.%3."/>
      <w:lvlJc w:val="left"/>
      <w:pPr>
        <w:tabs>
          <w:tab w:val="num" w:pos="1378"/>
        </w:tabs>
        <w:ind w:left="918" w:firstLine="0"/>
      </w:pPr>
    </w:lvl>
    <w:lvl w:ilvl="3">
      <w:start w:val="1"/>
      <w:numFmt w:val="decimal"/>
      <w:lvlText w:val="%1.%2.%3.%4."/>
      <w:lvlJc w:val="left"/>
      <w:pPr>
        <w:tabs>
          <w:tab w:val="num" w:pos="1837"/>
        </w:tabs>
        <w:ind w:left="1378" w:firstLine="0"/>
      </w:pPr>
    </w:lvl>
    <w:lvl w:ilvl="4">
      <w:start w:val="1"/>
      <w:numFmt w:val="decimal"/>
      <w:lvlText w:val="%1.%2.%3.%4.%5."/>
      <w:lvlJc w:val="left"/>
      <w:pPr>
        <w:tabs>
          <w:tab w:val="num" w:pos="2517"/>
        </w:tabs>
        <w:ind w:left="2234" w:hanging="794"/>
      </w:pPr>
    </w:lvl>
    <w:lvl w:ilvl="5">
      <w:start w:val="1"/>
      <w:numFmt w:val="decimal"/>
      <w:lvlText w:val="%1.%2.%3.%4.%5.%6."/>
      <w:lvlJc w:val="left"/>
      <w:pPr>
        <w:tabs>
          <w:tab w:val="num" w:pos="2880"/>
        </w:tabs>
        <w:ind w:left="2738" w:hanging="941"/>
      </w:pPr>
    </w:lvl>
    <w:lvl w:ilvl="6">
      <w:start w:val="1"/>
      <w:numFmt w:val="decimal"/>
      <w:lvlText w:val="%1.%2.%3.%4.%5.%6.%7."/>
      <w:lvlJc w:val="left"/>
      <w:pPr>
        <w:tabs>
          <w:tab w:val="num" w:pos="3600"/>
        </w:tabs>
        <w:ind w:left="3237" w:hanging="1077"/>
      </w:pPr>
    </w:lvl>
    <w:lvl w:ilvl="7">
      <w:start w:val="1"/>
      <w:numFmt w:val="decimal"/>
      <w:lvlText w:val="%1.%2.%3.%4.%5.%6.%7.%8."/>
      <w:lvlJc w:val="left"/>
      <w:pPr>
        <w:tabs>
          <w:tab w:val="num" w:pos="3957"/>
        </w:tabs>
        <w:ind w:left="3742" w:hanging="1225"/>
      </w:pPr>
    </w:lvl>
    <w:lvl w:ilvl="8">
      <w:start w:val="1"/>
      <w:numFmt w:val="decimal"/>
      <w:lvlText w:val="%1.%2.%3.%4.%5.%6.%7.%8.%9."/>
      <w:lvlJc w:val="left"/>
      <w:pPr>
        <w:tabs>
          <w:tab w:val="num" w:pos="4677"/>
        </w:tabs>
        <w:ind w:left="4320" w:hanging="1440"/>
      </w:pPr>
    </w:lvl>
  </w:abstractNum>
  <w:abstractNum w:abstractNumId="8" w15:restartNumberingAfterBreak="0">
    <w:nsid w:val="6FD51093"/>
    <w:multiLevelType w:val="multilevel"/>
    <w:tmpl w:val="DC149528"/>
    <w:name w:val="HeadingTemplate"/>
    <w:lvl w:ilvl="0">
      <w:start w:val="1"/>
      <w:numFmt w:val="none"/>
      <w:lvlRestart w:val="0"/>
      <w:lvlText w:val=""/>
      <w:lvlJc w:val="left"/>
      <w:pPr>
        <w:tabs>
          <w:tab w:val="num" w:pos="459"/>
        </w:tabs>
        <w:ind w:left="0" w:firstLine="0"/>
      </w:pPr>
      <w:rPr>
        <w:rFonts w:hint="default"/>
      </w:rPr>
    </w:lvl>
    <w:lvl w:ilvl="1">
      <w:start w:val="1"/>
      <w:numFmt w:val="decimal"/>
      <w:lvlRestart w:val="0"/>
      <w:suff w:val="space"/>
      <w:lvlText w:val="%1%2."/>
      <w:lvlJc w:val="left"/>
      <w:pPr>
        <w:ind w:left="0" w:firstLine="0"/>
      </w:pPr>
      <w:rPr>
        <w:rFonts w:hint="default"/>
        <w:color w:val="auto"/>
      </w:rPr>
    </w:lvl>
    <w:lvl w:ilvl="2">
      <w:start w:val="1"/>
      <w:numFmt w:val="decimal"/>
      <w:lvlRestart w:val="0"/>
      <w:lvlText w:val="%1%2.%3."/>
      <w:lvlJc w:val="left"/>
      <w:pPr>
        <w:ind w:left="0" w:firstLine="0"/>
      </w:pPr>
      <w:rPr>
        <w:b/>
        <w:bCs/>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Restart w:val="0"/>
      <w:lvlText w:val="%2.%3.%4."/>
      <w:lvlJc w:val="left"/>
      <w:pPr>
        <w:ind w:left="1701" w:firstLine="0"/>
      </w:pPr>
      <w:rPr>
        <w:rFonts w:hint="default"/>
      </w:rPr>
    </w:lvl>
    <w:lvl w:ilvl="4">
      <w:start w:val="1"/>
      <w:numFmt w:val="lowerLetter"/>
      <w:lvlRestart w:val="0"/>
      <w:lvlText w:val="%1(%5)"/>
      <w:lvlJc w:val="left"/>
      <w:pPr>
        <w:tabs>
          <w:tab w:val="num" w:pos="3345"/>
        </w:tabs>
        <w:ind w:left="2268" w:firstLine="0"/>
      </w:pPr>
      <w:rPr>
        <w:rFonts w:hint="default"/>
        <w:sz w:val="20"/>
      </w:rPr>
    </w:lvl>
    <w:lvl w:ilvl="5">
      <w:start w:val="1"/>
      <w:numFmt w:val="decimal"/>
      <w:lvlText w:val="%1.%2.%3.%4.%5.%6"/>
      <w:lvlJc w:val="left"/>
      <w:pPr>
        <w:tabs>
          <w:tab w:val="num" w:pos="3912"/>
        </w:tabs>
        <w:ind w:left="2835" w:firstLine="0"/>
      </w:pPr>
      <w:rPr>
        <w:rFonts w:hint="default"/>
      </w:rPr>
    </w:lvl>
    <w:lvl w:ilvl="6">
      <w:start w:val="1"/>
      <w:numFmt w:val="decimal"/>
      <w:lvlText w:val="%1.%2.%3.%4.%5.%6.%7"/>
      <w:lvlJc w:val="left"/>
      <w:pPr>
        <w:tabs>
          <w:tab w:val="num" w:pos="2432"/>
        </w:tabs>
        <w:ind w:left="2432" w:hanging="1298"/>
      </w:pPr>
      <w:rPr>
        <w:rFonts w:hint="default"/>
      </w:rPr>
    </w:lvl>
    <w:lvl w:ilvl="7">
      <w:start w:val="1"/>
      <w:numFmt w:val="decimal"/>
      <w:lvlText w:val="%1.%2.%3.%4.%5.%6.%7.%8"/>
      <w:lvlJc w:val="left"/>
      <w:pPr>
        <w:tabs>
          <w:tab w:val="num" w:pos="2574"/>
        </w:tabs>
        <w:ind w:left="2574" w:hanging="1440"/>
      </w:pPr>
      <w:rPr>
        <w:rFonts w:hint="default"/>
      </w:rPr>
    </w:lvl>
    <w:lvl w:ilvl="8">
      <w:start w:val="1"/>
      <w:numFmt w:val="decimal"/>
      <w:lvlText w:val="%1.%2.%3.%4.%5.%6.%7.%8.%9"/>
      <w:lvlJc w:val="left"/>
      <w:pPr>
        <w:tabs>
          <w:tab w:val="num" w:pos="2716"/>
        </w:tabs>
        <w:ind w:left="2716" w:hanging="1582"/>
      </w:pPr>
      <w:rPr>
        <w:rFonts w:hint="default"/>
      </w:rPr>
    </w:lvl>
  </w:abstractNum>
  <w:num w:numId="1">
    <w:abstractNumId w:val="7"/>
  </w:num>
  <w:num w:numId="2">
    <w:abstractNumId w:val="3"/>
  </w:num>
  <w:num w:numId="3">
    <w:abstractNumId w:val="4"/>
  </w:num>
  <w:num w:numId="4">
    <w:abstractNumId w:val="0"/>
  </w:num>
  <w:num w:numId="5">
    <w:abstractNumId w:val="1"/>
  </w:num>
  <w:num w:numId="6">
    <w:abstractNumId w:val="2"/>
  </w:num>
  <w:num w:numId="7">
    <w:abstractNumId w:val="6"/>
  </w:num>
  <w:num w:numId="8">
    <w:abstractNumId w:val="5"/>
  </w:num>
  <w:num w:numId="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activeWritingStyle w:appName="MSWord" w:lang="en-GB" w:vendorID="64" w:dllVersion="5" w:nlCheck="1" w:checkStyle="1"/>
  <w:activeWritingStyle w:appName="MSWord" w:lang="en-US" w:vendorID="64" w:dllVersion="5" w:nlCheck="1" w:checkStyle="1"/>
  <w:activeWritingStyle w:appName="MSWord" w:lang="en-GB" w:vendorID="64" w:dllVersion="6" w:nlCheck="1" w:checkStyle="1"/>
  <w:activeWritingStyle w:appName="MSWord" w:lang="en-US" w:vendorID="64" w:dllVersion="6" w:nlCheck="1" w:checkStyle="1"/>
  <w:activeWritingStyle w:appName="MSWord" w:lang="en-US" w:vendorID="64" w:dllVersion="0" w:nlCheck="1" w:checkStyle="0"/>
  <w:activeWritingStyle w:appName="MSWord" w:lang="en-GB" w:vendorID="64" w:dllVersion="0" w:nlCheck="1" w:checkStyle="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567"/>
  <w:evenAndOddHeaders/>
  <w:drawingGridHorizontalSpacing w:val="120"/>
  <w:drawingGridVerticalSpacing w:val="120"/>
  <w:displayVerticalDrawingGridEvery w:val="0"/>
  <w:doNotUseMarginsForDrawingGridOrigin/>
  <w:noPunctuationKerning/>
  <w:characterSpacingControl w:val="doNotCompress"/>
  <w:hdrShapeDefaults>
    <o:shapedefaults v:ext="edit" spidmax="2049"/>
  </w:hdrShapeDefaults>
  <w:footnotePr>
    <w:footnote w:id="-1"/>
    <w:footnote w:id="0"/>
    <w:footnote w:id="1"/>
  </w:footnotePr>
  <w:endnotePr>
    <w:endnote w:id="-1"/>
    <w:endnote w:id="0"/>
  </w:endnotePr>
  <w:compat>
    <w:spaceForUL/>
    <w:balanceSingleByteDoubleByteWidth/>
    <w:doNotLeaveBackslashAlone/>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DLG_chkAction" w:val="0"/>
    <w:docVar w:name="DLG_chkApproval" w:val="-1"/>
    <w:docVar w:name="DLG_chkClearance" w:val="0"/>
    <w:docVar w:name="DLG_chkDiscuss" w:val="0"/>
    <w:docVar w:name="DLG_chkDraft" w:val="0"/>
    <w:docVar w:name="DLG_chkFiling" w:val="0"/>
    <w:docVar w:name="DLG_chkInformation" w:val="0"/>
    <w:docVar w:name="DLG_chkPassOn" w:val="0"/>
    <w:docVar w:name="DLG_chkRCS" w:val="0"/>
    <w:docVar w:name="DLG_chkRequest" w:val="0"/>
    <w:docVar w:name="DLG_chkReturn" w:val="0"/>
    <w:docVar w:name="DLG_chkSignature" w:val="0"/>
    <w:docVar w:name="DLG_txtSubject" w:val="Subject"/>
    <w:docVar w:name="SEC_Classification" w:val="None"/>
    <w:docVar w:name="SEC_ConfidentialAttachments" w:val="False"/>
  </w:docVars>
  <w:rsids>
    <w:rsidRoot w:val="00037321"/>
    <w:rsid w:val="00000A9C"/>
    <w:rsid w:val="0002119A"/>
    <w:rsid w:val="000229AB"/>
    <w:rsid w:val="0002569A"/>
    <w:rsid w:val="00026A18"/>
    <w:rsid w:val="000351DD"/>
    <w:rsid w:val="00037321"/>
    <w:rsid w:val="00040299"/>
    <w:rsid w:val="00045D5A"/>
    <w:rsid w:val="00046EEE"/>
    <w:rsid w:val="000515AD"/>
    <w:rsid w:val="000605F1"/>
    <w:rsid w:val="00061468"/>
    <w:rsid w:val="0008054E"/>
    <w:rsid w:val="00083E2F"/>
    <w:rsid w:val="00091A40"/>
    <w:rsid w:val="00093A64"/>
    <w:rsid w:val="0009772D"/>
    <w:rsid w:val="000A0299"/>
    <w:rsid w:val="000A2990"/>
    <w:rsid w:val="000C4332"/>
    <w:rsid w:val="000D1FBB"/>
    <w:rsid w:val="000D6733"/>
    <w:rsid w:val="000F7E94"/>
    <w:rsid w:val="00103771"/>
    <w:rsid w:val="001119D6"/>
    <w:rsid w:val="00122506"/>
    <w:rsid w:val="00126049"/>
    <w:rsid w:val="00127E42"/>
    <w:rsid w:val="001308F2"/>
    <w:rsid w:val="001313E8"/>
    <w:rsid w:val="0013403C"/>
    <w:rsid w:val="001457B6"/>
    <w:rsid w:val="001548E1"/>
    <w:rsid w:val="00155392"/>
    <w:rsid w:val="001564FC"/>
    <w:rsid w:val="0016242D"/>
    <w:rsid w:val="00164760"/>
    <w:rsid w:val="001662D1"/>
    <w:rsid w:val="00167385"/>
    <w:rsid w:val="00171F2E"/>
    <w:rsid w:val="00177807"/>
    <w:rsid w:val="00183BC4"/>
    <w:rsid w:val="00194ABF"/>
    <w:rsid w:val="001B18A3"/>
    <w:rsid w:val="001C58F5"/>
    <w:rsid w:val="001C639E"/>
    <w:rsid w:val="001D30F6"/>
    <w:rsid w:val="001D378E"/>
    <w:rsid w:val="001D4772"/>
    <w:rsid w:val="001D5CEE"/>
    <w:rsid w:val="001E22BE"/>
    <w:rsid w:val="001E352C"/>
    <w:rsid w:val="001F5139"/>
    <w:rsid w:val="00206713"/>
    <w:rsid w:val="002071D9"/>
    <w:rsid w:val="00233908"/>
    <w:rsid w:val="00243A0A"/>
    <w:rsid w:val="002464D1"/>
    <w:rsid w:val="00255796"/>
    <w:rsid w:val="00256822"/>
    <w:rsid w:val="00257D5D"/>
    <w:rsid w:val="002637F8"/>
    <w:rsid w:val="0026525A"/>
    <w:rsid w:val="00266469"/>
    <w:rsid w:val="002666AC"/>
    <w:rsid w:val="0026704F"/>
    <w:rsid w:val="00274790"/>
    <w:rsid w:val="00276ACF"/>
    <w:rsid w:val="00277F80"/>
    <w:rsid w:val="002804CF"/>
    <w:rsid w:val="00284505"/>
    <w:rsid w:val="00285755"/>
    <w:rsid w:val="00285928"/>
    <w:rsid w:val="002946AA"/>
    <w:rsid w:val="002978B2"/>
    <w:rsid w:val="002A1F9C"/>
    <w:rsid w:val="002A7A78"/>
    <w:rsid w:val="002B29C2"/>
    <w:rsid w:val="002B2EF2"/>
    <w:rsid w:val="002C29DB"/>
    <w:rsid w:val="002C4208"/>
    <w:rsid w:val="002C5113"/>
    <w:rsid w:val="002D4004"/>
    <w:rsid w:val="002D4B32"/>
    <w:rsid w:val="002D6259"/>
    <w:rsid w:val="002E1017"/>
    <w:rsid w:val="002E1855"/>
    <w:rsid w:val="00311501"/>
    <w:rsid w:val="00325561"/>
    <w:rsid w:val="003342CA"/>
    <w:rsid w:val="003342ED"/>
    <w:rsid w:val="00337812"/>
    <w:rsid w:val="00344ADB"/>
    <w:rsid w:val="00347275"/>
    <w:rsid w:val="00352DE1"/>
    <w:rsid w:val="00363EC5"/>
    <w:rsid w:val="003728E6"/>
    <w:rsid w:val="0037439E"/>
    <w:rsid w:val="00376F10"/>
    <w:rsid w:val="003A06D6"/>
    <w:rsid w:val="003A150D"/>
    <w:rsid w:val="003B5E0E"/>
    <w:rsid w:val="003B61CF"/>
    <w:rsid w:val="003C0516"/>
    <w:rsid w:val="003C6C50"/>
    <w:rsid w:val="003D255A"/>
    <w:rsid w:val="003D39BA"/>
    <w:rsid w:val="003E0EBC"/>
    <w:rsid w:val="003E3F2C"/>
    <w:rsid w:val="003F7F96"/>
    <w:rsid w:val="0040326F"/>
    <w:rsid w:val="00414F30"/>
    <w:rsid w:val="00416949"/>
    <w:rsid w:val="00421307"/>
    <w:rsid w:val="00421505"/>
    <w:rsid w:val="0043390B"/>
    <w:rsid w:val="00434786"/>
    <w:rsid w:val="004370D8"/>
    <w:rsid w:val="004547F4"/>
    <w:rsid w:val="0046361D"/>
    <w:rsid w:val="00465B98"/>
    <w:rsid w:val="004723E6"/>
    <w:rsid w:val="00472C43"/>
    <w:rsid w:val="004761EC"/>
    <w:rsid w:val="00485D46"/>
    <w:rsid w:val="00486273"/>
    <w:rsid w:val="0048700E"/>
    <w:rsid w:val="00487F3F"/>
    <w:rsid w:val="004A0504"/>
    <w:rsid w:val="004B781A"/>
    <w:rsid w:val="004C56A5"/>
    <w:rsid w:val="004C5CBA"/>
    <w:rsid w:val="004D03EB"/>
    <w:rsid w:val="004D384C"/>
    <w:rsid w:val="004D3D4E"/>
    <w:rsid w:val="004E326F"/>
    <w:rsid w:val="004E5C1A"/>
    <w:rsid w:val="004F5005"/>
    <w:rsid w:val="00517DBF"/>
    <w:rsid w:val="00527701"/>
    <w:rsid w:val="00532A95"/>
    <w:rsid w:val="0053436E"/>
    <w:rsid w:val="00537496"/>
    <w:rsid w:val="00544ED3"/>
    <w:rsid w:val="00545562"/>
    <w:rsid w:val="00561594"/>
    <w:rsid w:val="005774C1"/>
    <w:rsid w:val="005839AE"/>
    <w:rsid w:val="0058477B"/>
    <w:rsid w:val="0058654F"/>
    <w:rsid w:val="00596ACA"/>
    <w:rsid w:val="005A3769"/>
    <w:rsid w:val="005B07AF"/>
    <w:rsid w:val="005B7E46"/>
    <w:rsid w:val="005E0EBD"/>
    <w:rsid w:val="005E1EE1"/>
    <w:rsid w:val="005E25D5"/>
    <w:rsid w:val="005E39BC"/>
    <w:rsid w:val="005E4013"/>
    <w:rsid w:val="005E5356"/>
    <w:rsid w:val="005E5ED0"/>
    <w:rsid w:val="005F00A0"/>
    <w:rsid w:val="005F0417"/>
    <w:rsid w:val="005F666E"/>
    <w:rsid w:val="005F7A96"/>
    <w:rsid w:val="0060790B"/>
    <w:rsid w:val="0062520B"/>
    <w:rsid w:val="00647F33"/>
    <w:rsid w:val="00651C3A"/>
    <w:rsid w:val="006520E2"/>
    <w:rsid w:val="00662532"/>
    <w:rsid w:val="006637C0"/>
    <w:rsid w:val="006742D1"/>
    <w:rsid w:val="00696297"/>
    <w:rsid w:val="006A72BB"/>
    <w:rsid w:val="006B2274"/>
    <w:rsid w:val="006B40E8"/>
    <w:rsid w:val="006C69B3"/>
    <w:rsid w:val="006F4D3B"/>
    <w:rsid w:val="0070582B"/>
    <w:rsid w:val="00717C6F"/>
    <w:rsid w:val="00723A76"/>
    <w:rsid w:val="00730501"/>
    <w:rsid w:val="00732921"/>
    <w:rsid w:val="007356F7"/>
    <w:rsid w:val="00737ACD"/>
    <w:rsid w:val="007439EB"/>
    <w:rsid w:val="007445DA"/>
    <w:rsid w:val="007456E0"/>
    <w:rsid w:val="0075023D"/>
    <w:rsid w:val="007506D1"/>
    <w:rsid w:val="0075347A"/>
    <w:rsid w:val="00755901"/>
    <w:rsid w:val="00763327"/>
    <w:rsid w:val="007804AB"/>
    <w:rsid w:val="00787364"/>
    <w:rsid w:val="00794D61"/>
    <w:rsid w:val="007A1618"/>
    <w:rsid w:val="007A35E0"/>
    <w:rsid w:val="007A521D"/>
    <w:rsid w:val="007A6F2C"/>
    <w:rsid w:val="007B0775"/>
    <w:rsid w:val="007B4FD1"/>
    <w:rsid w:val="007B63D3"/>
    <w:rsid w:val="007C51AE"/>
    <w:rsid w:val="007D1813"/>
    <w:rsid w:val="007D1F8A"/>
    <w:rsid w:val="007E11F6"/>
    <w:rsid w:val="007F0C45"/>
    <w:rsid w:val="007F7A9A"/>
    <w:rsid w:val="00802381"/>
    <w:rsid w:val="00813824"/>
    <w:rsid w:val="00827166"/>
    <w:rsid w:val="0083096A"/>
    <w:rsid w:val="00834EFD"/>
    <w:rsid w:val="0085416A"/>
    <w:rsid w:val="00857EC5"/>
    <w:rsid w:val="00860FDD"/>
    <w:rsid w:val="008648E5"/>
    <w:rsid w:val="0086759F"/>
    <w:rsid w:val="00871F40"/>
    <w:rsid w:val="00883848"/>
    <w:rsid w:val="0089254E"/>
    <w:rsid w:val="00894F02"/>
    <w:rsid w:val="00897ED5"/>
    <w:rsid w:val="008A28D2"/>
    <w:rsid w:val="008B2AE0"/>
    <w:rsid w:val="008B6A55"/>
    <w:rsid w:val="008B6BB9"/>
    <w:rsid w:val="008D2427"/>
    <w:rsid w:val="008D42BC"/>
    <w:rsid w:val="008F1422"/>
    <w:rsid w:val="008F489B"/>
    <w:rsid w:val="00906927"/>
    <w:rsid w:val="00907EB1"/>
    <w:rsid w:val="00911543"/>
    <w:rsid w:val="00913D17"/>
    <w:rsid w:val="009147CA"/>
    <w:rsid w:val="009168E3"/>
    <w:rsid w:val="009200A2"/>
    <w:rsid w:val="00920B1F"/>
    <w:rsid w:val="00924891"/>
    <w:rsid w:val="0092629E"/>
    <w:rsid w:val="009519C9"/>
    <w:rsid w:val="00954AAC"/>
    <w:rsid w:val="009718BF"/>
    <w:rsid w:val="009755AE"/>
    <w:rsid w:val="009919A1"/>
    <w:rsid w:val="009946AD"/>
    <w:rsid w:val="009A5CA6"/>
    <w:rsid w:val="009B1F83"/>
    <w:rsid w:val="009C443F"/>
    <w:rsid w:val="009D0B86"/>
    <w:rsid w:val="009D19AE"/>
    <w:rsid w:val="009E0A2F"/>
    <w:rsid w:val="009E0D5B"/>
    <w:rsid w:val="009E1558"/>
    <w:rsid w:val="009E79BE"/>
    <w:rsid w:val="009F5880"/>
    <w:rsid w:val="00A046C7"/>
    <w:rsid w:val="00A125E7"/>
    <w:rsid w:val="00A204C1"/>
    <w:rsid w:val="00A233D1"/>
    <w:rsid w:val="00A26EE9"/>
    <w:rsid w:val="00A31A67"/>
    <w:rsid w:val="00A42898"/>
    <w:rsid w:val="00A577EF"/>
    <w:rsid w:val="00A57919"/>
    <w:rsid w:val="00A81893"/>
    <w:rsid w:val="00AA09A1"/>
    <w:rsid w:val="00AB255C"/>
    <w:rsid w:val="00AB6ACE"/>
    <w:rsid w:val="00AB7DD1"/>
    <w:rsid w:val="00AC4D30"/>
    <w:rsid w:val="00AC5A3A"/>
    <w:rsid w:val="00AE0905"/>
    <w:rsid w:val="00AF198E"/>
    <w:rsid w:val="00AF316F"/>
    <w:rsid w:val="00B150AD"/>
    <w:rsid w:val="00B214DC"/>
    <w:rsid w:val="00B244E2"/>
    <w:rsid w:val="00B2696C"/>
    <w:rsid w:val="00B26A61"/>
    <w:rsid w:val="00B26B98"/>
    <w:rsid w:val="00B52F71"/>
    <w:rsid w:val="00B5387C"/>
    <w:rsid w:val="00B604BE"/>
    <w:rsid w:val="00B77984"/>
    <w:rsid w:val="00B804DA"/>
    <w:rsid w:val="00B82FA5"/>
    <w:rsid w:val="00B948E9"/>
    <w:rsid w:val="00B94937"/>
    <w:rsid w:val="00B970B4"/>
    <w:rsid w:val="00BB1E1D"/>
    <w:rsid w:val="00BB4796"/>
    <w:rsid w:val="00BC571D"/>
    <w:rsid w:val="00BC7994"/>
    <w:rsid w:val="00BD1400"/>
    <w:rsid w:val="00BD605C"/>
    <w:rsid w:val="00BE2A76"/>
    <w:rsid w:val="00BF0492"/>
    <w:rsid w:val="00BF0E85"/>
    <w:rsid w:val="00BF2146"/>
    <w:rsid w:val="00C22526"/>
    <w:rsid w:val="00C64925"/>
    <w:rsid w:val="00C65E60"/>
    <w:rsid w:val="00C70DFB"/>
    <w:rsid w:val="00C759F1"/>
    <w:rsid w:val="00C760F0"/>
    <w:rsid w:val="00C763A6"/>
    <w:rsid w:val="00C80F51"/>
    <w:rsid w:val="00C84A36"/>
    <w:rsid w:val="00CA0102"/>
    <w:rsid w:val="00CC6F3F"/>
    <w:rsid w:val="00CE259B"/>
    <w:rsid w:val="00CE5A52"/>
    <w:rsid w:val="00CF06C0"/>
    <w:rsid w:val="00CF08E4"/>
    <w:rsid w:val="00CF27CE"/>
    <w:rsid w:val="00CF7AF3"/>
    <w:rsid w:val="00D002B4"/>
    <w:rsid w:val="00D1378F"/>
    <w:rsid w:val="00D13EA9"/>
    <w:rsid w:val="00D13EB3"/>
    <w:rsid w:val="00D26ADA"/>
    <w:rsid w:val="00D27B83"/>
    <w:rsid w:val="00D34A70"/>
    <w:rsid w:val="00D35A78"/>
    <w:rsid w:val="00D509BF"/>
    <w:rsid w:val="00D513D4"/>
    <w:rsid w:val="00D555A1"/>
    <w:rsid w:val="00D64DC2"/>
    <w:rsid w:val="00D678DC"/>
    <w:rsid w:val="00D87D8F"/>
    <w:rsid w:val="00D9337D"/>
    <w:rsid w:val="00DA0ECC"/>
    <w:rsid w:val="00DA2614"/>
    <w:rsid w:val="00DA46CA"/>
    <w:rsid w:val="00DB15CA"/>
    <w:rsid w:val="00DB59D4"/>
    <w:rsid w:val="00DD1202"/>
    <w:rsid w:val="00DE42B6"/>
    <w:rsid w:val="00DE77F7"/>
    <w:rsid w:val="00DF21EB"/>
    <w:rsid w:val="00DF23EC"/>
    <w:rsid w:val="00DF4B9E"/>
    <w:rsid w:val="00E07001"/>
    <w:rsid w:val="00E11529"/>
    <w:rsid w:val="00E20E70"/>
    <w:rsid w:val="00E25B68"/>
    <w:rsid w:val="00E56B76"/>
    <w:rsid w:val="00E73C13"/>
    <w:rsid w:val="00E8062A"/>
    <w:rsid w:val="00E84003"/>
    <w:rsid w:val="00E97274"/>
    <w:rsid w:val="00EB6CD1"/>
    <w:rsid w:val="00EB7478"/>
    <w:rsid w:val="00EC10FC"/>
    <w:rsid w:val="00EC40CB"/>
    <w:rsid w:val="00ED0A99"/>
    <w:rsid w:val="00EE0041"/>
    <w:rsid w:val="00EE29B9"/>
    <w:rsid w:val="00EE6A4A"/>
    <w:rsid w:val="00EF79A7"/>
    <w:rsid w:val="00F004EE"/>
    <w:rsid w:val="00F15628"/>
    <w:rsid w:val="00F34EF5"/>
    <w:rsid w:val="00F35978"/>
    <w:rsid w:val="00F36AAB"/>
    <w:rsid w:val="00F37AFB"/>
    <w:rsid w:val="00F42E23"/>
    <w:rsid w:val="00F45EEE"/>
    <w:rsid w:val="00F46E71"/>
    <w:rsid w:val="00F476DC"/>
    <w:rsid w:val="00F51E9C"/>
    <w:rsid w:val="00F523CA"/>
    <w:rsid w:val="00F54DE8"/>
    <w:rsid w:val="00F576F2"/>
    <w:rsid w:val="00F6098C"/>
    <w:rsid w:val="00F6405E"/>
    <w:rsid w:val="00F74A9D"/>
    <w:rsid w:val="00F80D35"/>
    <w:rsid w:val="00F87043"/>
    <w:rsid w:val="00F93357"/>
    <w:rsid w:val="00FA557B"/>
    <w:rsid w:val="00FA669E"/>
    <w:rsid w:val="00FC0F1A"/>
    <w:rsid w:val="00FD378B"/>
    <w:rsid w:val="00FF386F"/>
  </w:rsids>
  <m:mathPr>
    <m:mathFont m:val="Cambria Math"/>
    <m:brkBin m:val="before"/>
    <m:brkBinSub m:val="--"/>
    <m:smallFrac m:val="0"/>
    <m:dispDef/>
    <m:lMargin m:val="0"/>
    <m:rMargin m:val="0"/>
    <m:defJc m:val="centerGroup"/>
    <m:wrapIndent m:val="1440"/>
    <m:intLim m:val="subSup"/>
    <m:naryLim m:val="undOvr"/>
  </m:mathPr>
  <w:themeFontLang w:val="en-GB" w:eastAsia="ko-K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433FE039"/>
  <w14:defaultImageDpi w14:val="330"/>
  <w15:docId w15:val="{0198EE2D-2C72-4C75-B506-B03A3CC495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1" w:defUIPriority="49" w:defSemiHidden="0" w:defUnhideWhenUsed="0" w:defQFormat="0" w:count="376">
    <w:lsdException w:name="Normal" w:locked="0"/>
    <w:lsdException w:name="heading 1" w:locked="0" w:uiPriority="0" w:qFormat="1"/>
    <w:lsdException w:name="heading 2" w:locked="0" w:uiPriority="4" w:qFormat="1"/>
    <w:lsdException w:name="heading 3" w:locked="0" w:uiPriority="4" w:qFormat="1"/>
    <w:lsdException w:name="heading 4" w:locked="0" w:uiPriority="0" w:qFormat="1"/>
    <w:lsdException w:name="heading 5" w:locked="0" w:uiPriority="0"/>
    <w:lsdException w:name="heading 6" w:locked="0" w:uiPriority="0"/>
    <w:lsdException w:name="heading 7" w:locked="0" w:semiHidden="1" w:uiPriority="0" w:unhideWhenUsed="1"/>
    <w:lsdException w:name="heading 8" w:locked="0" w:semiHidden="1" w:uiPriority="0" w:unhideWhenUsed="1"/>
    <w:lsdException w:name="heading 9" w:locked="0" w:semiHidden="1" w:uiPriority="0"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locked="0" w:semiHidden="1" w:uiPriority="0" w:unhideWhenUsed="1"/>
    <w:lsdException w:name="annotation text" w:semiHidden="1" w:unhideWhenUsed="1"/>
    <w:lsdException w:name="header" w:locked="0" w:semiHidden="1" w:uiPriority="0" w:unhideWhenUsed="1"/>
    <w:lsdException w:name="footer" w:locked="0" w:semiHidden="1" w:uiPriority="99" w:unhideWhenUsed="1"/>
    <w:lsdException w:name="index heading" w:semiHidden="1" w:unhideWhenUsed="1"/>
    <w:lsdException w:name="caption" w:locked="0" w:semiHidden="1" w:uiPriority="0" w:unhideWhenUsed="1"/>
    <w:lsdException w:name="table of figures" w:semiHidden="1" w:unhideWhenUsed="1"/>
    <w:lsdException w:name="envelope address" w:semiHidden="1" w:unhideWhenUsed="1"/>
    <w:lsdException w:name="envelope return" w:semiHidden="1" w:unhideWhenUsed="1"/>
    <w:lsdException w:name="footnote reference" w:locked="0"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locked="0"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0" w:uiPriority="0"/>
    <w:lsdException w:name="Closing" w:semiHidden="1" w:unhideWhenUsed="1"/>
    <w:lsdException w:name="Signature" w:semiHidden="1" w:unhideWhenUsed="1"/>
    <w:lsdException w:name="Default Paragraph Font" w:locked="0" w:semiHidden="1" w:uiPriority="0" w:unhideWhenUsed="1"/>
    <w:lsdException w:name="Body Text" w:locked="0" w:semiHidden="1" w:uiPriority="0" w:unhideWhenUsed="1" w:qFormat="1"/>
    <w:lsdException w:name="Body Text Indent" w:locked="0"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0" w:uiPriority="0"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locked="0" w:semiHidden="1" w:uiPriority="0" w:unhideWhenUsed="1"/>
    <w:lsdException w:name="HTML Bottom of Form" w:locked="0" w:semiHidden="1" w:uiPriority="0" w:unhideWhenUsed="1"/>
    <w:lsdException w:name="Normal (Web)" w:semiHidden="1" w:uiPriority="99" w:unhideWhenUsed="1"/>
    <w:lsdException w:name="HTML Acronym" w:semiHidden="1" w:uiPriority="19" w:unhideWhenUsed="1"/>
    <w:lsdException w:name="HTML Address" w:semiHidden="1" w:uiPriority="19"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iPriority="0" w:unhideWhenUsed="1"/>
    <w:lsdException w:name="annotation subject" w:semiHidden="1" w:unhideWhenUsed="1"/>
    <w:lsdException w:name="No List" w:locked="0" w:semiHidden="1" w:uiPriority="0" w:unhideWhenUsed="1"/>
    <w:lsdException w:name="Outline List 1" w:semiHidden="1" w:uiPriority="0" w:unhideWhenUsed="1"/>
    <w:lsdException w:name="Outline List 2" w:semiHidden="1" w:uiPriority="0" w:unhideWhenUsed="1"/>
    <w:lsdException w:name="Outline List 3" w:semiHidden="1" w:uiPriority="0" w:unhideWhenUsed="1"/>
    <w:lsdException w:name="Table Simple 1" w:semiHidden="1" w:uiPriority="0" w:unhideWhenUsed="1"/>
    <w:lsdException w:name="Table Simple 2" w:semiHidden="1" w:uiPriority="0" w:unhideWhenUsed="1"/>
    <w:lsdException w:name="Table Simple 3" w:semiHidden="1" w:uiPriority="0" w:unhideWhenUsed="1"/>
    <w:lsdException w:name="Table Classic 1" w:semiHidden="1" w:uiPriority="0" w:unhideWhenUsed="1"/>
    <w:lsdException w:name="Table Classic 2" w:semiHidden="1" w:uiPriority="0" w:unhideWhenUsed="1"/>
    <w:lsdException w:name="Table Classic 3" w:semiHidden="1" w:uiPriority="0" w:unhideWhenUsed="1"/>
    <w:lsdException w:name="Table Classic 4" w:semiHidden="1" w:uiPriority="0" w:unhideWhenUsed="1"/>
    <w:lsdException w:name="Table Colorful 1" w:semiHidden="1" w:uiPriority="0" w:unhideWhenUsed="1"/>
    <w:lsdException w:name="Table Colorful 2" w:semiHidden="1" w:uiPriority="0" w:unhideWhenUsed="1"/>
    <w:lsdException w:name="Table Colorful 3" w:semiHidden="1" w:uiPriority="0" w:unhideWhenUsed="1"/>
    <w:lsdException w:name="Table Columns 1" w:semiHidden="1" w:uiPriority="0" w:unhideWhenUsed="1"/>
    <w:lsdException w:name="Table Columns 2" w:semiHidden="1" w:uiPriority="0" w:unhideWhenUsed="1"/>
    <w:lsdException w:name="Table Columns 3" w:semiHidden="1" w:uiPriority="0" w:unhideWhenUsed="1"/>
    <w:lsdException w:name="Table Columns 4" w:semiHidden="1" w:uiPriority="0" w:unhideWhenUsed="1"/>
    <w:lsdException w:name="Table Columns 5" w:semiHidden="1" w:uiPriority="0" w:unhideWhenUsed="1"/>
    <w:lsdException w:name="Table Grid 1" w:semiHidden="1" w:uiPriority="0" w:unhideWhenUsed="1"/>
    <w:lsdException w:name="Table Grid 2" w:semiHidden="1" w:uiPriority="0" w:unhideWhenUsed="1"/>
    <w:lsdException w:name="Table Grid 3" w:semiHidden="1" w:uiPriority="0" w:unhideWhenUsed="1"/>
    <w:lsdException w:name="Table Grid 4" w:semiHidden="1" w:uiPriority="0" w:unhideWhenUsed="1"/>
    <w:lsdException w:name="Table Grid 5" w:semiHidden="1" w:uiPriority="0" w:unhideWhenUsed="1"/>
    <w:lsdException w:name="Table Grid 6" w:semiHidden="1" w:uiPriority="0" w:unhideWhenUsed="1"/>
    <w:lsdException w:name="Table Grid 7" w:semiHidden="1" w:uiPriority="0" w:unhideWhenUsed="1"/>
    <w:lsdException w:name="Table Grid 8" w:semiHidden="1" w:uiPriority="0" w:unhideWhenUsed="1"/>
    <w:lsdException w:name="Table List 1" w:semiHidden="1" w:uiPriority="0" w:unhideWhenUsed="1"/>
    <w:lsdException w:name="Table List 2" w:semiHidden="1" w:uiPriority="0" w:unhideWhenUsed="1"/>
    <w:lsdException w:name="Table List 3" w:semiHidden="1" w:uiPriority="0" w:unhideWhenUsed="1"/>
    <w:lsdException w:name="Table List 4" w:semiHidden="1" w:uiPriority="0" w:unhideWhenUsed="1"/>
    <w:lsdException w:name="Table List 5" w:semiHidden="1" w:uiPriority="0" w:unhideWhenUsed="1"/>
    <w:lsdException w:name="Table List 6" w:semiHidden="1" w:uiPriority="0" w:unhideWhenUsed="1"/>
    <w:lsdException w:name="Table List 7" w:semiHidden="1" w:uiPriority="0" w:unhideWhenUsed="1"/>
    <w:lsdException w:name="Table List 8" w:semiHidden="1" w:uiPriority="0" w:unhideWhenUsed="1"/>
    <w:lsdException w:name="Table 3D effects 1" w:semiHidden="1" w:uiPriority="0" w:unhideWhenUsed="1"/>
    <w:lsdException w:name="Table 3D effects 2" w:semiHidden="1" w:uiPriority="0" w:unhideWhenUsed="1"/>
    <w:lsdException w:name="Table 3D effects 3" w:semiHidden="1" w:uiPriority="0" w:unhideWhenUsed="1"/>
    <w:lsdException w:name="Table Contemporary" w:semiHidden="1" w:uiPriority="0" w:unhideWhenUsed="1"/>
    <w:lsdException w:name="Table Elegant" w:semiHidden="1" w:uiPriority="0" w:unhideWhenUsed="1"/>
    <w:lsdException w:name="Table Professional" w:semiHidden="1" w:uiPriority="0" w:unhideWhenUsed="1"/>
    <w:lsdException w:name="Table Subtle 1" w:semiHidden="1" w:uiPriority="0" w:unhideWhenUsed="1"/>
    <w:lsdException w:name="Table Subtle 2" w:semiHidden="1" w:uiPriority="0" w:unhideWhenUsed="1"/>
    <w:lsdException w:name="Table Web 1" w:semiHidden="1" w:uiPriority="0" w:unhideWhenUsed="1"/>
    <w:lsdException w:name="Table Web 2" w:semiHidden="1" w:uiPriority="0" w:unhideWhenUsed="1"/>
    <w:lsdException w:name="Table Web 3" w:semiHidden="1" w:uiPriority="0" w:unhideWhenUsed="1"/>
    <w:lsdException w:name="Balloon Text" w:locked="0" w:semiHidden="1" w:unhideWhenUsed="1"/>
    <w:lsdException w:name="Table Grid" w:locked="0" w:uiPriority="39"/>
    <w:lsdException w:name="Table Theme" w:semiHidden="1" w:uiPriority="0" w:unhideWhenUsed="1"/>
    <w:lsdException w:name="Placeholder Text" w:semiHidden="1"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lsdException w:name="List Table 5 Dark Accent 6" w:locked="0" w:uiPriority="50"/>
    <w:lsdException w:name="List Table 6 Colorful Accent 6" w:locked="0" w:uiPriority="51"/>
    <w:lsdException w:name="List Table 7 Colorful Accent 6" w:locked="0" w:uiPriority="52"/>
    <w:lsdException w:name="Mention" w:locked="0" w:semiHidden="1" w:uiPriority="99" w:unhideWhenUsed="1"/>
    <w:lsdException w:name="Smart Hyperlink" w:locked="0" w:semiHidden="1" w:uiPriority="99" w:unhideWhenUsed="1"/>
    <w:lsdException w:name="Hashtag" w:locked="0" w:semiHidden="1" w:uiPriority="99" w:unhideWhenUsed="1"/>
    <w:lsdException w:name="Unresolved Mention" w:locked="0" w:semiHidden="1" w:uiPriority="99" w:unhideWhenUsed="1"/>
    <w:lsdException w:name="Smart Link" w:locked="0" w:semiHidden="1" w:uiPriority="99" w:unhideWhenUsed="1"/>
  </w:latentStyles>
  <w:style w:type="paragraph" w:default="1" w:styleId="Normal">
    <w:name w:val="Normal"/>
    <w:uiPriority w:val="49"/>
    <w:rsid w:val="004D384C"/>
    <w:pPr>
      <w:overflowPunct w:val="0"/>
      <w:autoSpaceDE w:val="0"/>
      <w:autoSpaceDN w:val="0"/>
      <w:adjustRightInd w:val="0"/>
      <w:textAlignment w:val="baseline"/>
    </w:pPr>
    <w:rPr>
      <w:sz w:val="22"/>
      <w:lang w:eastAsia="en-US"/>
    </w:rPr>
  </w:style>
  <w:style w:type="paragraph" w:styleId="Heading1">
    <w:name w:val="heading 1"/>
    <w:aliases w:val="Paper title"/>
    <w:next w:val="Subtitle"/>
    <w:uiPriority w:val="4"/>
    <w:qFormat/>
    <w:rsid w:val="00EE29B9"/>
    <w:pPr>
      <w:spacing w:line="280" w:lineRule="atLeast"/>
      <w:ind w:left="567" w:right="567"/>
      <w:outlineLvl w:val="0"/>
    </w:pPr>
    <w:rPr>
      <w:rFonts w:ascii="Times New Roman Bold" w:hAnsi="Times New Roman Bold"/>
      <w:b/>
      <w:caps/>
      <w:sz w:val="24"/>
      <w:lang w:val="en-US" w:eastAsia="en-US"/>
    </w:rPr>
  </w:style>
  <w:style w:type="paragraph" w:styleId="Heading2">
    <w:name w:val="heading 2"/>
    <w:aliases w:val="1st level paper heading"/>
    <w:next w:val="BodyText"/>
    <w:link w:val="Heading2Char"/>
    <w:uiPriority w:val="4"/>
    <w:qFormat/>
    <w:rsid w:val="00EE0041"/>
    <w:pPr>
      <w:widowControl w:val="0"/>
      <w:numPr>
        <w:ilvl w:val="1"/>
        <w:numId w:val="8"/>
      </w:numPr>
      <w:spacing w:before="100" w:beforeAutospacing="1" w:after="100" w:afterAutospacing="1" w:line="280" w:lineRule="atLeast"/>
      <w:outlineLvl w:val="1"/>
    </w:pPr>
    <w:rPr>
      <w:caps/>
      <w:lang w:eastAsia="en-US"/>
    </w:rPr>
  </w:style>
  <w:style w:type="paragraph" w:styleId="Heading3">
    <w:name w:val="heading 3"/>
    <w:aliases w:val="2nd level paper heading"/>
    <w:next w:val="BodyText"/>
    <w:link w:val="Heading3Char"/>
    <w:autoRedefine/>
    <w:uiPriority w:val="4"/>
    <w:qFormat/>
    <w:rsid w:val="00860FDD"/>
    <w:pPr>
      <w:widowControl w:val="0"/>
      <w:numPr>
        <w:ilvl w:val="2"/>
        <w:numId w:val="8"/>
      </w:numPr>
      <w:spacing w:before="240" w:after="240" w:line="240" w:lineRule="exact"/>
      <w:outlineLvl w:val="2"/>
    </w:pPr>
    <w:rPr>
      <w:b/>
      <w:lang w:eastAsia="en-US"/>
    </w:rPr>
  </w:style>
  <w:style w:type="paragraph" w:styleId="Heading4">
    <w:name w:val="heading 4"/>
    <w:aliases w:val="3rd level paper heading"/>
    <w:basedOn w:val="Normal"/>
    <w:next w:val="BodyText"/>
    <w:uiPriority w:val="4"/>
    <w:qFormat/>
    <w:rsid w:val="00897ED5"/>
    <w:pPr>
      <w:widowControl w:val="0"/>
      <w:numPr>
        <w:ilvl w:val="3"/>
        <w:numId w:val="8"/>
      </w:numPr>
      <w:spacing w:before="100" w:beforeAutospacing="1" w:after="100" w:afterAutospacing="1" w:line="240" w:lineRule="atLeast"/>
      <w:outlineLvl w:val="3"/>
    </w:pPr>
    <w:rPr>
      <w:i/>
      <w:sz w:val="20"/>
      <w:lang w:val="en-US"/>
    </w:rPr>
  </w:style>
  <w:style w:type="paragraph" w:styleId="Heading5">
    <w:name w:val="heading 5"/>
    <w:basedOn w:val="Normal"/>
    <w:next w:val="Normal"/>
    <w:uiPriority w:val="19"/>
    <w:locked/>
    <w:pPr>
      <w:overflowPunct/>
      <w:autoSpaceDE/>
      <w:autoSpaceDN/>
      <w:adjustRightInd/>
      <w:spacing w:before="240" w:after="60"/>
      <w:textAlignment w:val="auto"/>
      <w:outlineLvl w:val="4"/>
    </w:pPr>
    <w:rPr>
      <w:b/>
      <w:bCs/>
      <w:i/>
      <w:iCs/>
      <w:sz w:val="26"/>
      <w:szCs w:val="26"/>
      <w:lang w:val="en-US"/>
    </w:rPr>
  </w:style>
  <w:style w:type="paragraph" w:styleId="Heading6">
    <w:name w:val="heading 6"/>
    <w:basedOn w:val="Normal"/>
    <w:next w:val="Normal"/>
    <w:uiPriority w:val="19"/>
    <w:locked/>
    <w:pPr>
      <w:overflowPunct/>
      <w:autoSpaceDE/>
      <w:autoSpaceDN/>
      <w:adjustRightInd/>
      <w:spacing w:before="240" w:after="60"/>
      <w:textAlignment w:val="auto"/>
      <w:outlineLvl w:val="5"/>
    </w:pPr>
    <w:rPr>
      <w:b/>
      <w:bCs/>
      <w:szCs w:val="22"/>
      <w:lang w:val="en-US"/>
    </w:rPr>
  </w:style>
  <w:style w:type="paragraph" w:styleId="Heading7">
    <w:name w:val="heading 7"/>
    <w:basedOn w:val="Normal"/>
    <w:next w:val="Normal"/>
    <w:uiPriority w:val="19"/>
    <w:locked/>
    <w:pPr>
      <w:overflowPunct/>
      <w:autoSpaceDE/>
      <w:autoSpaceDN/>
      <w:adjustRightInd/>
      <w:spacing w:before="240" w:after="60"/>
      <w:textAlignment w:val="auto"/>
      <w:outlineLvl w:val="6"/>
    </w:pPr>
    <w:rPr>
      <w:szCs w:val="24"/>
      <w:lang w:val="en-US"/>
    </w:rPr>
  </w:style>
  <w:style w:type="paragraph" w:styleId="Heading8">
    <w:name w:val="heading 8"/>
    <w:basedOn w:val="Normal"/>
    <w:next w:val="Normal"/>
    <w:uiPriority w:val="19"/>
    <w:locked/>
    <w:pPr>
      <w:overflowPunct/>
      <w:autoSpaceDE/>
      <w:autoSpaceDN/>
      <w:adjustRightInd/>
      <w:spacing w:before="240" w:after="60"/>
      <w:textAlignment w:val="auto"/>
      <w:outlineLvl w:val="7"/>
    </w:pPr>
    <w:rPr>
      <w:i/>
      <w:iCs/>
      <w:szCs w:val="24"/>
      <w:lang w:val="en-US"/>
    </w:rPr>
  </w:style>
  <w:style w:type="paragraph" w:styleId="Heading9">
    <w:name w:val="heading 9"/>
    <w:basedOn w:val="Normal"/>
    <w:next w:val="Normal"/>
    <w:uiPriority w:val="19"/>
    <w:locked/>
    <w:pPr>
      <w:overflowPunct/>
      <w:autoSpaceDE/>
      <w:autoSpaceDN/>
      <w:adjustRightInd/>
      <w:spacing w:before="240" w:after="60"/>
      <w:textAlignment w:val="auto"/>
      <w:outlineLvl w:val="8"/>
    </w:pPr>
    <w:rPr>
      <w:rFonts w:ascii="Arial" w:hAnsi="Arial" w:cs="Arial"/>
      <w:szCs w:val="2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link w:val="BodyTextChar"/>
    <w:qFormat/>
    <w:rsid w:val="00647F33"/>
    <w:pPr>
      <w:spacing w:line="260" w:lineRule="atLeast"/>
      <w:ind w:firstLine="567"/>
      <w:contextualSpacing/>
      <w:jc w:val="both"/>
    </w:pPr>
    <w:rPr>
      <w:lang w:eastAsia="en-US"/>
    </w:rPr>
  </w:style>
  <w:style w:type="paragraph" w:styleId="BodyTextIndent">
    <w:name w:val="Body Text Indent"/>
    <w:basedOn w:val="BodyText"/>
    <w:uiPriority w:val="49"/>
    <w:locked/>
    <w:pPr>
      <w:ind w:left="1134" w:hanging="675"/>
    </w:pPr>
  </w:style>
  <w:style w:type="paragraph" w:customStyle="1" w:styleId="BodyTextMultiline">
    <w:name w:val="Body Text Multiline"/>
    <w:basedOn w:val="BodyText"/>
    <w:locked/>
    <w:pPr>
      <w:numPr>
        <w:numId w:val="1"/>
      </w:numPr>
    </w:pPr>
  </w:style>
  <w:style w:type="paragraph" w:customStyle="1" w:styleId="BodyTextSummary">
    <w:name w:val="Body Text Summary"/>
    <w:uiPriority w:val="49"/>
    <w:locked/>
    <w:pPr>
      <w:numPr>
        <w:numId w:val="2"/>
      </w:numPr>
      <w:tabs>
        <w:tab w:val="clear" w:pos="720"/>
      </w:tabs>
      <w:spacing w:after="170" w:line="280" w:lineRule="atLeast"/>
      <w:ind w:left="572" w:hanging="459"/>
      <w:jc w:val="both"/>
    </w:pPr>
    <w:rPr>
      <w:sz w:val="22"/>
      <w:szCs w:val="22"/>
      <w:lang w:eastAsia="en-US"/>
    </w:rPr>
  </w:style>
  <w:style w:type="paragraph" w:styleId="Caption">
    <w:name w:val="caption"/>
    <w:next w:val="Normal"/>
    <w:uiPriority w:val="49"/>
    <w:pPr>
      <w:spacing w:after="85"/>
    </w:pPr>
    <w:rPr>
      <w:bCs/>
      <w:sz w:val="18"/>
      <w:lang w:val="en-US" w:eastAsia="en-US"/>
    </w:rPr>
  </w:style>
  <w:style w:type="paragraph" w:styleId="Footer">
    <w:name w:val="footer"/>
    <w:basedOn w:val="Normal"/>
    <w:link w:val="FooterChar"/>
    <w:uiPriority w:val="99"/>
    <w:locked/>
    <w:pPr>
      <w:overflowPunct/>
      <w:autoSpaceDE/>
      <w:autoSpaceDN/>
      <w:adjustRightInd/>
      <w:textAlignment w:val="auto"/>
    </w:pPr>
    <w:rPr>
      <w:sz w:val="2"/>
      <w:lang w:val="en-US"/>
    </w:rPr>
  </w:style>
  <w:style w:type="paragraph" w:styleId="FootnoteText">
    <w:name w:val="footnote text"/>
    <w:semiHidden/>
    <w:locked/>
    <w:pPr>
      <w:tabs>
        <w:tab w:val="left" w:pos="459"/>
      </w:tabs>
      <w:spacing w:before="142"/>
      <w:ind w:left="459"/>
      <w:jc w:val="both"/>
    </w:pPr>
    <w:rPr>
      <w:sz w:val="18"/>
      <w:lang w:eastAsia="en-US"/>
    </w:rPr>
  </w:style>
  <w:style w:type="paragraph" w:styleId="Header">
    <w:name w:val="header"/>
    <w:next w:val="BodyText"/>
    <w:uiPriority w:val="49"/>
    <w:locked/>
    <w:pPr>
      <w:spacing w:after="85"/>
    </w:pPr>
    <w:rPr>
      <w:sz w:val="18"/>
      <w:lang w:val="en-US" w:eastAsia="en-US"/>
    </w:rPr>
  </w:style>
  <w:style w:type="paragraph" w:customStyle="1" w:styleId="ListBulleted">
    <w:name w:val="List Bulleted"/>
    <w:uiPriority w:val="7"/>
    <w:qFormat/>
    <w:locked/>
    <w:pPr>
      <w:numPr>
        <w:numId w:val="3"/>
      </w:numPr>
      <w:tabs>
        <w:tab w:val="clear" w:pos="1179"/>
        <w:tab w:val="left" w:pos="919"/>
      </w:tabs>
      <w:ind w:left="918" w:right="1134" w:hanging="459"/>
      <w:jc w:val="both"/>
    </w:pPr>
    <w:rPr>
      <w:sz w:val="22"/>
      <w:lang w:eastAsia="en-US"/>
    </w:rPr>
  </w:style>
  <w:style w:type="paragraph" w:customStyle="1" w:styleId="ListEmdash">
    <w:name w:val="List Emdash"/>
    <w:basedOn w:val="BodyText"/>
    <w:uiPriority w:val="6"/>
    <w:qFormat/>
    <w:rsid w:val="00717C6F"/>
    <w:pPr>
      <w:numPr>
        <w:numId w:val="5"/>
      </w:numPr>
      <w:ind w:left="709"/>
    </w:pPr>
  </w:style>
  <w:style w:type="paragraph" w:customStyle="1" w:styleId="ListNumbered">
    <w:name w:val="List Numbered"/>
    <w:basedOn w:val="BodyText"/>
    <w:uiPriority w:val="5"/>
    <w:qFormat/>
    <w:locked/>
    <w:rsid w:val="00717C6F"/>
    <w:pPr>
      <w:numPr>
        <w:numId w:val="6"/>
      </w:numPr>
    </w:pPr>
  </w:style>
  <w:style w:type="paragraph" w:styleId="Title">
    <w:name w:val="Title"/>
    <w:uiPriority w:val="2"/>
    <w:locked/>
    <w:pPr>
      <w:widowControl w:val="0"/>
      <w:spacing w:line="440" w:lineRule="exact"/>
      <w:jc w:val="center"/>
      <w:outlineLvl w:val="0"/>
    </w:pPr>
    <w:rPr>
      <w:rFonts w:ascii="Arial" w:hAnsi="Arial" w:cs="Arial"/>
      <w:bCs/>
      <w:sz w:val="42"/>
      <w:szCs w:val="32"/>
      <w:lang w:eastAsia="en-US"/>
    </w:rPr>
  </w:style>
  <w:style w:type="paragraph" w:customStyle="1" w:styleId="zyxConfid2Red">
    <w:name w:val="zyxConfid2Red"/>
    <w:basedOn w:val="Normal"/>
    <w:uiPriority w:val="49"/>
    <w:locked/>
    <w:pPr>
      <w:spacing w:after="20" w:line="220" w:lineRule="exact"/>
      <w:jc w:val="right"/>
    </w:pPr>
    <w:rPr>
      <w:rFonts w:ascii="Arial" w:hAnsi="Arial" w:cs="Arial"/>
      <w:color w:val="FF0000"/>
    </w:rPr>
  </w:style>
  <w:style w:type="paragraph" w:customStyle="1" w:styleId="zyxConfidRed">
    <w:name w:val="zyxConfidRed"/>
    <w:uiPriority w:val="49"/>
    <w:locked/>
    <w:pPr>
      <w:widowControl w:val="0"/>
      <w:spacing w:before="80"/>
      <w:jc w:val="right"/>
    </w:pPr>
    <w:rPr>
      <w:rFonts w:ascii="Arial" w:hAnsi="Arial"/>
      <w:b/>
      <w:caps/>
      <w:color w:val="FF0000"/>
      <w:sz w:val="40"/>
      <w:lang w:eastAsia="en-US"/>
    </w:rPr>
  </w:style>
  <w:style w:type="paragraph" w:customStyle="1" w:styleId="zyxConfidBlack">
    <w:name w:val="zyxConfidBlack"/>
    <w:basedOn w:val="zyxConfidRed"/>
    <w:uiPriority w:val="49"/>
    <w:locked/>
    <w:pPr>
      <w:framePr w:wrap="auto" w:vAnchor="page" w:hAnchor="page" w:x="1333" w:y="228"/>
      <w:widowControl/>
      <w:overflowPunct w:val="0"/>
      <w:autoSpaceDE w:val="0"/>
      <w:autoSpaceDN w:val="0"/>
      <w:adjustRightInd w:val="0"/>
      <w:suppressOverlap/>
      <w:textAlignment w:val="baseline"/>
    </w:pPr>
    <w:rPr>
      <w:rFonts w:cs="Arial"/>
      <w:bCs/>
      <w:color w:val="000000"/>
    </w:rPr>
  </w:style>
  <w:style w:type="paragraph" w:customStyle="1" w:styleId="zyxDistribution">
    <w:name w:val="zyxDistribution"/>
    <w:basedOn w:val="Normal"/>
    <w:uiPriority w:val="49"/>
    <w:locked/>
    <w:pPr>
      <w:framePr w:wrap="around" w:vAnchor="page" w:hAnchor="page" w:x="1390" w:y="15707"/>
      <w:widowControl w:val="0"/>
      <w:overflowPunct/>
      <w:autoSpaceDE/>
      <w:autoSpaceDN/>
      <w:adjustRightInd/>
      <w:spacing w:before="240" w:after="20"/>
      <w:ind w:left="142"/>
      <w:suppressOverlap/>
      <w:textAlignment w:val="auto"/>
    </w:pPr>
    <w:rPr>
      <w:rFonts w:ascii="Arial" w:hAnsi="Arial"/>
      <w:b/>
    </w:rPr>
  </w:style>
  <w:style w:type="paragraph" w:customStyle="1" w:styleId="zyxPrePrint">
    <w:name w:val="zyxPrePrint"/>
    <w:uiPriority w:val="49"/>
    <w:locked/>
    <w:pPr>
      <w:spacing w:after="60" w:line="280" w:lineRule="exact"/>
      <w:ind w:left="113"/>
    </w:pPr>
    <w:rPr>
      <w:sz w:val="22"/>
      <w:lang w:eastAsia="en-US"/>
    </w:rPr>
  </w:style>
  <w:style w:type="paragraph" w:customStyle="1" w:styleId="zyxFillIn">
    <w:name w:val="zyxFill_In"/>
    <w:basedOn w:val="zyxPrePrint"/>
    <w:uiPriority w:val="49"/>
    <w:locked/>
    <w:rPr>
      <w:b/>
    </w:rPr>
  </w:style>
  <w:style w:type="paragraph" w:customStyle="1" w:styleId="zyxLogo">
    <w:name w:val="zyxLogo"/>
    <w:basedOn w:val="Normal"/>
    <w:uiPriority w:val="49"/>
    <w:locked/>
    <w:pPr>
      <w:keepNext/>
      <w:spacing w:after="10"/>
    </w:pPr>
    <w:rPr>
      <w:rFonts w:ascii="Arial" w:hAnsi="Arial"/>
      <w:b/>
      <w:sz w:val="13"/>
    </w:rPr>
  </w:style>
  <w:style w:type="paragraph" w:customStyle="1" w:styleId="zyxP1Footer">
    <w:name w:val="zyxP1_Footer"/>
    <w:basedOn w:val="Normal"/>
    <w:uiPriority w:val="49"/>
    <w:locked/>
    <w:pPr>
      <w:widowControl w:val="0"/>
      <w:spacing w:line="160" w:lineRule="exact"/>
      <w:ind w:left="108"/>
    </w:pPr>
    <w:rPr>
      <w:sz w:val="14"/>
    </w:rPr>
  </w:style>
  <w:style w:type="paragraph" w:customStyle="1" w:styleId="zyxSensitivity">
    <w:name w:val="zyxSensitivity"/>
    <w:basedOn w:val="Normal"/>
    <w:uiPriority w:val="49"/>
    <w:locked/>
    <w:pPr>
      <w:framePr w:wrap="around" w:vAnchor="page" w:hAnchor="page" w:x="1390" w:y="15707"/>
      <w:widowControl w:val="0"/>
      <w:overflowPunct/>
      <w:autoSpaceDE/>
      <w:autoSpaceDN/>
      <w:adjustRightInd/>
      <w:spacing w:line="220" w:lineRule="exact"/>
      <w:ind w:left="142"/>
      <w:suppressOverlap/>
      <w:textAlignment w:val="auto"/>
    </w:pPr>
    <w:rPr>
      <w:rFonts w:ascii="Arial" w:hAnsi="Arial"/>
      <w:b/>
    </w:rPr>
  </w:style>
  <w:style w:type="paragraph" w:customStyle="1" w:styleId="zyxTitle">
    <w:name w:val="zyxTitle"/>
    <w:basedOn w:val="Normal"/>
    <w:uiPriority w:val="49"/>
    <w:locked/>
    <w:pPr>
      <w:keepNext/>
      <w:spacing w:line="420" w:lineRule="exact"/>
    </w:pPr>
    <w:rPr>
      <w:rFonts w:ascii="Arial" w:hAnsi="Arial"/>
      <w:sz w:val="40"/>
    </w:rPr>
  </w:style>
  <w:style w:type="character" w:styleId="FootnoteReference">
    <w:name w:val="footnote reference"/>
    <w:basedOn w:val="DefaultParagraphFont"/>
    <w:semiHidden/>
    <w:locked/>
    <w:rPr>
      <w:vertAlign w:val="superscript"/>
    </w:rPr>
  </w:style>
  <w:style w:type="paragraph" w:styleId="Subtitle">
    <w:name w:val="Subtitle"/>
    <w:next w:val="BodyText"/>
    <w:uiPriority w:val="3"/>
    <w:qFormat/>
    <w:rsid w:val="00B82FA5"/>
    <w:pPr>
      <w:spacing w:after="100" w:afterAutospacing="1" w:line="280" w:lineRule="atLeast"/>
      <w:ind w:left="567" w:right="567"/>
      <w:contextualSpacing/>
    </w:pPr>
    <w:rPr>
      <w:rFonts w:cs="Arial"/>
      <w:b/>
      <w:i/>
      <w:sz w:val="24"/>
      <w:szCs w:val="24"/>
      <w:lang w:val="en-US" w:eastAsia="en-US"/>
    </w:rPr>
  </w:style>
  <w:style w:type="paragraph" w:customStyle="1" w:styleId="AgendaList">
    <w:name w:val="Agenda List"/>
    <w:uiPriority w:val="49"/>
    <w:locked/>
    <w:pPr>
      <w:numPr>
        <w:numId w:val="4"/>
      </w:numPr>
      <w:tabs>
        <w:tab w:val="clear" w:pos="459"/>
        <w:tab w:val="left" w:pos="919"/>
      </w:tabs>
      <w:spacing w:after="240" w:line="240" w:lineRule="exact"/>
      <w:ind w:left="918"/>
      <w:jc w:val="both"/>
    </w:pPr>
    <w:rPr>
      <w:sz w:val="22"/>
      <w:lang w:eastAsia="en-US"/>
    </w:rPr>
  </w:style>
  <w:style w:type="paragraph" w:customStyle="1" w:styleId="zyxClassification1">
    <w:name w:val="zyxClassification1"/>
    <w:basedOn w:val="BodyText"/>
    <w:uiPriority w:val="49"/>
    <w:locked/>
    <w:pPr>
      <w:spacing w:line="280" w:lineRule="exact"/>
      <w:jc w:val="right"/>
    </w:pPr>
    <w:rPr>
      <w:rFonts w:ascii="Arial" w:hAnsi="Arial" w:cs="Arial"/>
      <w:b/>
      <w:bCs/>
      <w:caps/>
      <w:sz w:val="24"/>
    </w:rPr>
  </w:style>
  <w:style w:type="paragraph" w:customStyle="1" w:styleId="zyxClassification2">
    <w:name w:val="zyxClassification2"/>
    <w:basedOn w:val="Footer"/>
    <w:uiPriority w:val="49"/>
    <w:locked/>
    <w:pPr>
      <w:tabs>
        <w:tab w:val="center" w:pos="4320"/>
        <w:tab w:val="right" w:pos="8640"/>
      </w:tabs>
      <w:overflowPunct w:val="0"/>
      <w:autoSpaceDE w:val="0"/>
      <w:autoSpaceDN w:val="0"/>
      <w:adjustRightInd w:val="0"/>
      <w:ind w:firstLine="567"/>
      <w:jc w:val="right"/>
      <w:textAlignment w:val="baseline"/>
    </w:pPr>
    <w:rPr>
      <w:rFonts w:ascii="Arial" w:hAnsi="Arial" w:cs="Arial"/>
      <w:sz w:val="16"/>
      <w:lang w:val="en-GB"/>
    </w:rPr>
  </w:style>
  <w:style w:type="character" w:customStyle="1" w:styleId="FooterChar">
    <w:name w:val="Footer Char"/>
    <w:basedOn w:val="DefaultParagraphFont"/>
    <w:link w:val="Footer"/>
    <w:uiPriority w:val="99"/>
    <w:rsid w:val="00037321"/>
    <w:rPr>
      <w:sz w:val="2"/>
      <w:lang w:val="en-US" w:eastAsia="en-US"/>
    </w:rPr>
  </w:style>
  <w:style w:type="paragraph" w:customStyle="1" w:styleId="Runninghead">
    <w:name w:val="Running head"/>
    <w:basedOn w:val="Normal"/>
    <w:link w:val="RunningheadChar"/>
    <w:uiPriority w:val="49"/>
    <w:qFormat/>
    <w:rsid w:val="00B82FA5"/>
    <w:pPr>
      <w:jc w:val="center"/>
    </w:pPr>
    <w:rPr>
      <w:b/>
      <w:sz w:val="16"/>
      <w:szCs w:val="16"/>
    </w:rPr>
  </w:style>
  <w:style w:type="paragraph" w:customStyle="1" w:styleId="Authornameandaffiliation">
    <w:name w:val="Author name and affiliation"/>
    <w:link w:val="AuthornameandaffiliationChar"/>
    <w:uiPriority w:val="49"/>
    <w:qFormat/>
    <w:rsid w:val="00647F33"/>
    <w:pPr>
      <w:ind w:left="567"/>
      <w:contextualSpacing/>
    </w:pPr>
    <w:rPr>
      <w:lang w:val="en-US" w:eastAsia="en-US"/>
    </w:rPr>
  </w:style>
  <w:style w:type="character" w:customStyle="1" w:styleId="RunningheadChar">
    <w:name w:val="Running head Char"/>
    <w:basedOn w:val="DefaultParagraphFont"/>
    <w:link w:val="Runninghead"/>
    <w:uiPriority w:val="49"/>
    <w:rsid w:val="00B82FA5"/>
    <w:rPr>
      <w:b/>
      <w:sz w:val="16"/>
      <w:szCs w:val="16"/>
      <w:lang w:eastAsia="en-US"/>
    </w:rPr>
  </w:style>
  <w:style w:type="paragraph" w:customStyle="1" w:styleId="Abstracttext">
    <w:name w:val="Abstract text"/>
    <w:basedOn w:val="Authornameandaffiliation"/>
    <w:link w:val="AbstracttextChar"/>
    <w:uiPriority w:val="49"/>
    <w:qFormat/>
    <w:rsid w:val="00BD605C"/>
    <w:pPr>
      <w:spacing w:line="240" w:lineRule="atLeast"/>
      <w:ind w:left="0" w:firstLine="567"/>
    </w:pPr>
    <w:rPr>
      <w:sz w:val="18"/>
    </w:rPr>
  </w:style>
  <w:style w:type="character" w:customStyle="1" w:styleId="BodyTextChar">
    <w:name w:val="Body Text Char"/>
    <w:basedOn w:val="DefaultParagraphFont"/>
    <w:link w:val="BodyText"/>
    <w:rsid w:val="00647F33"/>
    <w:rPr>
      <w:lang w:eastAsia="en-US"/>
    </w:rPr>
  </w:style>
  <w:style w:type="character" w:customStyle="1" w:styleId="AuthornameandaffiliationChar">
    <w:name w:val="Author name and affiliation Char"/>
    <w:basedOn w:val="BodyTextChar"/>
    <w:link w:val="Authornameandaffiliation"/>
    <w:uiPriority w:val="49"/>
    <w:rsid w:val="00647F33"/>
    <w:rPr>
      <w:lang w:val="en-US" w:eastAsia="en-US"/>
    </w:rPr>
  </w:style>
  <w:style w:type="table" w:styleId="TableGrid">
    <w:name w:val="Table Grid"/>
    <w:basedOn w:val="TableNormal"/>
    <w:uiPriority w:val="39"/>
    <w:locked/>
    <w:rsid w:val="00472C4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bstracttextChar">
    <w:name w:val="Abstract text Char"/>
    <w:basedOn w:val="AuthornameandaffiliationChar"/>
    <w:link w:val="Abstracttext"/>
    <w:uiPriority w:val="49"/>
    <w:rsid w:val="00BD605C"/>
    <w:rPr>
      <w:sz w:val="18"/>
      <w:lang w:val="en-US" w:eastAsia="en-US"/>
    </w:rPr>
  </w:style>
  <w:style w:type="paragraph" w:styleId="BalloonText">
    <w:name w:val="Balloon Text"/>
    <w:basedOn w:val="Normal"/>
    <w:link w:val="BalloonTextChar"/>
    <w:uiPriority w:val="49"/>
    <w:locked/>
    <w:rsid w:val="005F00A0"/>
    <w:rPr>
      <w:rFonts w:ascii="Tahoma" w:hAnsi="Tahoma" w:cs="Tahoma"/>
      <w:sz w:val="16"/>
      <w:szCs w:val="16"/>
    </w:rPr>
  </w:style>
  <w:style w:type="character" w:customStyle="1" w:styleId="BalloonTextChar">
    <w:name w:val="Balloon Text Char"/>
    <w:basedOn w:val="DefaultParagraphFont"/>
    <w:link w:val="BalloonText"/>
    <w:uiPriority w:val="49"/>
    <w:rsid w:val="005F00A0"/>
    <w:rPr>
      <w:rFonts w:ascii="Tahoma" w:hAnsi="Tahoma" w:cs="Tahoma"/>
      <w:sz w:val="16"/>
      <w:szCs w:val="16"/>
      <w:lang w:eastAsia="en-US"/>
    </w:rPr>
  </w:style>
  <w:style w:type="paragraph" w:customStyle="1" w:styleId="Figurecaption">
    <w:name w:val="Figure caption"/>
    <w:basedOn w:val="BodyText"/>
    <w:link w:val="FigurecaptionChar"/>
    <w:uiPriority w:val="49"/>
    <w:qFormat/>
    <w:locked/>
    <w:rsid w:val="00717C6F"/>
    <w:pPr>
      <w:jc w:val="center"/>
    </w:pPr>
    <w:rPr>
      <w:i/>
      <w:sz w:val="18"/>
    </w:rPr>
  </w:style>
  <w:style w:type="paragraph" w:customStyle="1" w:styleId="Otherunnumberedheadings">
    <w:name w:val="Other unnumbered headings"/>
    <w:next w:val="BodyText"/>
    <w:link w:val="OtherunnumberedheadingsChar"/>
    <w:uiPriority w:val="49"/>
    <w:qFormat/>
    <w:locked/>
    <w:rsid w:val="00D26ADA"/>
    <w:pPr>
      <w:spacing w:before="100" w:beforeAutospacing="1" w:after="100" w:afterAutospacing="1" w:line="260" w:lineRule="atLeast"/>
      <w:jc w:val="center"/>
    </w:pPr>
    <w:rPr>
      <w:rFonts w:ascii="Times New Roman Bold" w:hAnsi="Times New Roman Bold"/>
      <w:b/>
      <w:caps/>
      <w:lang w:eastAsia="en-US"/>
    </w:rPr>
  </w:style>
  <w:style w:type="character" w:customStyle="1" w:styleId="FigurecaptionChar">
    <w:name w:val="Figure caption Char"/>
    <w:basedOn w:val="BodyTextChar"/>
    <w:link w:val="Figurecaption"/>
    <w:uiPriority w:val="49"/>
    <w:rsid w:val="00717C6F"/>
    <w:rPr>
      <w:i/>
      <w:sz w:val="18"/>
      <w:lang w:eastAsia="en-US"/>
    </w:rPr>
  </w:style>
  <w:style w:type="paragraph" w:customStyle="1" w:styleId="Referencelist">
    <w:name w:val="Reference list"/>
    <w:basedOn w:val="BodyText"/>
    <w:link w:val="ReferencelistChar"/>
    <w:uiPriority w:val="49"/>
    <w:qFormat/>
    <w:rsid w:val="009E0D5B"/>
    <w:pPr>
      <w:numPr>
        <w:numId w:val="7"/>
      </w:numPr>
    </w:pPr>
    <w:rPr>
      <w:sz w:val="18"/>
      <w:szCs w:val="18"/>
    </w:rPr>
  </w:style>
  <w:style w:type="character" w:customStyle="1" w:styleId="OtherunnumberedheadingsChar">
    <w:name w:val="Other unnumbered headings Char"/>
    <w:basedOn w:val="BodyTextChar"/>
    <w:link w:val="Otherunnumberedheadings"/>
    <w:uiPriority w:val="49"/>
    <w:rsid w:val="00D26ADA"/>
    <w:rPr>
      <w:rFonts w:ascii="Times New Roman Bold" w:hAnsi="Times New Roman Bold"/>
      <w:b/>
      <w:caps/>
      <w:lang w:eastAsia="en-US"/>
    </w:rPr>
  </w:style>
  <w:style w:type="character" w:customStyle="1" w:styleId="ReferencelistChar">
    <w:name w:val="Reference list Char"/>
    <w:basedOn w:val="BodyTextChar"/>
    <w:link w:val="Referencelist"/>
    <w:uiPriority w:val="49"/>
    <w:rsid w:val="009E0D5B"/>
    <w:rPr>
      <w:sz w:val="18"/>
      <w:szCs w:val="18"/>
      <w:lang w:eastAsia="en-US"/>
    </w:rPr>
  </w:style>
  <w:style w:type="paragraph" w:customStyle="1" w:styleId="Tabletext">
    <w:name w:val="Table text"/>
    <w:basedOn w:val="BodyText"/>
    <w:link w:val="TabletextChar"/>
    <w:uiPriority w:val="49"/>
    <w:qFormat/>
    <w:rsid w:val="00883848"/>
    <w:pPr>
      <w:ind w:firstLine="0"/>
    </w:pPr>
  </w:style>
  <w:style w:type="character" w:customStyle="1" w:styleId="TabletextChar">
    <w:name w:val="Table text Char"/>
    <w:basedOn w:val="BodyTextChar"/>
    <w:link w:val="Tabletext"/>
    <w:uiPriority w:val="49"/>
    <w:rsid w:val="00883848"/>
    <w:rPr>
      <w:lang w:eastAsia="en-US"/>
    </w:rPr>
  </w:style>
  <w:style w:type="paragraph" w:styleId="NormalWeb">
    <w:name w:val="Normal (Web)"/>
    <w:basedOn w:val="Normal"/>
    <w:uiPriority w:val="99"/>
    <w:unhideWhenUsed/>
    <w:locked/>
    <w:rsid w:val="002C29DB"/>
    <w:rPr>
      <w:sz w:val="24"/>
      <w:szCs w:val="24"/>
    </w:rPr>
  </w:style>
  <w:style w:type="paragraph" w:customStyle="1" w:styleId="FIG-LONG">
    <w:name w:val="FIG-LONG"/>
    <w:basedOn w:val="Normal"/>
    <w:next w:val="Normal"/>
    <w:link w:val="FIG-LONGChar"/>
    <w:autoRedefine/>
    <w:qFormat/>
    <w:rsid w:val="002C29DB"/>
    <w:pPr>
      <w:tabs>
        <w:tab w:val="left" w:pos="709"/>
      </w:tabs>
      <w:overflowPunct/>
      <w:autoSpaceDE/>
      <w:autoSpaceDN/>
      <w:adjustRightInd/>
      <w:spacing w:after="120"/>
      <w:ind w:left="709" w:hanging="709"/>
      <w:textAlignment w:val="auto"/>
    </w:pPr>
    <w:rPr>
      <w:rFonts w:eastAsiaTheme="minorEastAsia"/>
      <w:i/>
      <w:iCs/>
      <w:sz w:val="18"/>
      <w:szCs w:val="18"/>
    </w:rPr>
  </w:style>
  <w:style w:type="character" w:customStyle="1" w:styleId="FIG-LONGChar">
    <w:name w:val="FIG-LONG Char"/>
    <w:basedOn w:val="DefaultParagraphFont"/>
    <w:link w:val="FIG-LONG"/>
    <w:rsid w:val="002C29DB"/>
    <w:rPr>
      <w:rFonts w:eastAsiaTheme="minorEastAsia"/>
      <w:i/>
      <w:iCs/>
      <w:sz w:val="18"/>
      <w:szCs w:val="18"/>
      <w:lang w:eastAsia="en-US"/>
    </w:rPr>
  </w:style>
  <w:style w:type="table" w:customStyle="1" w:styleId="TableGrid1">
    <w:name w:val="Table Grid1"/>
    <w:basedOn w:val="TableNormal"/>
    <w:next w:val="TableGrid"/>
    <w:uiPriority w:val="59"/>
    <w:rsid w:val="002C29DB"/>
    <w:rPr>
      <w:rFonts w:asciiTheme="minorHAnsi" w:eastAsiaTheme="minorEastAsia" w:hAnsiTheme="minorHAnsi" w:cstheme="minorBidi"/>
      <w:sz w:val="24"/>
      <w:szCs w:val="24"/>
      <w:lang w:val="it-IT"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49"/>
    <w:semiHidden/>
    <w:unhideWhenUsed/>
    <w:locked/>
    <w:rsid w:val="00A233D1"/>
    <w:rPr>
      <w:sz w:val="16"/>
      <w:szCs w:val="16"/>
    </w:rPr>
  </w:style>
  <w:style w:type="paragraph" w:styleId="CommentText">
    <w:name w:val="annotation text"/>
    <w:basedOn w:val="Normal"/>
    <w:link w:val="CommentTextChar"/>
    <w:uiPriority w:val="49"/>
    <w:semiHidden/>
    <w:unhideWhenUsed/>
    <w:locked/>
    <w:rsid w:val="00A233D1"/>
    <w:rPr>
      <w:sz w:val="20"/>
    </w:rPr>
  </w:style>
  <w:style w:type="character" w:customStyle="1" w:styleId="CommentTextChar">
    <w:name w:val="Comment Text Char"/>
    <w:basedOn w:val="DefaultParagraphFont"/>
    <w:link w:val="CommentText"/>
    <w:uiPriority w:val="49"/>
    <w:semiHidden/>
    <w:rsid w:val="00A233D1"/>
    <w:rPr>
      <w:lang w:eastAsia="en-US"/>
    </w:rPr>
  </w:style>
  <w:style w:type="paragraph" w:styleId="CommentSubject">
    <w:name w:val="annotation subject"/>
    <w:basedOn w:val="CommentText"/>
    <w:next w:val="CommentText"/>
    <w:link w:val="CommentSubjectChar"/>
    <w:uiPriority w:val="49"/>
    <w:semiHidden/>
    <w:unhideWhenUsed/>
    <w:locked/>
    <w:rsid w:val="00A233D1"/>
    <w:rPr>
      <w:b/>
      <w:bCs/>
    </w:rPr>
  </w:style>
  <w:style w:type="character" w:customStyle="1" w:styleId="CommentSubjectChar">
    <w:name w:val="Comment Subject Char"/>
    <w:basedOn w:val="CommentTextChar"/>
    <w:link w:val="CommentSubject"/>
    <w:uiPriority w:val="49"/>
    <w:semiHidden/>
    <w:rsid w:val="00A233D1"/>
    <w:rPr>
      <w:b/>
      <w:bCs/>
      <w:lang w:eastAsia="en-US"/>
    </w:rPr>
  </w:style>
  <w:style w:type="character" w:customStyle="1" w:styleId="Heading3Char">
    <w:name w:val="Heading 3 Char"/>
    <w:aliases w:val="2nd level paper heading Char"/>
    <w:basedOn w:val="DefaultParagraphFont"/>
    <w:link w:val="Heading3"/>
    <w:uiPriority w:val="4"/>
    <w:rsid w:val="00860FDD"/>
    <w:rPr>
      <w:b/>
      <w:lang w:eastAsia="en-US"/>
    </w:rPr>
  </w:style>
  <w:style w:type="paragraph" w:customStyle="1" w:styleId="Table">
    <w:name w:val="Table"/>
    <w:basedOn w:val="BodyText"/>
    <w:link w:val="TableChar"/>
    <w:qFormat/>
    <w:rsid w:val="00177807"/>
    <w:pPr>
      <w:widowControl w:val="0"/>
      <w:autoSpaceDE w:val="0"/>
      <w:autoSpaceDN w:val="0"/>
      <w:spacing w:line="288" w:lineRule="auto"/>
      <w:ind w:firstLine="0"/>
      <w:contextualSpacing w:val="0"/>
      <w:jc w:val="left"/>
    </w:pPr>
    <w:rPr>
      <w:rFonts w:eastAsia="Georgia"/>
      <w:sz w:val="24"/>
      <w:szCs w:val="24"/>
      <w:lang w:val="en-US"/>
    </w:rPr>
  </w:style>
  <w:style w:type="character" w:customStyle="1" w:styleId="TableChar">
    <w:name w:val="Table Char"/>
    <w:basedOn w:val="BodyTextChar"/>
    <w:link w:val="Table"/>
    <w:rsid w:val="00177807"/>
    <w:rPr>
      <w:rFonts w:eastAsia="Georgia"/>
      <w:sz w:val="24"/>
      <w:szCs w:val="24"/>
      <w:lang w:val="en-US" w:eastAsia="en-US"/>
    </w:rPr>
  </w:style>
  <w:style w:type="character" w:customStyle="1" w:styleId="Heading2Char">
    <w:name w:val="Heading 2 Char"/>
    <w:aliases w:val="1st level paper heading Char"/>
    <w:basedOn w:val="DefaultParagraphFont"/>
    <w:link w:val="Heading2"/>
    <w:uiPriority w:val="4"/>
    <w:rsid w:val="004E5C1A"/>
    <w:rPr>
      <w:caps/>
      <w:lang w:eastAsia="en-US"/>
    </w:rPr>
  </w:style>
  <w:style w:type="table" w:customStyle="1" w:styleId="Style1">
    <w:name w:val="Style1"/>
    <w:basedOn w:val="TableNormal"/>
    <w:uiPriority w:val="99"/>
    <w:rsid w:val="00AC4D30"/>
    <w:rPr>
      <w:rFonts w:eastAsiaTheme="minorEastAsia" w:cstheme="minorBidi"/>
      <w:sz w:val="24"/>
      <w:szCs w:val="24"/>
      <w:lang w:val="en-US" w:eastAsia="ko-KR"/>
    </w:rPr>
    <w:tblPr/>
    <w:tblStylePr w:type="firstRow">
      <w:tblPr/>
      <w:tcPr>
        <w:tcBorders>
          <w:top w:val="single" w:sz="4" w:space="0" w:color="auto"/>
          <w:bottom w:val="single" w:sz="4" w:space="0" w:color="auto"/>
        </w:tcBorders>
      </w:tcPr>
    </w:tblStylePr>
    <w:tblStylePr w:type="lastRow">
      <w:tblPr/>
      <w:tcPr>
        <w:tcBorders>
          <w:bottom w:val="single" w:sz="4" w:space="0" w:color="auto"/>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emf"/><Relationship Id="rId18" Type="http://schemas.openxmlformats.org/officeDocument/2006/relationships/image" Target="media/image8.jpeg"/><Relationship Id="rId26" Type="http://schemas.openxmlformats.org/officeDocument/2006/relationships/image" Target="media/image16.jpeg"/><Relationship Id="rId3" Type="http://schemas.openxmlformats.org/officeDocument/2006/relationships/customXml" Target="../customXml/item3.xml"/><Relationship Id="rId21" Type="http://schemas.openxmlformats.org/officeDocument/2006/relationships/image" Target="media/image11.jpeg"/><Relationship Id="rId34"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image" Target="media/image15.png"/><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image" Target="media/image10.pn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4.jpeg"/><Relationship Id="rId32" Type="http://schemas.openxmlformats.org/officeDocument/2006/relationships/footer" Target="footer3.xml"/><Relationship Id="rId5" Type="http://schemas.openxmlformats.org/officeDocument/2006/relationships/numbering" Target="numbering.xml"/><Relationship Id="rId15" Type="http://schemas.openxmlformats.org/officeDocument/2006/relationships/image" Target="media/image5.tiff"/><Relationship Id="rId23" Type="http://schemas.openxmlformats.org/officeDocument/2006/relationships/image" Target="media/image13.jpeg"/><Relationship Id="rId28" Type="http://schemas.openxmlformats.org/officeDocument/2006/relationships/header" Target="header2.xml"/><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header" Target="header3.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tiff"/><Relationship Id="rId22" Type="http://schemas.openxmlformats.org/officeDocument/2006/relationships/image" Target="media/image12.emf"/><Relationship Id="rId27" Type="http://schemas.openxmlformats.org/officeDocument/2006/relationships/header" Target="header1.xml"/><Relationship Id="rId30" Type="http://schemas.openxmlformats.org/officeDocument/2006/relationships/footer" Target="footer2.xml"/></Relationships>
</file>

<file path=word/_rels/settings.xml.rels><?xml version="1.0" encoding="UTF-8" standalone="yes"?>
<Relationships xmlns="http://schemas.openxmlformats.org/package/2006/relationships"><Relationship Id="rId1" Type="http://schemas.openxmlformats.org/officeDocument/2006/relationships/attachedTemplate" Target="file:///C:\WINDOWS\IAEA\Templates\O365\IAEA%20Blank%20(r01).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8838DD521E3D1649B00AC0EC7F7B3842" ma:contentTypeVersion="10" ma:contentTypeDescription="Create a new document." ma:contentTypeScope="" ma:versionID="94b0f74c38da0e5bbc807271e51129ee">
  <xsd:schema xmlns:xsd="http://www.w3.org/2001/XMLSchema" xmlns:xs="http://www.w3.org/2001/XMLSchema" xmlns:p="http://schemas.microsoft.com/office/2006/metadata/properties" xmlns:ns3="62d4e713-4844-4419-ae48-2c18eef7e846" targetNamespace="http://schemas.microsoft.com/office/2006/metadata/properties" ma:root="true" ma:fieldsID="c1153f7212141daa7c6b5de910ecfe95" ns3:_="">
    <xsd:import namespace="62d4e713-4844-4419-ae48-2c18eef7e846"/>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AutoKeyPoints" minOccurs="0"/>
                <xsd:element ref="ns3:MediaServiceKeyPoints" minOccurs="0"/>
                <xsd:element ref="ns3:MediaServiceDateTaken"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2d4e713-4844-4419-ae48-2c18eef7e84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ISO690NmericalSquare.XSL" StyleName="ISO 690 - Numerical with Square Bracket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38806F98-CEA2-40D9-9554-BA9D4018F9BD}">
  <ds:schemaRefs>
    <ds:schemaRef ds:uri="http://schemas.microsoft.com/sharepoint/v3/contenttype/forms"/>
  </ds:schemaRefs>
</ds:datastoreItem>
</file>

<file path=customXml/itemProps2.xml><?xml version="1.0" encoding="utf-8"?>
<ds:datastoreItem xmlns:ds="http://schemas.openxmlformats.org/officeDocument/2006/customXml" ds:itemID="{376EC95F-5C71-4726-AD32-B59CE1A97C5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2d4e713-4844-4419-ae48-2c18eef7e84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2E6F7E8-C907-45D6-87FB-5C439F811E2B}">
  <ds:schemaRefs>
    <ds:schemaRef ds:uri="http://schemas.openxmlformats.org/officeDocument/2006/bibliography"/>
  </ds:schemaRefs>
</ds:datastoreItem>
</file>

<file path=customXml/itemProps4.xml><?xml version="1.0" encoding="utf-8"?>
<ds:datastoreItem xmlns:ds="http://schemas.openxmlformats.org/officeDocument/2006/customXml" ds:itemID="{BAA37EDD-2E1A-4759-89A8-5D2D8E84B97D}">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IAEA Blank (r01).dotx</Template>
  <TotalTime>0</TotalTime>
  <Pages>10</Pages>
  <Words>3887</Words>
  <Characters>22158</Characters>
  <Application>Microsoft Office Word</Application>
  <DocSecurity>0</DocSecurity>
  <Lines>184</Lines>
  <Paragraphs>51</Paragraphs>
  <ScaleCrop>false</ScaleCrop>
  <HeadingPairs>
    <vt:vector size="2" baseType="variant">
      <vt:variant>
        <vt:lpstr>Title</vt:lpstr>
      </vt:variant>
      <vt:variant>
        <vt:i4>1</vt:i4>
      </vt:variant>
    </vt:vector>
  </HeadingPairs>
  <TitlesOfParts>
    <vt:vector size="1" baseType="lpstr">
      <vt:lpstr>IAEA</vt:lpstr>
    </vt:vector>
  </TitlesOfParts>
  <Company>IAEA</Company>
  <LinksUpToDate>false</LinksUpToDate>
  <CharactersWithSpaces>25994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IAEA</dc:title>
  <dc:subject/>
  <dc:creator>Gemma Anna Ruffino</dc:creator>
  <cp:keywords/>
  <dc:description/>
  <cp:lastModifiedBy>(대학원생) TUNG DONG CAO NGUYEN (원자력공학과)</cp:lastModifiedBy>
  <cp:revision>2</cp:revision>
  <cp:lastPrinted>2015-12-01T10:27:00Z</cp:lastPrinted>
  <dcterms:created xsi:type="dcterms:W3CDTF">2021-04-29T07:20:00Z</dcterms:created>
  <dcterms:modified xsi:type="dcterms:W3CDTF">2021-04-29T07:20:00Z</dcterms:modified>
  <cp:category>IAEA Document</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aeaClassification">
    <vt:lpwstr/>
  </property>
  <property fmtid="{D5CDD505-2E9C-101B-9397-08002B2CF9AE}" pid="3" name="IaeaSensitivity">
    <vt:lpwstr/>
  </property>
  <property fmtid="{D5CDD505-2E9C-101B-9397-08002B2CF9AE}" pid="4" name="IaeaDistribution">
    <vt:lpwstr/>
  </property>
  <property fmtid="{D5CDD505-2E9C-101B-9397-08002B2CF9AE}" pid="5" name="IaeaSecurityClassifier">
    <vt:lpwstr/>
  </property>
  <property fmtid="{D5CDD505-2E9C-101B-9397-08002B2CF9AE}" pid="6" name="IaeaClassificationDate">
    <vt:lpwstr/>
  </property>
  <property fmtid="{D5CDD505-2E9C-101B-9397-08002B2CF9AE}" pid="7" name="IaeaTransmission">
    <vt:lpwstr/>
  </property>
  <property fmtid="{D5CDD505-2E9C-101B-9397-08002B2CF9AE}" pid="8" name="IaeaConfidentialAttachments">
    <vt:lpwstr/>
  </property>
  <property fmtid="{D5CDD505-2E9C-101B-9397-08002B2CF9AE}" pid="9" name="Typist">
    <vt:lpwstr>Initials-Ext</vt:lpwstr>
  </property>
  <property fmtid="{D5CDD505-2E9C-101B-9397-08002B2CF9AE}" pid="10" name="IaeaClassification2">
    <vt:lpwstr/>
  </property>
  <property fmtid="{D5CDD505-2E9C-101B-9397-08002B2CF9AE}" pid="11" name="ContentTypeId">
    <vt:lpwstr>0x0101008838DD521E3D1649B00AC0EC7F7B3842</vt:lpwstr>
  </property>
  <property fmtid="{D5CDD505-2E9C-101B-9397-08002B2CF9AE}" pid="12" name="_dlc_DocIdItemGuid">
    <vt:lpwstr>624d8e63-e3f6-4681-83c2-57c583c02431</vt:lpwstr>
  </property>
</Properties>
</file>