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E3B6" w14:textId="77777777" w:rsidR="006914FB" w:rsidRDefault="006914FB" w:rsidP="006914FB">
      <w:pPr>
        <w:pStyle w:val="Heading1"/>
        <w:spacing w:before="77"/>
        <w:ind w:left="2639" w:right="2421"/>
        <w:jc w:val="center"/>
      </w:pPr>
      <w:r>
        <w:t>Release</w:t>
      </w:r>
      <w:r>
        <w:rPr>
          <w:spacing w:val="2"/>
        </w:rPr>
        <w:t xml:space="preserve"> </w:t>
      </w:r>
      <w:r>
        <w:t>of Video</w:t>
      </w:r>
      <w:r>
        <w:rPr>
          <w:spacing w:val="6"/>
        </w:rPr>
        <w:t xml:space="preserve"> </w:t>
      </w:r>
      <w:r>
        <w:t>Presentation</w:t>
      </w:r>
    </w:p>
    <w:p w14:paraId="691BB90C" w14:textId="77777777" w:rsidR="006914FB" w:rsidRDefault="006914FB" w:rsidP="006914FB">
      <w:pPr>
        <w:pStyle w:val="BodyText"/>
        <w:spacing w:before="10"/>
        <w:rPr>
          <w:b/>
          <w:sz w:val="21"/>
        </w:rPr>
      </w:pPr>
    </w:p>
    <w:p w14:paraId="6796EBD5" w14:textId="77777777" w:rsidR="006914FB" w:rsidRDefault="006914FB" w:rsidP="006914FB">
      <w:pPr>
        <w:spacing w:before="1" w:line="283" w:lineRule="auto"/>
        <w:ind w:left="125" w:right="233"/>
        <w:jc w:val="both"/>
        <w:rPr>
          <w:sz w:val="24"/>
        </w:rPr>
      </w:pPr>
      <w:r>
        <w:rPr>
          <w:sz w:val="24"/>
        </w:rPr>
        <w:t xml:space="preserve">I agree that my video presentation, presented at the </w:t>
      </w:r>
      <w:r>
        <w:rPr>
          <w:b/>
          <w:sz w:val="24"/>
        </w:rPr>
        <w:t>International Conference on Fast Reactors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Related Fuel Cycles: Sustainable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energy for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(CN-291</w:t>
      </w:r>
      <w:r>
        <w:rPr>
          <w:sz w:val="24"/>
        </w:rPr>
        <w:t>/</w:t>
      </w:r>
      <w:r>
        <w:rPr>
          <w:b/>
        </w:rPr>
        <w:t>EVT</w:t>
      </w:r>
      <w:r>
        <w:rPr>
          <w:b/>
          <w:sz w:val="24"/>
        </w:rPr>
        <w:t>2001728), 19-22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April 2022, Vienna, Austria </w:t>
      </w:r>
      <w:r>
        <w:rPr>
          <w:sz w:val="24"/>
        </w:rPr>
        <w:t>may be made available on the IAEA Conference and Meetings App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MPEG-4</w:t>
      </w:r>
      <w:r>
        <w:rPr>
          <w:spacing w:val="12"/>
          <w:sz w:val="24"/>
        </w:rPr>
        <w:t xml:space="preserve"> </w:t>
      </w: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(*.mp4)</w:t>
      </w:r>
      <w:r>
        <w:rPr>
          <w:spacing w:val="-8"/>
          <w:sz w:val="24"/>
        </w:rPr>
        <w:t xml:space="preserve"> </w:t>
      </w:r>
      <w:r>
        <w:rPr>
          <w:sz w:val="24"/>
        </w:rPr>
        <w:t>File.</w:t>
      </w:r>
    </w:p>
    <w:p w14:paraId="363822A5" w14:textId="77777777" w:rsidR="006914FB" w:rsidRDefault="006914FB" w:rsidP="006914FB">
      <w:pPr>
        <w:pStyle w:val="BodyText"/>
        <w:spacing w:before="2" w:after="1"/>
        <w:rPr>
          <w:sz w:val="28"/>
        </w:rPr>
      </w:pPr>
    </w:p>
    <w:tbl>
      <w:tblPr>
        <w:tblW w:w="97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6093"/>
      </w:tblGrid>
      <w:tr w:rsidR="006914FB" w14:paraId="1D258285" w14:textId="77777777" w:rsidTr="006914FB">
        <w:trPr>
          <w:trHeight w:val="556"/>
        </w:trPr>
        <w:tc>
          <w:tcPr>
            <w:tcW w:w="3706" w:type="dxa"/>
          </w:tcPr>
          <w:p w14:paraId="2295E89D" w14:textId="77777777" w:rsidR="006914FB" w:rsidRDefault="006914FB" w:rsidP="00937804">
            <w:pPr>
              <w:pStyle w:val="TableParagraph"/>
              <w:spacing w:before="126"/>
              <w:ind w:left="117"/>
              <w:rPr>
                <w:sz w:val="24"/>
              </w:rPr>
            </w:pPr>
            <w:r>
              <w:rPr>
                <w:sz w:val="24"/>
              </w:rPr>
              <w:t>INDICO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</w:p>
        </w:tc>
        <w:tc>
          <w:tcPr>
            <w:tcW w:w="6093" w:type="dxa"/>
          </w:tcPr>
          <w:p w14:paraId="6C098C40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>FR22: IAEA-CN-291/445</w:t>
            </w:r>
          </w:p>
          <w:p w14:paraId="45565C73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</w:p>
        </w:tc>
      </w:tr>
      <w:tr w:rsidR="006914FB" w14:paraId="19F9F61F" w14:textId="77777777" w:rsidTr="006914FB">
        <w:trPr>
          <w:trHeight w:val="556"/>
        </w:trPr>
        <w:tc>
          <w:tcPr>
            <w:tcW w:w="3706" w:type="dxa"/>
          </w:tcPr>
          <w:p w14:paraId="430CDA85" w14:textId="77777777" w:rsidR="006914FB" w:rsidRDefault="006914FB" w:rsidP="00937804">
            <w:pPr>
              <w:pStyle w:val="TableParagraph"/>
              <w:spacing w:before="126"/>
              <w:ind w:left="117"/>
              <w:rPr>
                <w:sz w:val="24"/>
              </w:rPr>
            </w:pPr>
            <w:r>
              <w:rPr>
                <w:sz w:val="24"/>
              </w:rPr>
              <w:t>Country/Invited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</w:p>
        </w:tc>
        <w:tc>
          <w:tcPr>
            <w:tcW w:w="6093" w:type="dxa"/>
          </w:tcPr>
          <w:p w14:paraId="5F27EE9D" w14:textId="5C2E13BB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>India</w:t>
            </w:r>
            <w:r>
              <w:rPr>
                <w:sz w:val="24"/>
              </w:rPr>
              <w:t xml:space="preserve"> </w:t>
            </w:r>
            <w:r w:rsidRPr="000E1C29">
              <w:rPr>
                <w:sz w:val="24"/>
              </w:rPr>
              <w:t>/Indira Gandhi Centre for Atomic Research</w:t>
            </w:r>
          </w:p>
        </w:tc>
      </w:tr>
      <w:tr w:rsidR="006914FB" w14:paraId="01DC1288" w14:textId="77777777" w:rsidTr="006914FB">
        <w:trPr>
          <w:trHeight w:val="556"/>
        </w:trPr>
        <w:tc>
          <w:tcPr>
            <w:tcW w:w="3706" w:type="dxa"/>
          </w:tcPr>
          <w:p w14:paraId="2563CB1F" w14:textId="77777777" w:rsidR="006914FB" w:rsidRDefault="006914FB" w:rsidP="00937804">
            <w:pPr>
              <w:pStyle w:val="TableParagraph"/>
              <w:spacing w:before="142"/>
              <w:ind w:left="11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093" w:type="dxa"/>
          </w:tcPr>
          <w:p w14:paraId="00741F29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>Ch.</w:t>
            </w:r>
          </w:p>
        </w:tc>
      </w:tr>
      <w:tr w:rsidR="006914FB" w14:paraId="54B529B6" w14:textId="77777777" w:rsidTr="006914FB">
        <w:trPr>
          <w:trHeight w:val="556"/>
        </w:trPr>
        <w:tc>
          <w:tcPr>
            <w:tcW w:w="3706" w:type="dxa"/>
          </w:tcPr>
          <w:p w14:paraId="72BFAC71" w14:textId="77777777" w:rsidR="006914FB" w:rsidRDefault="006914FB" w:rsidP="00937804">
            <w:pPr>
              <w:pStyle w:val="TableParagraph"/>
              <w:spacing w:before="142"/>
              <w:ind w:left="11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093" w:type="dxa"/>
          </w:tcPr>
          <w:p w14:paraId="3E4769DD" w14:textId="3391633F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>S.S.S.</w:t>
            </w:r>
            <w:r w:rsidR="002E7496">
              <w:rPr>
                <w:sz w:val="24"/>
              </w:rPr>
              <w:t xml:space="preserve"> </w:t>
            </w:r>
            <w:r w:rsidRPr="000E1C29">
              <w:rPr>
                <w:sz w:val="24"/>
              </w:rPr>
              <w:t>Avinash</w:t>
            </w:r>
          </w:p>
        </w:tc>
      </w:tr>
    </w:tbl>
    <w:p w14:paraId="450E1092" w14:textId="77777777" w:rsidR="006914FB" w:rsidRDefault="006914FB" w:rsidP="006914FB">
      <w:pPr>
        <w:pStyle w:val="BodyText"/>
        <w:spacing w:before="1" w:after="1"/>
        <w:rPr>
          <w:sz w:val="23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3692"/>
      </w:tblGrid>
      <w:tr w:rsidR="006914FB" w14:paraId="34764BD1" w14:textId="77777777" w:rsidTr="00937804">
        <w:trPr>
          <w:trHeight w:val="280"/>
        </w:trPr>
        <w:tc>
          <w:tcPr>
            <w:tcW w:w="1507" w:type="dxa"/>
          </w:tcPr>
          <w:p w14:paraId="479E88A1" w14:textId="77777777" w:rsidR="006914FB" w:rsidRDefault="006914FB" w:rsidP="00937804">
            <w:pPr>
              <w:pStyle w:val="TableParagraph"/>
              <w:spacing w:before="24" w:line="236" w:lineRule="exact"/>
              <w:ind w:left="200"/>
            </w:pPr>
            <w:r>
              <w:t>YES</w:t>
            </w:r>
            <w:r>
              <w:rPr>
                <w:spacing w:val="43"/>
              </w:rPr>
              <w:t xml:space="preserve"> </w:t>
            </w:r>
            <w:r>
              <w:rPr>
                <w:noProof/>
                <w:spacing w:val="-23"/>
                <w:position w:val="1"/>
              </w:rPr>
              <w:drawing>
                <wp:inline distT="0" distB="0" distL="0" distR="0" wp14:anchorId="14986C1C" wp14:editId="367824F2">
                  <wp:extent cx="92286" cy="11137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6" cy="11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</w:tcPr>
          <w:p w14:paraId="27EC6F4B" w14:textId="77777777" w:rsidR="006914FB" w:rsidRDefault="006914FB" w:rsidP="00937804">
            <w:pPr>
              <w:pStyle w:val="TableParagraph"/>
              <w:spacing w:before="24" w:line="236" w:lineRule="exact"/>
              <w:ind w:left="391"/>
              <w:rPr>
                <w:b/>
              </w:rPr>
            </w:pPr>
            <w:r>
              <w:t>NO</w:t>
            </w:r>
            <w:r>
              <w:rPr>
                <w:spacing w:val="39"/>
              </w:rPr>
              <w:t xml:space="preserve"> </w:t>
            </w:r>
            <w:r>
              <w:rPr>
                <w:noProof/>
                <w:spacing w:val="-19"/>
                <w:position w:val="1"/>
              </w:rPr>
              <w:drawing>
                <wp:inline distT="0" distB="0" distL="0" distR="0" wp14:anchorId="3A2E2949" wp14:editId="17F2B967">
                  <wp:extent cx="92286" cy="11137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6" cy="11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9"/>
              </w:rPr>
              <w:t xml:space="preserve">                                         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Signature:</w:t>
            </w:r>
          </w:p>
        </w:tc>
      </w:tr>
    </w:tbl>
    <w:p w14:paraId="394753EA" w14:textId="77777777" w:rsidR="006914FB" w:rsidRDefault="006914FB" w:rsidP="006914FB">
      <w:pPr>
        <w:pStyle w:val="BodyText"/>
        <w:spacing w:before="3"/>
        <w:rPr>
          <w:sz w:val="18"/>
        </w:rPr>
      </w:pPr>
    </w:p>
    <w:p w14:paraId="006AFA53" w14:textId="77A12C26" w:rsidR="006914FB" w:rsidRDefault="006914FB" w:rsidP="006914FB">
      <w:pPr>
        <w:spacing w:before="94"/>
        <w:ind w:right="2638"/>
        <w:jc w:val="center"/>
        <w:rPr>
          <w:b/>
        </w:rPr>
      </w:pPr>
      <w:r>
        <w:rPr>
          <w:b/>
        </w:rPr>
        <w:t xml:space="preserve">                                   BIOGRAPHICAL</w:t>
      </w:r>
      <w:r>
        <w:rPr>
          <w:b/>
          <w:spacing w:val="-3"/>
        </w:rPr>
        <w:t xml:space="preserve"> </w:t>
      </w:r>
      <w:r>
        <w:rPr>
          <w:b/>
        </w:rPr>
        <w:t>SUMMARY</w:t>
      </w:r>
      <w:r>
        <w:rPr>
          <w:b/>
          <w:spacing w:val="3"/>
        </w:rPr>
        <w:t xml:space="preserve"> </w:t>
      </w:r>
      <w:r>
        <w:rPr>
          <w:b/>
        </w:rPr>
        <w:t>FOR</w:t>
      </w:r>
      <w:r>
        <w:rPr>
          <w:b/>
          <w:spacing w:val="3"/>
        </w:rPr>
        <w:t xml:space="preserve"> </w:t>
      </w:r>
      <w:r>
        <w:rPr>
          <w:b/>
        </w:rPr>
        <w:t>SPEAKER</w:t>
      </w:r>
    </w:p>
    <w:p w14:paraId="2311EC1D" w14:textId="77777777" w:rsidR="006914FB" w:rsidRDefault="006914FB" w:rsidP="006914FB">
      <w:pPr>
        <w:pStyle w:val="BodyText"/>
        <w:spacing w:before="10" w:after="1"/>
        <w:rPr>
          <w:b/>
          <w:sz w:val="20"/>
        </w:rPr>
      </w:pPr>
    </w:p>
    <w:tbl>
      <w:tblPr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6692"/>
      </w:tblGrid>
      <w:tr w:rsidR="006914FB" w14:paraId="6DDF4FFE" w14:textId="77777777" w:rsidTr="00EF19D5">
        <w:trPr>
          <w:trHeight w:val="692"/>
        </w:trPr>
        <w:tc>
          <w:tcPr>
            <w:tcW w:w="3208" w:type="dxa"/>
          </w:tcPr>
          <w:p w14:paraId="019BE397" w14:textId="77777777" w:rsidR="006914FB" w:rsidRDefault="006914FB" w:rsidP="00937804">
            <w:pPr>
              <w:pStyle w:val="TableParagraph"/>
              <w:spacing w:before="209"/>
              <w:ind w:left="102"/>
            </w:pPr>
            <w:r>
              <w:t>NAME:</w:t>
            </w:r>
          </w:p>
        </w:tc>
        <w:tc>
          <w:tcPr>
            <w:tcW w:w="6692" w:type="dxa"/>
          </w:tcPr>
          <w:p w14:paraId="5476C8AC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 xml:space="preserve">               </w:t>
            </w:r>
          </w:p>
          <w:p w14:paraId="6BFD4224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 xml:space="preserve">    Ch.S.S.S.Avinash</w:t>
            </w:r>
          </w:p>
        </w:tc>
      </w:tr>
      <w:tr w:rsidR="006914FB" w14:paraId="296E2B4D" w14:textId="77777777" w:rsidTr="00EF19D5">
        <w:trPr>
          <w:trHeight w:val="675"/>
        </w:trPr>
        <w:tc>
          <w:tcPr>
            <w:tcW w:w="3208" w:type="dxa"/>
          </w:tcPr>
          <w:p w14:paraId="2B0CB949" w14:textId="77777777" w:rsidR="006914FB" w:rsidRDefault="006914FB" w:rsidP="00937804">
            <w:pPr>
              <w:pStyle w:val="TableParagraph"/>
              <w:spacing w:before="193"/>
              <w:ind w:left="102"/>
            </w:pPr>
            <w:r>
              <w:t>PAPER</w:t>
            </w:r>
            <w:r>
              <w:rPr>
                <w:spacing w:val="-7"/>
              </w:rPr>
              <w:t xml:space="preserve"> </w:t>
            </w:r>
            <w:r>
              <w:t>TITLE:</w:t>
            </w:r>
          </w:p>
        </w:tc>
        <w:tc>
          <w:tcPr>
            <w:tcW w:w="6692" w:type="dxa"/>
          </w:tcPr>
          <w:p w14:paraId="222D02A8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>Experimental study on sodium insulation interaction and its effect on structural material</w:t>
            </w:r>
          </w:p>
          <w:p w14:paraId="33CBB868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</w:p>
        </w:tc>
      </w:tr>
      <w:tr w:rsidR="006914FB" w14:paraId="6AA76D0F" w14:textId="77777777" w:rsidTr="00EF19D5">
        <w:trPr>
          <w:trHeight w:val="675"/>
        </w:trPr>
        <w:tc>
          <w:tcPr>
            <w:tcW w:w="3208" w:type="dxa"/>
          </w:tcPr>
          <w:p w14:paraId="027FE153" w14:textId="77777777" w:rsidR="006914FB" w:rsidRDefault="006914FB" w:rsidP="00937804">
            <w:pPr>
              <w:pStyle w:val="TableParagraph"/>
              <w:spacing w:before="193"/>
              <w:ind w:left="102"/>
            </w:pPr>
            <w:r>
              <w:t>AFFILIATION/COMPANY:</w:t>
            </w:r>
          </w:p>
        </w:tc>
        <w:tc>
          <w:tcPr>
            <w:tcW w:w="6692" w:type="dxa"/>
          </w:tcPr>
          <w:p w14:paraId="7EF3D10A" w14:textId="77777777" w:rsidR="006914FB" w:rsidRPr="000E1C29" w:rsidRDefault="006914FB" w:rsidP="00937804">
            <w:pPr>
              <w:pStyle w:val="TableParagraph"/>
              <w:spacing w:before="126"/>
              <w:ind w:left="117"/>
              <w:jc w:val="center"/>
              <w:rPr>
                <w:sz w:val="24"/>
              </w:rPr>
            </w:pPr>
            <w:r w:rsidRPr="000E1C29">
              <w:rPr>
                <w:sz w:val="24"/>
              </w:rPr>
              <w:t xml:space="preserve">    Scientific officer / Indira Gandhi Centre for Atomic Research</w:t>
            </w:r>
            <w:r>
              <w:rPr>
                <w:sz w:val="24"/>
              </w:rPr>
              <w:t xml:space="preserve"> (IGCAR)</w:t>
            </w:r>
          </w:p>
        </w:tc>
      </w:tr>
      <w:tr w:rsidR="006914FB" w14:paraId="59876879" w14:textId="77777777" w:rsidTr="00EF19D5">
        <w:trPr>
          <w:trHeight w:val="3767"/>
        </w:trPr>
        <w:tc>
          <w:tcPr>
            <w:tcW w:w="3208" w:type="dxa"/>
          </w:tcPr>
          <w:p w14:paraId="340FD61B" w14:textId="77777777" w:rsidR="006914FB" w:rsidRDefault="006914FB" w:rsidP="00937804">
            <w:pPr>
              <w:pStyle w:val="TableParagraph"/>
              <w:rPr>
                <w:b/>
                <w:sz w:val="24"/>
              </w:rPr>
            </w:pPr>
          </w:p>
          <w:p w14:paraId="5E9594BC" w14:textId="77777777" w:rsidR="006914FB" w:rsidRDefault="006914FB" w:rsidP="00937804">
            <w:pPr>
              <w:pStyle w:val="TableParagraph"/>
              <w:rPr>
                <w:b/>
                <w:sz w:val="24"/>
              </w:rPr>
            </w:pPr>
          </w:p>
          <w:p w14:paraId="2B77E2B7" w14:textId="77777777" w:rsidR="006914FB" w:rsidRDefault="006914FB" w:rsidP="00937804">
            <w:pPr>
              <w:pStyle w:val="TableParagraph"/>
              <w:rPr>
                <w:b/>
                <w:sz w:val="24"/>
              </w:rPr>
            </w:pPr>
          </w:p>
          <w:p w14:paraId="314147F8" w14:textId="77777777" w:rsidR="006914FB" w:rsidRDefault="006914FB" w:rsidP="00937804">
            <w:pPr>
              <w:pStyle w:val="TableParagraph"/>
              <w:rPr>
                <w:b/>
                <w:sz w:val="24"/>
              </w:rPr>
            </w:pPr>
          </w:p>
          <w:p w14:paraId="3072C57E" w14:textId="77777777" w:rsidR="006914FB" w:rsidRDefault="006914FB" w:rsidP="00937804">
            <w:pPr>
              <w:pStyle w:val="TableParagraph"/>
              <w:rPr>
                <w:b/>
                <w:sz w:val="24"/>
              </w:rPr>
            </w:pPr>
          </w:p>
          <w:p w14:paraId="3E0F48CB" w14:textId="77777777" w:rsidR="006914FB" w:rsidRDefault="006914FB" w:rsidP="0093780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685B4D" w14:textId="67950D5A" w:rsidR="006914FB" w:rsidRDefault="006914FB" w:rsidP="00937804">
            <w:pPr>
              <w:pStyle w:val="TableParagraph"/>
              <w:spacing w:line="242" w:lineRule="auto"/>
              <w:ind w:left="102" w:right="427"/>
            </w:pPr>
            <w:r>
              <w:t>SHORT BACKGROUND FOR</w:t>
            </w:r>
            <w:r>
              <w:rPr>
                <w:spacing w:val="-52"/>
              </w:rPr>
              <w:t xml:space="preserve">     </w:t>
            </w:r>
            <w:r>
              <w:t>INTRODUCTION:</w:t>
            </w:r>
          </w:p>
        </w:tc>
        <w:tc>
          <w:tcPr>
            <w:tcW w:w="6692" w:type="dxa"/>
          </w:tcPr>
          <w:p w14:paraId="1D8384B9" w14:textId="5DC32BF6" w:rsidR="006914FB" w:rsidRPr="000E1C29" w:rsidRDefault="006914FB" w:rsidP="005A6923">
            <w:pPr>
              <w:pStyle w:val="TableParagraph"/>
              <w:spacing w:before="126"/>
              <w:ind w:left="117"/>
              <w:jc w:val="both"/>
              <w:rPr>
                <w:sz w:val="24"/>
              </w:rPr>
            </w:pPr>
            <w:r w:rsidRPr="000E1C29">
              <w:rPr>
                <w:sz w:val="24"/>
              </w:rPr>
              <w:t xml:space="preserve">Ch.S.S.S. Avinash </w:t>
            </w:r>
            <w:r w:rsidR="000F3740">
              <w:rPr>
                <w:sz w:val="24"/>
              </w:rPr>
              <w:t>is a</w:t>
            </w:r>
            <w:r w:rsidRPr="000E1C29">
              <w:rPr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Pr="000E1C29">
              <w:rPr>
                <w:sz w:val="24"/>
              </w:rPr>
              <w:t>echanical engineer</w:t>
            </w:r>
            <w:r w:rsidR="000F37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="000F3740" w:rsidRPr="000E1C29">
              <w:rPr>
                <w:sz w:val="24"/>
              </w:rPr>
              <w:t xml:space="preserve">completed </w:t>
            </w:r>
            <w:r w:rsidR="000F3740">
              <w:rPr>
                <w:sz w:val="24"/>
              </w:rPr>
              <w:t>orientation course in nuclear engineering</w:t>
            </w:r>
            <w:r w:rsidRPr="000E1C29">
              <w:rPr>
                <w:sz w:val="24"/>
              </w:rPr>
              <w:t xml:space="preserve"> </w:t>
            </w:r>
            <w:r w:rsidR="000F3740">
              <w:rPr>
                <w:sz w:val="24"/>
              </w:rPr>
              <w:t xml:space="preserve">from </w:t>
            </w:r>
            <w:r w:rsidRPr="000E1C29">
              <w:rPr>
                <w:sz w:val="24"/>
              </w:rPr>
              <w:t>B</w:t>
            </w:r>
            <w:r>
              <w:rPr>
                <w:sz w:val="24"/>
              </w:rPr>
              <w:t>.</w:t>
            </w:r>
            <w:r w:rsidRPr="000E1C29">
              <w:rPr>
                <w:sz w:val="24"/>
              </w:rPr>
              <w:t>A</w:t>
            </w:r>
            <w:r>
              <w:rPr>
                <w:sz w:val="24"/>
              </w:rPr>
              <w:t>.</w:t>
            </w:r>
            <w:r w:rsidRPr="000E1C29">
              <w:rPr>
                <w:sz w:val="24"/>
              </w:rPr>
              <w:t>R</w:t>
            </w:r>
            <w:r>
              <w:rPr>
                <w:sz w:val="24"/>
              </w:rPr>
              <w:t>.</w:t>
            </w:r>
            <w:r w:rsidRPr="000E1C29">
              <w:rPr>
                <w:sz w:val="24"/>
              </w:rPr>
              <w:t>C</w:t>
            </w:r>
            <w:r w:rsidR="000F3740">
              <w:rPr>
                <w:sz w:val="24"/>
              </w:rPr>
              <w:t>, INDIA</w:t>
            </w:r>
            <w:r>
              <w:rPr>
                <w:sz w:val="24"/>
              </w:rPr>
              <w:t xml:space="preserve">. </w:t>
            </w:r>
            <w:r w:rsidR="000F3740">
              <w:rPr>
                <w:sz w:val="24"/>
              </w:rPr>
              <w:t xml:space="preserve">            H</w:t>
            </w:r>
            <w:r>
              <w:rPr>
                <w:sz w:val="24"/>
              </w:rPr>
              <w:t>e joined</w:t>
            </w:r>
            <w:r w:rsidR="000F3740">
              <w:rPr>
                <w:sz w:val="24"/>
              </w:rPr>
              <w:t xml:space="preserve"> </w:t>
            </w:r>
            <w:r>
              <w:rPr>
                <w:sz w:val="24"/>
              </w:rPr>
              <w:t>IGCAR</w:t>
            </w:r>
            <w:r w:rsidR="000F3740">
              <w:rPr>
                <w:sz w:val="24"/>
              </w:rPr>
              <w:t xml:space="preserve"> </w:t>
            </w:r>
            <w:r w:rsidR="000F3740">
              <w:rPr>
                <w:sz w:val="24"/>
              </w:rPr>
              <w:t xml:space="preserve">in </w:t>
            </w:r>
            <w:r w:rsidR="000F3740">
              <w:rPr>
                <w:sz w:val="24"/>
              </w:rPr>
              <w:t xml:space="preserve">2010. He </w:t>
            </w:r>
            <w:r>
              <w:rPr>
                <w:sz w:val="24"/>
              </w:rPr>
              <w:t xml:space="preserve">has been actively </w:t>
            </w:r>
            <w:r w:rsidR="000F3740">
              <w:rPr>
                <w:sz w:val="24"/>
              </w:rPr>
              <w:t>working on</w:t>
            </w:r>
            <w:r>
              <w:rPr>
                <w:sz w:val="24"/>
              </w:rPr>
              <w:t xml:space="preserve"> R&amp;D in the area of sodium safety related to SFRs. </w:t>
            </w:r>
            <w:r w:rsidRPr="000E1C29">
              <w:rPr>
                <w:sz w:val="24"/>
              </w:rPr>
              <w:t xml:space="preserve">He </w:t>
            </w:r>
            <w:r w:rsidR="000F3740">
              <w:rPr>
                <w:sz w:val="24"/>
              </w:rPr>
              <w:t xml:space="preserve">has designed and set up many </w:t>
            </w:r>
            <w:r w:rsidR="000F3740" w:rsidRPr="000E1C29">
              <w:rPr>
                <w:sz w:val="24"/>
              </w:rPr>
              <w:t xml:space="preserve">sodium facilities for performance validation and qualification of </w:t>
            </w:r>
            <w:r w:rsidR="000F3740">
              <w:rPr>
                <w:sz w:val="24"/>
              </w:rPr>
              <w:t xml:space="preserve">sensors such as </w:t>
            </w:r>
            <w:r w:rsidR="000F3740" w:rsidRPr="000E1C29">
              <w:rPr>
                <w:sz w:val="24"/>
              </w:rPr>
              <w:t xml:space="preserve">sodium </w:t>
            </w:r>
            <w:r w:rsidR="000F3740">
              <w:rPr>
                <w:sz w:val="24"/>
              </w:rPr>
              <w:t>i</w:t>
            </w:r>
            <w:r w:rsidR="000F3740" w:rsidRPr="000E1C29">
              <w:rPr>
                <w:sz w:val="24"/>
              </w:rPr>
              <w:t>onization detectors, core temperature</w:t>
            </w:r>
            <w:r w:rsidR="000F3740">
              <w:rPr>
                <w:sz w:val="24"/>
              </w:rPr>
              <w:t xml:space="preserve"> monitoring </w:t>
            </w:r>
            <w:r w:rsidR="000F3740" w:rsidRPr="000E1C29">
              <w:rPr>
                <w:sz w:val="24"/>
              </w:rPr>
              <w:t xml:space="preserve">probe and out of pile irradiation loop. He has conducted </w:t>
            </w:r>
            <w:r w:rsidR="000F3740">
              <w:rPr>
                <w:sz w:val="24"/>
              </w:rPr>
              <w:t xml:space="preserve">several </w:t>
            </w:r>
            <w:r w:rsidR="000F3740" w:rsidRPr="000E1C29">
              <w:rPr>
                <w:sz w:val="24"/>
              </w:rPr>
              <w:t xml:space="preserve">experiments </w:t>
            </w:r>
            <w:r w:rsidR="000F3740">
              <w:rPr>
                <w:sz w:val="24"/>
              </w:rPr>
              <w:t xml:space="preserve">on </w:t>
            </w:r>
            <w:r w:rsidR="000F3740" w:rsidRPr="000E1C29">
              <w:rPr>
                <w:sz w:val="24"/>
              </w:rPr>
              <w:t xml:space="preserve">sodium leaks from </w:t>
            </w:r>
            <w:r w:rsidR="000F3740">
              <w:rPr>
                <w:sz w:val="24"/>
              </w:rPr>
              <w:t>the sodium systems of SFRs</w:t>
            </w:r>
            <w:r w:rsidR="00C2425C">
              <w:rPr>
                <w:sz w:val="24"/>
              </w:rPr>
              <w:t xml:space="preserve"> and determined the consequences of sodium leak from roof slab during Hypothetical Core Disruptive Accident</w:t>
            </w:r>
            <w:r w:rsidR="000F3740">
              <w:rPr>
                <w:sz w:val="24"/>
              </w:rPr>
              <w:t xml:space="preserve">. He has </w:t>
            </w:r>
            <w:r w:rsidR="00C2425C">
              <w:rPr>
                <w:sz w:val="24"/>
              </w:rPr>
              <w:t>established an out of pile irradiation loop ‘RISHI’ and demonstrated successful operation towards design validation for deployment to JHR.</w:t>
            </w:r>
            <w:r w:rsidRPr="000E1C29">
              <w:rPr>
                <w:sz w:val="24"/>
              </w:rPr>
              <w:t xml:space="preserve"> He is also investigating sodium interaction with thermal insulation and </w:t>
            </w:r>
            <w:r>
              <w:rPr>
                <w:sz w:val="24"/>
              </w:rPr>
              <w:t xml:space="preserve">its </w:t>
            </w:r>
            <w:r w:rsidRPr="000E1C29">
              <w:rPr>
                <w:sz w:val="24"/>
              </w:rPr>
              <w:t xml:space="preserve">effect on structural material </w:t>
            </w:r>
            <w:r w:rsidR="002E7496">
              <w:rPr>
                <w:sz w:val="24"/>
              </w:rPr>
              <w:t>in the context of small undetectable sodium leaks</w:t>
            </w:r>
            <w:r w:rsidR="005A6923">
              <w:rPr>
                <w:sz w:val="24"/>
              </w:rPr>
              <w:t xml:space="preserve"> towards verification of Leak Before Break approach for sodium piping.</w:t>
            </w:r>
            <w:r w:rsidRPr="000E1C29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2038C78F" w14:textId="58DECA59" w:rsidR="006914FB" w:rsidRDefault="006914FB" w:rsidP="006914FB"/>
    <w:sectPr w:rsidR="0069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B"/>
    <w:rsid w:val="000F3740"/>
    <w:rsid w:val="002E7496"/>
    <w:rsid w:val="005A6923"/>
    <w:rsid w:val="006914FB"/>
    <w:rsid w:val="00B56BE3"/>
    <w:rsid w:val="00C2425C"/>
    <w:rsid w:val="00E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770A"/>
  <w15:chartTrackingRefBased/>
  <w15:docId w15:val="{97CA807E-28A5-4D3B-A4DA-C245A5E4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914FB"/>
    <w:pPr>
      <w:ind w:left="12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4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14FB"/>
  </w:style>
  <w:style w:type="character" w:customStyle="1" w:styleId="BodyTextChar">
    <w:name w:val="Body Text Char"/>
    <w:basedOn w:val="DefaultParagraphFont"/>
    <w:link w:val="BodyText"/>
    <w:uiPriority w:val="1"/>
    <w:rsid w:val="006914F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9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Chitella</dc:creator>
  <cp:keywords/>
  <dc:description/>
  <cp:lastModifiedBy>user</cp:lastModifiedBy>
  <cp:revision>2</cp:revision>
  <dcterms:created xsi:type="dcterms:W3CDTF">2022-04-18T06:20:00Z</dcterms:created>
  <dcterms:modified xsi:type="dcterms:W3CDTF">2022-04-18T06:20:00Z</dcterms:modified>
</cp:coreProperties>
</file>