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EE0" w:rsidRDefault="00874EE0" w:rsidP="0067742F">
      <w:pPr>
        <w:pStyle w:val="1"/>
        <w:ind w:right="283"/>
      </w:pPr>
    </w:p>
    <w:p w:rsidR="000822AC" w:rsidRPr="00EE29B9" w:rsidRDefault="000822AC" w:rsidP="0067742F">
      <w:pPr>
        <w:pStyle w:val="1"/>
        <w:ind w:right="283"/>
      </w:pPr>
      <w:r w:rsidRPr="000822AC">
        <w:t>Sustaining effective physical protection regime</w:t>
      </w:r>
    </w:p>
    <w:p w:rsidR="000822AC" w:rsidRDefault="000822AC" w:rsidP="0067742F">
      <w:pPr>
        <w:pStyle w:val="Authornameandaffiliation"/>
        <w:ind w:right="283"/>
      </w:pPr>
    </w:p>
    <w:p w:rsidR="000822AC" w:rsidRDefault="000822AC" w:rsidP="0067742F">
      <w:pPr>
        <w:pStyle w:val="Authornameandaffiliation"/>
        <w:ind w:right="283"/>
      </w:pPr>
      <w:r>
        <w:t xml:space="preserve">KONSTANTIN DENISOV, DEPUTY DIRECTOR GENERAL FOR SECURITY </w:t>
      </w:r>
    </w:p>
    <w:p w:rsidR="000822AC" w:rsidRDefault="00844600" w:rsidP="0067742F">
      <w:pPr>
        <w:pStyle w:val="Authornameandaffiliation"/>
        <w:ind w:right="283"/>
      </w:pPr>
      <w:r>
        <w:t xml:space="preserve">The State Atomic Energy Corporation </w:t>
      </w:r>
      <w:proofErr w:type="spellStart"/>
      <w:r>
        <w:t>Rosatom</w:t>
      </w:r>
      <w:proofErr w:type="spellEnd"/>
    </w:p>
    <w:p w:rsidR="000822AC" w:rsidRDefault="000822AC" w:rsidP="0067742F">
      <w:pPr>
        <w:pStyle w:val="Authornameandaffiliation"/>
        <w:ind w:right="283"/>
      </w:pPr>
      <w:r>
        <w:t>Moscow, Russia</w:t>
      </w:r>
    </w:p>
    <w:p w:rsidR="000822AC" w:rsidRPr="000822AC" w:rsidRDefault="000822AC" w:rsidP="0067742F">
      <w:pPr>
        <w:pStyle w:val="Authornameandaffiliation"/>
        <w:ind w:right="283"/>
      </w:pPr>
      <w:r>
        <w:t xml:space="preserve">Email: </w:t>
      </w:r>
      <w:r w:rsidRPr="000822AC">
        <w:t>info@rosatom.ru</w:t>
      </w:r>
    </w:p>
    <w:p w:rsidR="000822AC" w:rsidRDefault="000822AC" w:rsidP="0067742F">
      <w:pPr>
        <w:pStyle w:val="Authornameandaffiliation"/>
        <w:ind w:right="283"/>
      </w:pPr>
    </w:p>
    <w:p w:rsidR="00844600" w:rsidRDefault="00844600" w:rsidP="0067742F">
      <w:pPr>
        <w:pStyle w:val="Authornameandaffiliation"/>
        <w:ind w:right="283"/>
      </w:pPr>
      <w:r>
        <w:t>RUSLAN BAYCHURIN</w:t>
      </w:r>
    </w:p>
    <w:p w:rsidR="00844600" w:rsidRDefault="00844600" w:rsidP="0067742F">
      <w:pPr>
        <w:pStyle w:val="Authornameandaffiliation"/>
        <w:ind w:right="283"/>
      </w:pPr>
      <w:r>
        <w:t xml:space="preserve">The State Atomic Energy Corporation </w:t>
      </w:r>
      <w:proofErr w:type="spellStart"/>
      <w:r>
        <w:t>Rosatom</w:t>
      </w:r>
      <w:proofErr w:type="spellEnd"/>
    </w:p>
    <w:p w:rsidR="00844600" w:rsidRDefault="00844600" w:rsidP="0067742F">
      <w:pPr>
        <w:pStyle w:val="Authornameandaffiliation"/>
        <w:ind w:right="283"/>
      </w:pPr>
      <w:r>
        <w:t>Moscow, Russia</w:t>
      </w:r>
    </w:p>
    <w:p w:rsidR="00844600" w:rsidRDefault="00844600" w:rsidP="0067742F">
      <w:pPr>
        <w:pStyle w:val="Authornameandaffiliation"/>
        <w:ind w:right="283"/>
      </w:pPr>
    </w:p>
    <w:p w:rsidR="00844600" w:rsidRDefault="00844600" w:rsidP="0067742F">
      <w:pPr>
        <w:pStyle w:val="Authornameandaffiliation"/>
        <w:ind w:right="283"/>
      </w:pPr>
      <w:r>
        <w:t>TAISIYA AFANASYEVA</w:t>
      </w:r>
    </w:p>
    <w:p w:rsidR="00844600" w:rsidRDefault="00844600" w:rsidP="0067742F">
      <w:pPr>
        <w:pStyle w:val="Authornameandaffiliation"/>
        <w:ind w:right="283"/>
      </w:pPr>
      <w:r>
        <w:t xml:space="preserve">The State Atomic Energy Corporation </w:t>
      </w:r>
      <w:proofErr w:type="spellStart"/>
      <w:r>
        <w:t>Rosatom</w:t>
      </w:r>
      <w:proofErr w:type="spellEnd"/>
    </w:p>
    <w:p w:rsidR="00844600" w:rsidRDefault="00844600" w:rsidP="0067742F">
      <w:pPr>
        <w:pStyle w:val="Authornameandaffiliation"/>
        <w:ind w:right="283"/>
      </w:pPr>
      <w:r>
        <w:t>Moscow, Russia</w:t>
      </w:r>
    </w:p>
    <w:p w:rsidR="00844600" w:rsidRDefault="00844600" w:rsidP="0067742F">
      <w:pPr>
        <w:pStyle w:val="Authornameandaffiliation"/>
        <w:ind w:right="283"/>
      </w:pPr>
    </w:p>
    <w:p w:rsidR="001105AC" w:rsidRDefault="001105AC" w:rsidP="0067742F">
      <w:pPr>
        <w:ind w:right="283"/>
        <w:rPr>
          <w:lang w:val="en-US"/>
        </w:rPr>
      </w:pPr>
    </w:p>
    <w:p w:rsidR="000822AC" w:rsidRPr="000822AC" w:rsidRDefault="000822AC" w:rsidP="0067742F">
      <w:pPr>
        <w:pStyle w:val="ab"/>
        <w:ind w:right="283" w:firstLine="567"/>
        <w:jc w:val="both"/>
        <w:rPr>
          <w:rFonts w:ascii="Times New Roman" w:hAnsi="Times New Roman"/>
          <w:sz w:val="20"/>
          <w:szCs w:val="20"/>
          <w:lang w:val="en-US"/>
        </w:rPr>
      </w:pPr>
      <w:proofErr w:type="gramStart"/>
      <w:r w:rsidRPr="000822AC">
        <w:rPr>
          <w:rFonts w:ascii="Times New Roman" w:hAnsi="Times New Roman"/>
          <w:sz w:val="20"/>
          <w:szCs w:val="20"/>
          <w:lang w:val="en-US"/>
        </w:rPr>
        <w:t>Russian Federation is a party to the Convention on Physical Protection of Nuclear Material and Nuclear Facilities and has been actively contributing to its universalization.</w:t>
      </w:r>
      <w:proofErr w:type="gramEnd"/>
      <w:r w:rsidRPr="000822AC">
        <w:rPr>
          <w:rFonts w:ascii="Times New Roman" w:hAnsi="Times New Roman"/>
          <w:sz w:val="20"/>
          <w:szCs w:val="20"/>
          <w:lang w:val="en-US"/>
        </w:rPr>
        <w:t xml:space="preserve"> </w:t>
      </w:r>
      <w:proofErr w:type="gramStart"/>
      <w:r w:rsidRPr="000822AC">
        <w:rPr>
          <w:rFonts w:ascii="Times New Roman" w:hAnsi="Times New Roman"/>
          <w:sz w:val="20"/>
          <w:szCs w:val="20"/>
          <w:lang w:val="en-US"/>
        </w:rPr>
        <w:t>Russia was one of the first countries to ratify the Amendment to the Convention and fully supports one of its fundamental provisions: the responsibility for the establishment, implementation and maintenance of a physical protection regime within a state rests entirely with that state.</w:t>
      </w:r>
      <w:proofErr w:type="gramEnd"/>
      <w:r w:rsidRPr="000822AC">
        <w:rPr>
          <w:rFonts w:ascii="Times New Roman" w:hAnsi="Times New Roman"/>
          <w:sz w:val="20"/>
          <w:szCs w:val="20"/>
          <w:lang w:val="en-US"/>
        </w:rPr>
        <w:t xml:space="preserve"> No state or international organization has a right to set its requirements to physical protection regime of another country.</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Fundamental principles stipulated by the amended Convention assist in development and sustaining effective physical protection of nuclear material and nuclear facilities for peaceful purposes internationally. We call upon the Secretariat to continue </w:t>
      </w:r>
      <w:r w:rsidR="00B72B89">
        <w:rPr>
          <w:rFonts w:ascii="Times New Roman" w:hAnsi="Times New Roman"/>
          <w:sz w:val="20"/>
          <w:szCs w:val="20"/>
          <w:lang w:val="en-US"/>
        </w:rPr>
        <w:t>facilitating</w:t>
      </w:r>
      <w:r w:rsidRPr="000822AC">
        <w:rPr>
          <w:rFonts w:ascii="Times New Roman" w:hAnsi="Times New Roman"/>
          <w:sz w:val="20"/>
          <w:szCs w:val="20"/>
          <w:lang w:val="en-US"/>
        </w:rPr>
        <w:t xml:space="preserve"> adherence to the Convention </w:t>
      </w:r>
      <w:r w:rsidR="00B72B89">
        <w:rPr>
          <w:rFonts w:ascii="Times New Roman" w:hAnsi="Times New Roman"/>
          <w:sz w:val="20"/>
          <w:szCs w:val="20"/>
          <w:lang w:val="en-US"/>
        </w:rPr>
        <w:t xml:space="preserve">and the Amendment </w:t>
      </w:r>
      <w:r w:rsidR="00C51361">
        <w:rPr>
          <w:rFonts w:ascii="Times New Roman" w:hAnsi="Times New Roman"/>
          <w:sz w:val="20"/>
          <w:szCs w:val="20"/>
          <w:lang w:val="en-US"/>
        </w:rPr>
        <w:t>in</w:t>
      </w:r>
      <w:r w:rsidRPr="000822AC">
        <w:rPr>
          <w:rFonts w:ascii="Times New Roman" w:hAnsi="Times New Roman"/>
          <w:sz w:val="20"/>
          <w:szCs w:val="20"/>
          <w:lang w:val="en-US"/>
        </w:rPr>
        <w:t xml:space="preserve"> the countries that have not joined it yet.</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In the Russian Federation, appropriate </w:t>
      </w:r>
      <w:r w:rsidR="00C51361">
        <w:rPr>
          <w:rFonts w:ascii="Times New Roman" w:hAnsi="Times New Roman"/>
          <w:sz w:val="20"/>
          <w:szCs w:val="20"/>
          <w:lang w:val="en-US"/>
        </w:rPr>
        <w:t xml:space="preserve">and effective </w:t>
      </w:r>
      <w:r w:rsidRPr="000822AC">
        <w:rPr>
          <w:rFonts w:ascii="Times New Roman" w:hAnsi="Times New Roman"/>
          <w:sz w:val="20"/>
          <w:szCs w:val="20"/>
          <w:lang w:val="en-US"/>
        </w:rPr>
        <w:t xml:space="preserve">physical protection regime is established and maintained. In our country, all aspects of the </w:t>
      </w:r>
      <w:r w:rsidR="00C51361">
        <w:rPr>
          <w:rFonts w:ascii="Times New Roman" w:hAnsi="Times New Roman"/>
          <w:sz w:val="20"/>
          <w:szCs w:val="20"/>
          <w:lang w:val="en-US"/>
        </w:rPr>
        <w:t xml:space="preserve">national </w:t>
      </w:r>
      <w:r w:rsidRPr="000822AC">
        <w:rPr>
          <w:rFonts w:ascii="Times New Roman" w:hAnsi="Times New Roman"/>
          <w:sz w:val="20"/>
          <w:szCs w:val="20"/>
          <w:lang w:val="en-US"/>
        </w:rPr>
        <w:t>physical protection regime during usage, storage and transpo</w:t>
      </w:r>
      <w:r w:rsidR="00C51361">
        <w:rPr>
          <w:rFonts w:ascii="Times New Roman" w:hAnsi="Times New Roman"/>
          <w:sz w:val="20"/>
          <w:szCs w:val="20"/>
          <w:lang w:val="en-US"/>
        </w:rPr>
        <w:t xml:space="preserve">rtation of nuclear material </w:t>
      </w:r>
      <w:proofErr w:type="gramStart"/>
      <w:r w:rsidR="00C51361">
        <w:rPr>
          <w:rFonts w:ascii="Times New Roman" w:hAnsi="Times New Roman"/>
          <w:sz w:val="20"/>
          <w:szCs w:val="20"/>
          <w:lang w:val="en-US"/>
        </w:rPr>
        <w:t xml:space="preserve">are </w:t>
      </w:r>
      <w:r w:rsidRPr="000822AC">
        <w:rPr>
          <w:rFonts w:ascii="Times New Roman" w:hAnsi="Times New Roman"/>
          <w:sz w:val="20"/>
          <w:szCs w:val="20"/>
          <w:lang w:val="en-US"/>
        </w:rPr>
        <w:t>elaborated</w:t>
      </w:r>
      <w:proofErr w:type="gramEnd"/>
      <w:r w:rsidRPr="000822AC">
        <w:rPr>
          <w:rFonts w:ascii="Times New Roman" w:hAnsi="Times New Roman"/>
          <w:sz w:val="20"/>
          <w:szCs w:val="20"/>
          <w:lang w:val="en-US"/>
        </w:rPr>
        <w:t xml:space="preserve">. </w:t>
      </w:r>
      <w:r w:rsidR="00C51361">
        <w:rPr>
          <w:rFonts w:ascii="Times New Roman" w:hAnsi="Times New Roman"/>
          <w:sz w:val="20"/>
          <w:szCs w:val="20"/>
          <w:lang w:val="en-US"/>
        </w:rPr>
        <w:t xml:space="preserve">National </w:t>
      </w:r>
      <w:r w:rsidRPr="000822AC">
        <w:rPr>
          <w:rFonts w:ascii="Times New Roman" w:hAnsi="Times New Roman"/>
          <w:sz w:val="20"/>
          <w:szCs w:val="20"/>
          <w:lang w:val="en-US"/>
        </w:rPr>
        <w:t xml:space="preserve">physical protection regime </w:t>
      </w:r>
      <w:r w:rsidR="00C51361">
        <w:rPr>
          <w:rFonts w:ascii="Times New Roman" w:hAnsi="Times New Roman"/>
          <w:sz w:val="20"/>
          <w:szCs w:val="20"/>
          <w:lang w:val="en-US"/>
        </w:rPr>
        <w:t xml:space="preserve">in the Russian Federation </w:t>
      </w:r>
      <w:proofErr w:type="gramStart"/>
      <w:r w:rsidRPr="000822AC">
        <w:rPr>
          <w:rFonts w:ascii="Times New Roman" w:hAnsi="Times New Roman"/>
          <w:sz w:val="20"/>
          <w:szCs w:val="20"/>
          <w:lang w:val="en-US"/>
        </w:rPr>
        <w:t>is based</w:t>
      </w:r>
      <w:proofErr w:type="gramEnd"/>
      <w:r w:rsidRPr="000822AC">
        <w:rPr>
          <w:rFonts w:ascii="Times New Roman" w:hAnsi="Times New Roman"/>
          <w:sz w:val="20"/>
          <w:szCs w:val="20"/>
          <w:lang w:val="en-US"/>
        </w:rPr>
        <w:t xml:space="preserve"> on fundamental principles stipulated in the Amendment:</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Independent competent authority is established and provided with adequate authority, competence and resources - Federal Environmental, Industrial and Nuclear Supervision Service (</w:t>
      </w:r>
      <w:proofErr w:type="spellStart"/>
      <w:r w:rsidRPr="000822AC">
        <w:rPr>
          <w:rFonts w:ascii="Times New Roman" w:hAnsi="Times New Roman"/>
          <w:sz w:val="20"/>
          <w:szCs w:val="20"/>
          <w:lang w:val="en-US"/>
        </w:rPr>
        <w:t>Rostechnadzor</w:t>
      </w:r>
      <w:proofErr w:type="spellEnd"/>
      <w:r w:rsidRPr="000822AC">
        <w:rPr>
          <w:rFonts w:ascii="Times New Roman" w:hAnsi="Times New Roman"/>
          <w:sz w:val="20"/>
          <w:szCs w:val="20"/>
          <w:lang w:val="en-US"/>
        </w:rPr>
        <w:t>);</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Legislative and regulatory framework to govern physical protection is established: relevant laws and regulations are adopted, applicable physical protection requirements are developed;</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Coordination system between governmental institutions and nuclear facilities is organized what allows for fast and effective response to nuclear security events;</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It is stipulated by law that the prime responsibility for the implementation of physical protection of nuclear material or of nuclear facilities rests with the holders of the relevant licenses; licensing system is established;</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Nuclear security culture is maintained on a high level;</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Process of threat assessment for each nuclear facility is defined;</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Requirements for physical protection of different categories of nuclear materials are based on graded approach;</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proofErr w:type="spellStart"/>
      <w:r w:rsidRPr="000822AC">
        <w:rPr>
          <w:rFonts w:ascii="Times New Roman" w:hAnsi="Times New Roman"/>
          <w:sz w:val="20"/>
          <w:szCs w:val="20"/>
          <w:lang w:val="en-US"/>
        </w:rPr>
        <w:t>Defence</w:t>
      </w:r>
      <w:proofErr w:type="spellEnd"/>
      <w:r w:rsidRPr="000822AC">
        <w:rPr>
          <w:rFonts w:ascii="Times New Roman" w:hAnsi="Times New Roman"/>
          <w:sz w:val="20"/>
          <w:szCs w:val="20"/>
          <w:lang w:val="en-US"/>
        </w:rPr>
        <w:t xml:space="preserve"> in depth is established at all nuclear facilities;</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 xml:space="preserve">Quality assurance </w:t>
      </w:r>
      <w:proofErr w:type="spellStart"/>
      <w:r w:rsidRPr="000822AC">
        <w:rPr>
          <w:rFonts w:ascii="Times New Roman" w:hAnsi="Times New Roman"/>
          <w:sz w:val="20"/>
          <w:szCs w:val="20"/>
          <w:lang w:val="en-US"/>
        </w:rPr>
        <w:t>programme</w:t>
      </w:r>
      <w:proofErr w:type="spellEnd"/>
      <w:r w:rsidRPr="000822AC">
        <w:rPr>
          <w:rFonts w:ascii="Times New Roman" w:hAnsi="Times New Roman"/>
          <w:sz w:val="20"/>
          <w:szCs w:val="20"/>
          <w:lang w:val="en-US"/>
        </w:rPr>
        <w:t xml:space="preserve"> and personnel training </w:t>
      </w:r>
      <w:proofErr w:type="spellStart"/>
      <w:r w:rsidRPr="000822AC">
        <w:rPr>
          <w:rFonts w:ascii="Times New Roman" w:hAnsi="Times New Roman"/>
          <w:sz w:val="20"/>
          <w:szCs w:val="20"/>
          <w:lang w:val="en-US"/>
        </w:rPr>
        <w:t>programme</w:t>
      </w:r>
      <w:proofErr w:type="spellEnd"/>
      <w:r w:rsidRPr="000822AC">
        <w:rPr>
          <w:rFonts w:ascii="Times New Roman" w:hAnsi="Times New Roman"/>
          <w:sz w:val="20"/>
          <w:szCs w:val="20"/>
          <w:lang w:val="en-US"/>
        </w:rPr>
        <w:t xml:space="preserve"> are established and implemented; </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Contingency (emergency) plans are developed and regularly updated;</w:t>
      </w:r>
    </w:p>
    <w:p w:rsidR="000822AC" w:rsidRPr="000822AC" w:rsidRDefault="000822AC" w:rsidP="0067742F">
      <w:pPr>
        <w:pStyle w:val="ab"/>
        <w:numPr>
          <w:ilvl w:val="0"/>
          <w:numId w:val="5"/>
        </w:numPr>
        <w:ind w:left="709" w:right="283"/>
        <w:jc w:val="both"/>
        <w:rPr>
          <w:rFonts w:ascii="Times New Roman" w:hAnsi="Times New Roman"/>
          <w:sz w:val="20"/>
          <w:szCs w:val="20"/>
          <w:lang w:val="en-US"/>
        </w:rPr>
      </w:pPr>
      <w:r w:rsidRPr="000822AC">
        <w:rPr>
          <w:rFonts w:ascii="Times New Roman" w:hAnsi="Times New Roman"/>
          <w:sz w:val="20"/>
          <w:szCs w:val="20"/>
          <w:lang w:val="en-US"/>
        </w:rPr>
        <w:t>System of protection of the information confidentiality is developed and implemented.</w:t>
      </w:r>
    </w:p>
    <w:p w:rsidR="00874EE0"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Establishment of physical protection regimes in countries embarking on nuclear energy </w:t>
      </w:r>
      <w:proofErr w:type="spellStart"/>
      <w:r w:rsidRPr="000822AC">
        <w:rPr>
          <w:rFonts w:ascii="Times New Roman" w:hAnsi="Times New Roman"/>
          <w:sz w:val="20"/>
          <w:szCs w:val="20"/>
          <w:lang w:val="en-US"/>
        </w:rPr>
        <w:t>programmes</w:t>
      </w:r>
      <w:proofErr w:type="spellEnd"/>
      <w:r w:rsidRPr="000822AC">
        <w:rPr>
          <w:rFonts w:ascii="Times New Roman" w:hAnsi="Times New Roman"/>
          <w:sz w:val="20"/>
          <w:szCs w:val="20"/>
          <w:lang w:val="en-US"/>
        </w:rPr>
        <w:t xml:space="preserve"> require</w:t>
      </w:r>
      <w:r w:rsidR="00C51361">
        <w:rPr>
          <w:rFonts w:ascii="Times New Roman" w:hAnsi="Times New Roman"/>
          <w:sz w:val="20"/>
          <w:szCs w:val="20"/>
          <w:lang w:val="en-US"/>
        </w:rPr>
        <w:t>s</w:t>
      </w:r>
      <w:r w:rsidRPr="000822AC">
        <w:rPr>
          <w:rFonts w:ascii="Times New Roman" w:hAnsi="Times New Roman"/>
          <w:sz w:val="20"/>
          <w:szCs w:val="20"/>
          <w:lang w:val="en-US"/>
        </w:rPr>
        <w:t xml:space="preserve"> special attention. We highlight that the IAEA plays a central role in coordination of international cooperation and providing technical support to its Member States, upon their requests, in building their national physical protection regimes. </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Russian experts actively participate in the IAEA activities, including:</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Nuclear Security Guidance Committee (NSGC);</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Advisory Group on Nuclear Security (</w:t>
      </w:r>
      <w:proofErr w:type="spellStart"/>
      <w:r w:rsidRPr="000822AC">
        <w:rPr>
          <w:rFonts w:ascii="Times New Roman" w:hAnsi="Times New Roman"/>
          <w:sz w:val="20"/>
          <w:szCs w:val="20"/>
          <w:lang w:val="en-US"/>
        </w:rPr>
        <w:t>AdSec</w:t>
      </w:r>
      <w:proofErr w:type="spellEnd"/>
      <w:r w:rsidRPr="000822AC">
        <w:rPr>
          <w:rFonts w:ascii="Times New Roman" w:hAnsi="Times New Roman"/>
          <w:sz w:val="20"/>
          <w:szCs w:val="20"/>
          <w:lang w:val="en-US"/>
        </w:rPr>
        <w:t xml:space="preserve">), International Nuclear Security Network (INSEN), International Network of Nuclear Security Support </w:t>
      </w:r>
      <w:proofErr w:type="spellStart"/>
      <w:r w:rsidRPr="000822AC">
        <w:rPr>
          <w:rFonts w:ascii="Times New Roman" w:hAnsi="Times New Roman"/>
          <w:sz w:val="20"/>
          <w:szCs w:val="20"/>
          <w:lang w:val="en-US"/>
        </w:rPr>
        <w:t>Centres</w:t>
      </w:r>
      <w:proofErr w:type="spellEnd"/>
      <w:r w:rsidRPr="000822AC">
        <w:rPr>
          <w:rFonts w:ascii="Times New Roman" w:hAnsi="Times New Roman"/>
          <w:sz w:val="20"/>
          <w:szCs w:val="20"/>
          <w:lang w:val="en-US"/>
        </w:rPr>
        <w:t xml:space="preserve"> (NSSC);</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The IAEA Missions (IPPAS, INSSP);</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Working groups</w:t>
      </w:r>
      <w:r w:rsidR="00884A2D">
        <w:rPr>
          <w:rFonts w:ascii="Times New Roman" w:hAnsi="Times New Roman"/>
          <w:sz w:val="20"/>
          <w:szCs w:val="20"/>
          <w:lang w:val="en-US"/>
        </w:rPr>
        <w:t>, including</w:t>
      </w:r>
      <w:r w:rsidRPr="000822AC">
        <w:rPr>
          <w:rFonts w:ascii="Times New Roman" w:hAnsi="Times New Roman"/>
          <w:sz w:val="20"/>
          <w:szCs w:val="20"/>
          <w:lang w:val="en-US"/>
        </w:rPr>
        <w:t xml:space="preserve"> </w:t>
      </w:r>
      <w:r w:rsidR="00884A2D">
        <w:rPr>
          <w:rFonts w:ascii="Times New Roman" w:hAnsi="Times New Roman"/>
          <w:sz w:val="20"/>
          <w:szCs w:val="20"/>
          <w:lang w:val="en-US"/>
        </w:rPr>
        <w:t xml:space="preserve">working groups on </w:t>
      </w:r>
      <w:r w:rsidRPr="000822AC">
        <w:rPr>
          <w:rFonts w:ascii="Times New Roman" w:hAnsi="Times New Roman"/>
          <w:sz w:val="20"/>
          <w:szCs w:val="20"/>
          <w:lang w:val="en-US"/>
        </w:rPr>
        <w:t>development of the IAEA recommendation documents;</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Technical, consultancy and expert meetings, coordinated research projects;</w:t>
      </w:r>
    </w:p>
    <w:p w:rsidR="000822AC" w:rsidRPr="000822AC" w:rsidRDefault="000822AC" w:rsidP="0067742F">
      <w:pPr>
        <w:pStyle w:val="ab"/>
        <w:numPr>
          <w:ilvl w:val="0"/>
          <w:numId w:val="4"/>
        </w:numPr>
        <w:ind w:left="709" w:right="283"/>
        <w:jc w:val="both"/>
        <w:rPr>
          <w:rFonts w:ascii="Times New Roman" w:hAnsi="Times New Roman"/>
          <w:sz w:val="20"/>
          <w:szCs w:val="20"/>
          <w:lang w:val="en-US"/>
        </w:rPr>
      </w:pPr>
      <w:r w:rsidRPr="000822AC">
        <w:rPr>
          <w:rFonts w:ascii="Times New Roman" w:hAnsi="Times New Roman"/>
          <w:sz w:val="20"/>
          <w:szCs w:val="20"/>
          <w:lang w:val="en-US"/>
        </w:rPr>
        <w:t>Conferences, workshops, training courses.</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lastRenderedPageBreak/>
        <w:t>From the perspective of the State Corporation ROSATOM, key areas of international cooperation include:</w:t>
      </w:r>
    </w:p>
    <w:p w:rsidR="000822AC" w:rsidRPr="000822AC" w:rsidRDefault="000822AC" w:rsidP="0067742F">
      <w:pPr>
        <w:pStyle w:val="ab"/>
        <w:numPr>
          <w:ilvl w:val="0"/>
          <w:numId w:val="3"/>
        </w:numPr>
        <w:ind w:left="709" w:right="283"/>
        <w:jc w:val="both"/>
        <w:rPr>
          <w:rFonts w:ascii="Times New Roman" w:hAnsi="Times New Roman"/>
          <w:sz w:val="20"/>
          <w:szCs w:val="20"/>
          <w:lang w:val="en-US"/>
        </w:rPr>
      </w:pPr>
      <w:r w:rsidRPr="000822AC">
        <w:rPr>
          <w:rFonts w:ascii="Times New Roman" w:hAnsi="Times New Roman"/>
          <w:sz w:val="20"/>
          <w:szCs w:val="20"/>
          <w:lang w:val="en-US"/>
        </w:rPr>
        <w:t xml:space="preserve">Improvement of the quality of training in the field of </w:t>
      </w:r>
      <w:r w:rsidR="00884A2D">
        <w:rPr>
          <w:rFonts w:ascii="Times New Roman" w:hAnsi="Times New Roman"/>
          <w:sz w:val="20"/>
          <w:szCs w:val="20"/>
          <w:lang w:val="en-US"/>
        </w:rPr>
        <w:t>nuclear security</w:t>
      </w:r>
      <w:r w:rsidRPr="000822AC">
        <w:rPr>
          <w:rFonts w:ascii="Times New Roman" w:hAnsi="Times New Roman"/>
          <w:sz w:val="20"/>
          <w:szCs w:val="20"/>
          <w:lang w:val="en-US"/>
        </w:rPr>
        <w:t>;</w:t>
      </w:r>
    </w:p>
    <w:p w:rsidR="000822AC" w:rsidRPr="000822AC" w:rsidRDefault="000822AC" w:rsidP="0067742F">
      <w:pPr>
        <w:pStyle w:val="ab"/>
        <w:numPr>
          <w:ilvl w:val="0"/>
          <w:numId w:val="3"/>
        </w:numPr>
        <w:ind w:left="709" w:right="283"/>
        <w:jc w:val="both"/>
        <w:rPr>
          <w:rFonts w:ascii="Times New Roman" w:hAnsi="Times New Roman"/>
          <w:sz w:val="20"/>
          <w:szCs w:val="20"/>
          <w:lang w:val="en-US"/>
        </w:rPr>
      </w:pPr>
      <w:r w:rsidRPr="000822AC">
        <w:rPr>
          <w:rFonts w:ascii="Times New Roman" w:hAnsi="Times New Roman"/>
          <w:sz w:val="20"/>
          <w:szCs w:val="20"/>
          <w:lang w:val="en-US"/>
        </w:rPr>
        <w:t>Assistance in the development of nuclear infrastructure to newcomer countries, including the field of nuclear security and physical protection;</w:t>
      </w:r>
    </w:p>
    <w:p w:rsidR="000822AC" w:rsidRDefault="000822AC" w:rsidP="0067742F">
      <w:pPr>
        <w:pStyle w:val="ab"/>
        <w:numPr>
          <w:ilvl w:val="0"/>
          <w:numId w:val="3"/>
        </w:numPr>
        <w:ind w:left="709" w:right="283"/>
        <w:jc w:val="both"/>
        <w:rPr>
          <w:rFonts w:ascii="Times New Roman" w:hAnsi="Times New Roman"/>
          <w:sz w:val="20"/>
          <w:szCs w:val="20"/>
          <w:lang w:val="en-US"/>
        </w:rPr>
      </w:pPr>
      <w:r w:rsidRPr="000822AC">
        <w:rPr>
          <w:rFonts w:ascii="Times New Roman" w:hAnsi="Times New Roman"/>
          <w:sz w:val="20"/>
          <w:szCs w:val="20"/>
          <w:lang w:val="en-US"/>
        </w:rPr>
        <w:t>Provision of integrated proposal of nuclear facility construction including physical protection system</w:t>
      </w:r>
      <w:r w:rsidR="00874EE0" w:rsidRPr="00874EE0">
        <w:rPr>
          <w:rFonts w:ascii="Times New Roman" w:hAnsi="Times New Roman"/>
          <w:sz w:val="20"/>
          <w:szCs w:val="20"/>
          <w:lang w:val="en-US"/>
        </w:rPr>
        <w:t xml:space="preserve"> </w:t>
      </w:r>
      <w:r w:rsidR="00874EE0" w:rsidRPr="000822AC">
        <w:rPr>
          <w:rFonts w:ascii="Times New Roman" w:hAnsi="Times New Roman"/>
          <w:sz w:val="20"/>
          <w:szCs w:val="20"/>
          <w:lang w:val="en-US"/>
        </w:rPr>
        <w:t>to foreign partners</w:t>
      </w:r>
      <w:r w:rsidRPr="000822AC">
        <w:rPr>
          <w:rFonts w:ascii="Times New Roman" w:hAnsi="Times New Roman"/>
          <w:sz w:val="20"/>
          <w:szCs w:val="20"/>
          <w:lang w:val="en-US"/>
        </w:rPr>
        <w:t>.</w:t>
      </w:r>
      <w:r w:rsidR="00874EE0">
        <w:rPr>
          <w:rFonts w:ascii="Times New Roman" w:hAnsi="Times New Roman"/>
          <w:sz w:val="20"/>
          <w:szCs w:val="20"/>
          <w:lang w:val="en-US"/>
        </w:rPr>
        <w:t xml:space="preserve"> </w:t>
      </w:r>
    </w:p>
    <w:p w:rsidR="00E25630" w:rsidRPr="000822AC" w:rsidRDefault="00E25630"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As a responsible vendor of nuclear technologies for newcomer countries, the State Corporation ROSATOM </w:t>
      </w:r>
      <w:r w:rsidR="00884A2D">
        <w:rPr>
          <w:rFonts w:ascii="Times New Roman" w:hAnsi="Times New Roman"/>
          <w:sz w:val="20"/>
          <w:szCs w:val="20"/>
          <w:lang w:val="en-US"/>
        </w:rPr>
        <w:t>offers</w:t>
      </w:r>
      <w:r w:rsidRPr="000822AC">
        <w:rPr>
          <w:rFonts w:ascii="Times New Roman" w:hAnsi="Times New Roman"/>
          <w:sz w:val="20"/>
          <w:szCs w:val="20"/>
          <w:lang w:val="en-US"/>
        </w:rPr>
        <w:t xml:space="preserve"> organizational and methodological support in </w:t>
      </w:r>
      <w:r w:rsidR="00884A2D">
        <w:rPr>
          <w:rFonts w:ascii="Times New Roman" w:hAnsi="Times New Roman"/>
          <w:sz w:val="20"/>
          <w:szCs w:val="20"/>
          <w:lang w:val="en-US"/>
        </w:rPr>
        <w:t>assessment and</w:t>
      </w:r>
      <w:r w:rsidRPr="000822AC">
        <w:rPr>
          <w:rFonts w:ascii="Times New Roman" w:hAnsi="Times New Roman"/>
          <w:sz w:val="20"/>
          <w:szCs w:val="20"/>
          <w:lang w:val="en-US"/>
        </w:rPr>
        <w:t xml:space="preserve"> development of all elements of nuclear infrastructure in these countries, including the field of nuclear security and physical protection.</w:t>
      </w:r>
      <w:r w:rsidR="00884A2D" w:rsidRPr="00884A2D">
        <w:rPr>
          <w:rFonts w:ascii="Times New Roman" w:hAnsi="Times New Roman"/>
          <w:sz w:val="20"/>
          <w:szCs w:val="20"/>
          <w:lang w:val="en-US"/>
        </w:rPr>
        <w:t xml:space="preserve"> </w:t>
      </w:r>
      <w:r w:rsidR="00884A2D" w:rsidRPr="000822AC">
        <w:rPr>
          <w:rFonts w:ascii="Times New Roman" w:hAnsi="Times New Roman"/>
          <w:sz w:val="20"/>
          <w:szCs w:val="20"/>
          <w:lang w:val="en-US"/>
        </w:rPr>
        <w:t>The State Corporation ROSATOM</w:t>
      </w:r>
      <w:r w:rsidR="00884A2D">
        <w:rPr>
          <w:rFonts w:ascii="Times New Roman" w:hAnsi="Times New Roman"/>
          <w:sz w:val="20"/>
          <w:szCs w:val="20"/>
          <w:lang w:val="en-US"/>
        </w:rPr>
        <w:t xml:space="preserve"> provides </w:t>
      </w:r>
      <w:r w:rsidR="002D1A45">
        <w:rPr>
          <w:rFonts w:ascii="Times New Roman" w:hAnsi="Times New Roman"/>
          <w:sz w:val="20"/>
          <w:szCs w:val="20"/>
          <w:lang w:val="en-US"/>
        </w:rPr>
        <w:t xml:space="preserve">assistance </w:t>
      </w:r>
      <w:r w:rsidR="00502005">
        <w:rPr>
          <w:rFonts w:ascii="Times New Roman" w:hAnsi="Times New Roman"/>
          <w:sz w:val="20"/>
          <w:szCs w:val="20"/>
          <w:lang w:val="en-US"/>
        </w:rPr>
        <w:t xml:space="preserve">in the field of nuclear security </w:t>
      </w:r>
      <w:r w:rsidR="002D1A45">
        <w:rPr>
          <w:rFonts w:ascii="Times New Roman" w:hAnsi="Times New Roman"/>
          <w:sz w:val="20"/>
          <w:szCs w:val="20"/>
          <w:lang w:val="en-US"/>
        </w:rPr>
        <w:t xml:space="preserve">to </w:t>
      </w:r>
      <w:r w:rsidR="002D1A45" w:rsidRPr="002D1A45">
        <w:rPr>
          <w:rFonts w:ascii="Times New Roman" w:hAnsi="Times New Roman"/>
          <w:sz w:val="20"/>
          <w:szCs w:val="20"/>
          <w:lang w:val="en-US"/>
        </w:rPr>
        <w:t xml:space="preserve">embarking countries </w:t>
      </w:r>
      <w:r w:rsidR="002D1A45">
        <w:rPr>
          <w:rFonts w:ascii="Times New Roman" w:hAnsi="Times New Roman"/>
          <w:sz w:val="20"/>
          <w:szCs w:val="20"/>
          <w:lang w:val="en-US"/>
        </w:rPr>
        <w:t>upon their request through active participation of Russian experts in the IAEA activities, as well as</w:t>
      </w:r>
      <w:r w:rsidR="00502005">
        <w:rPr>
          <w:rFonts w:ascii="Times New Roman" w:hAnsi="Times New Roman"/>
          <w:sz w:val="20"/>
          <w:szCs w:val="20"/>
          <w:lang w:val="en-US"/>
        </w:rPr>
        <w:t xml:space="preserve"> through</w:t>
      </w:r>
      <w:r w:rsidR="002D1A45">
        <w:rPr>
          <w:rFonts w:ascii="Times New Roman" w:hAnsi="Times New Roman"/>
          <w:sz w:val="20"/>
          <w:szCs w:val="20"/>
          <w:lang w:val="en-US"/>
        </w:rPr>
        <w:t xml:space="preserve"> coordination of the project implementation financed by Russian voluntary contribution to the IAEA Nuclear </w:t>
      </w:r>
      <w:r w:rsidR="00502005">
        <w:rPr>
          <w:rFonts w:ascii="Times New Roman" w:hAnsi="Times New Roman"/>
          <w:sz w:val="20"/>
          <w:szCs w:val="20"/>
          <w:lang w:val="en-US"/>
        </w:rPr>
        <w:t>Security Fund.</w:t>
      </w:r>
      <w:r w:rsidR="002D1A45">
        <w:rPr>
          <w:rFonts w:ascii="Times New Roman" w:hAnsi="Times New Roman"/>
          <w:sz w:val="20"/>
          <w:szCs w:val="20"/>
          <w:lang w:val="en-US"/>
        </w:rPr>
        <w:t xml:space="preserve"> </w:t>
      </w:r>
      <w:r w:rsidRPr="000822AC">
        <w:rPr>
          <w:rFonts w:ascii="Times New Roman" w:hAnsi="Times New Roman"/>
          <w:sz w:val="20"/>
          <w:szCs w:val="20"/>
          <w:lang w:val="en-US"/>
        </w:rPr>
        <w:t xml:space="preserve">The State Corporation ROSATOM has necessary experience and methodological approach in order to </w:t>
      </w:r>
      <w:r w:rsidR="002D1A45">
        <w:rPr>
          <w:rFonts w:ascii="Times New Roman" w:hAnsi="Times New Roman"/>
          <w:sz w:val="20"/>
          <w:szCs w:val="20"/>
          <w:lang w:val="en-US"/>
        </w:rPr>
        <w:t>assist</w:t>
      </w:r>
      <w:r w:rsidRPr="000822AC">
        <w:rPr>
          <w:rFonts w:ascii="Times New Roman" w:hAnsi="Times New Roman"/>
          <w:sz w:val="20"/>
          <w:szCs w:val="20"/>
          <w:lang w:val="en-US"/>
        </w:rPr>
        <w:t xml:space="preserve"> newcomer countries with assessment of </w:t>
      </w:r>
      <w:r w:rsidR="00502005">
        <w:rPr>
          <w:rFonts w:ascii="Times New Roman" w:hAnsi="Times New Roman"/>
          <w:sz w:val="20"/>
          <w:szCs w:val="20"/>
          <w:lang w:val="en-US"/>
        </w:rPr>
        <w:t>their</w:t>
      </w:r>
      <w:r w:rsidRPr="000822AC">
        <w:rPr>
          <w:rFonts w:ascii="Times New Roman" w:hAnsi="Times New Roman"/>
          <w:sz w:val="20"/>
          <w:szCs w:val="20"/>
          <w:lang w:val="en-US"/>
        </w:rPr>
        <w:t xml:space="preserve"> </w:t>
      </w:r>
      <w:r w:rsidR="00502005">
        <w:rPr>
          <w:rFonts w:ascii="Times New Roman" w:hAnsi="Times New Roman"/>
          <w:sz w:val="20"/>
          <w:szCs w:val="20"/>
          <w:lang w:val="en-US"/>
        </w:rPr>
        <w:t>national</w:t>
      </w:r>
      <w:r w:rsidRPr="000822AC">
        <w:rPr>
          <w:rFonts w:ascii="Times New Roman" w:hAnsi="Times New Roman"/>
          <w:sz w:val="20"/>
          <w:szCs w:val="20"/>
          <w:lang w:val="en-US"/>
        </w:rPr>
        <w:t xml:space="preserve"> physical protection regime, as well as development of the required legal </w:t>
      </w:r>
      <w:r w:rsidR="00884A2D">
        <w:rPr>
          <w:rFonts w:ascii="Times New Roman" w:hAnsi="Times New Roman"/>
          <w:sz w:val="20"/>
          <w:szCs w:val="20"/>
          <w:lang w:val="en-US"/>
        </w:rPr>
        <w:t xml:space="preserve">and regulatory </w:t>
      </w:r>
      <w:r w:rsidRPr="000822AC">
        <w:rPr>
          <w:rFonts w:ascii="Times New Roman" w:hAnsi="Times New Roman"/>
          <w:sz w:val="20"/>
          <w:szCs w:val="20"/>
          <w:lang w:val="en-US"/>
        </w:rPr>
        <w:t xml:space="preserve">framework, personnel training and conducting other </w:t>
      </w:r>
      <w:r w:rsidR="00884A2D">
        <w:rPr>
          <w:rFonts w:ascii="Times New Roman" w:hAnsi="Times New Roman"/>
          <w:sz w:val="20"/>
          <w:szCs w:val="20"/>
          <w:lang w:val="en-US"/>
        </w:rPr>
        <w:t>activities</w:t>
      </w:r>
      <w:r w:rsidRPr="000822AC">
        <w:rPr>
          <w:rFonts w:ascii="Times New Roman" w:hAnsi="Times New Roman"/>
          <w:sz w:val="20"/>
          <w:szCs w:val="20"/>
          <w:lang w:val="en-US"/>
        </w:rPr>
        <w:t xml:space="preserve"> that are crucial for establishing and maintaining of physical protection regime. </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The State Corporation ROSATOM possesses many years of experience in capacity building and professional training in the field of nuclear security and physical protection. </w:t>
      </w:r>
      <w:proofErr w:type="spellStart"/>
      <w:r w:rsidRPr="000822AC">
        <w:rPr>
          <w:rFonts w:ascii="Times New Roman" w:hAnsi="Times New Roman"/>
          <w:sz w:val="20"/>
          <w:szCs w:val="20"/>
          <w:lang w:val="en-US"/>
        </w:rPr>
        <w:t>Rosatom</w:t>
      </w:r>
      <w:proofErr w:type="spellEnd"/>
      <w:r w:rsidRPr="000822AC">
        <w:rPr>
          <w:rFonts w:ascii="Times New Roman" w:hAnsi="Times New Roman"/>
          <w:sz w:val="20"/>
          <w:szCs w:val="20"/>
          <w:lang w:val="en-US"/>
        </w:rPr>
        <w:t xml:space="preserve"> Technical Academy extensively cooperate with the IAEA on human resource development in the field of nuclear security and assistance to newcomer countries in terms of training courses and workshops. </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Training </w:t>
      </w:r>
      <w:proofErr w:type="spellStart"/>
      <w:r w:rsidRPr="000822AC">
        <w:rPr>
          <w:rFonts w:ascii="Times New Roman" w:hAnsi="Times New Roman"/>
          <w:sz w:val="20"/>
          <w:szCs w:val="20"/>
          <w:lang w:val="en-US"/>
        </w:rPr>
        <w:t>programmes</w:t>
      </w:r>
      <w:proofErr w:type="spellEnd"/>
      <w:r w:rsidRPr="000822AC">
        <w:rPr>
          <w:rFonts w:ascii="Times New Roman" w:hAnsi="Times New Roman"/>
          <w:sz w:val="20"/>
          <w:szCs w:val="20"/>
          <w:lang w:val="en-US"/>
        </w:rPr>
        <w:t xml:space="preserve"> and training materials </w:t>
      </w:r>
      <w:proofErr w:type="gramStart"/>
      <w:r w:rsidRPr="000822AC">
        <w:rPr>
          <w:rFonts w:ascii="Times New Roman" w:hAnsi="Times New Roman"/>
          <w:sz w:val="20"/>
          <w:szCs w:val="20"/>
          <w:lang w:val="en-US"/>
        </w:rPr>
        <w:t>are based</w:t>
      </w:r>
      <w:proofErr w:type="gramEnd"/>
      <w:r w:rsidRPr="000822AC">
        <w:rPr>
          <w:rFonts w:ascii="Times New Roman" w:hAnsi="Times New Roman"/>
          <w:sz w:val="20"/>
          <w:szCs w:val="20"/>
          <w:lang w:val="en-US"/>
        </w:rPr>
        <w:t xml:space="preserve"> on a systematic approach to training, requirements of the Convention on the Physical Protection of Nuclear Material and its Amendment, the IAEA recommendations in the field of nuclear security and Russian extensive experience in the field. </w:t>
      </w:r>
      <w:r w:rsidR="00874EE0">
        <w:rPr>
          <w:rFonts w:ascii="Times New Roman" w:hAnsi="Times New Roman"/>
          <w:sz w:val="20"/>
          <w:szCs w:val="20"/>
          <w:lang w:val="en-US"/>
        </w:rPr>
        <w:t>A</w:t>
      </w:r>
      <w:r w:rsidRPr="000822AC">
        <w:rPr>
          <w:rFonts w:ascii="Times New Roman" w:hAnsi="Times New Roman"/>
          <w:sz w:val="20"/>
          <w:szCs w:val="20"/>
          <w:lang w:val="en-US"/>
        </w:rPr>
        <w:t xml:space="preserve">dvanced training base of </w:t>
      </w:r>
      <w:proofErr w:type="spellStart"/>
      <w:r w:rsidRPr="000822AC">
        <w:rPr>
          <w:rFonts w:ascii="Times New Roman" w:hAnsi="Times New Roman"/>
          <w:sz w:val="20"/>
          <w:szCs w:val="20"/>
          <w:lang w:val="en-US"/>
        </w:rPr>
        <w:t>Rosatom</w:t>
      </w:r>
      <w:proofErr w:type="spellEnd"/>
      <w:r w:rsidRPr="000822AC">
        <w:rPr>
          <w:rFonts w:ascii="Times New Roman" w:hAnsi="Times New Roman"/>
          <w:sz w:val="20"/>
          <w:szCs w:val="20"/>
          <w:lang w:val="en-US"/>
        </w:rPr>
        <w:t xml:space="preserve"> Technical Academy allows training on a wide range of </w:t>
      </w:r>
      <w:r w:rsidR="00874EE0">
        <w:rPr>
          <w:rFonts w:ascii="Times New Roman" w:hAnsi="Times New Roman"/>
          <w:sz w:val="20"/>
          <w:szCs w:val="20"/>
          <w:lang w:val="en-US"/>
        </w:rPr>
        <w:t>topics</w:t>
      </w:r>
      <w:r w:rsidRPr="000822AC">
        <w:rPr>
          <w:rFonts w:ascii="Times New Roman" w:hAnsi="Times New Roman"/>
          <w:sz w:val="20"/>
          <w:szCs w:val="20"/>
          <w:lang w:val="en-US"/>
        </w:rPr>
        <w:t xml:space="preserve"> in the field of </w:t>
      </w:r>
      <w:r w:rsidR="003C7DB4">
        <w:rPr>
          <w:rFonts w:ascii="Times New Roman" w:hAnsi="Times New Roman"/>
          <w:sz w:val="20"/>
          <w:szCs w:val="20"/>
          <w:lang w:val="en-US"/>
        </w:rPr>
        <w:t>physical protection</w:t>
      </w:r>
      <w:r w:rsidRPr="000822AC">
        <w:rPr>
          <w:rFonts w:ascii="Times New Roman" w:hAnsi="Times New Roman"/>
          <w:sz w:val="20"/>
          <w:szCs w:val="20"/>
          <w:lang w:val="en-US"/>
        </w:rPr>
        <w:t xml:space="preserve"> of nuclear and other radioactive materials and </w:t>
      </w:r>
      <w:r w:rsidR="003C7DB4">
        <w:rPr>
          <w:rFonts w:ascii="Times New Roman" w:hAnsi="Times New Roman"/>
          <w:sz w:val="20"/>
          <w:szCs w:val="20"/>
          <w:lang w:val="en-US"/>
        </w:rPr>
        <w:t>associated</w:t>
      </w:r>
      <w:r w:rsidRPr="000822AC">
        <w:rPr>
          <w:rFonts w:ascii="Times New Roman" w:hAnsi="Times New Roman"/>
          <w:sz w:val="20"/>
          <w:szCs w:val="20"/>
          <w:lang w:val="en-US"/>
        </w:rPr>
        <w:t xml:space="preserve"> facilities, ensuring information security in the nuclear industry and other nuclear security aspects. It is important that wide range of engineering and technical means of physical protection </w:t>
      </w:r>
      <w:proofErr w:type="gramStart"/>
      <w:r w:rsidRPr="000822AC">
        <w:rPr>
          <w:rFonts w:ascii="Times New Roman" w:hAnsi="Times New Roman"/>
          <w:sz w:val="20"/>
          <w:szCs w:val="20"/>
          <w:lang w:val="en-US"/>
        </w:rPr>
        <w:t>is presented</w:t>
      </w:r>
      <w:proofErr w:type="gramEnd"/>
      <w:r w:rsidRPr="000822AC">
        <w:rPr>
          <w:rFonts w:ascii="Times New Roman" w:hAnsi="Times New Roman"/>
          <w:sz w:val="20"/>
          <w:szCs w:val="20"/>
          <w:lang w:val="en-US"/>
        </w:rPr>
        <w:t xml:space="preserve"> at a special Training Complex; moreover, training is designed in order to explain and demonstrate various principles of the construction and functioning of physical protection systems elements</w:t>
      </w:r>
      <w:r w:rsidR="003C7DB4" w:rsidRPr="003C7DB4">
        <w:rPr>
          <w:rFonts w:ascii="Times New Roman" w:hAnsi="Times New Roman"/>
          <w:sz w:val="20"/>
          <w:szCs w:val="20"/>
          <w:lang w:val="en-US"/>
        </w:rPr>
        <w:t xml:space="preserve"> </w:t>
      </w:r>
      <w:r w:rsidR="003C7DB4" w:rsidRPr="000822AC">
        <w:rPr>
          <w:rFonts w:ascii="Times New Roman" w:hAnsi="Times New Roman"/>
          <w:sz w:val="20"/>
          <w:szCs w:val="20"/>
          <w:lang w:val="en-US"/>
        </w:rPr>
        <w:t>in practice to the audience</w:t>
      </w:r>
      <w:r w:rsidRPr="000822AC">
        <w:rPr>
          <w:rFonts w:ascii="Times New Roman" w:hAnsi="Times New Roman"/>
          <w:sz w:val="20"/>
          <w:szCs w:val="20"/>
          <w:lang w:val="en-US"/>
        </w:rPr>
        <w:t xml:space="preserve">. </w:t>
      </w:r>
      <w:r w:rsidR="003C7DB4">
        <w:rPr>
          <w:rFonts w:ascii="Times New Roman" w:hAnsi="Times New Roman"/>
          <w:sz w:val="20"/>
          <w:szCs w:val="20"/>
          <w:lang w:val="en-US"/>
        </w:rPr>
        <w:t xml:space="preserve"> </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From </w:t>
      </w:r>
      <w:proofErr w:type="gramStart"/>
      <w:r w:rsidRPr="000822AC">
        <w:rPr>
          <w:rFonts w:ascii="Times New Roman" w:hAnsi="Times New Roman"/>
          <w:sz w:val="20"/>
          <w:szCs w:val="20"/>
          <w:lang w:val="en-US"/>
        </w:rPr>
        <w:t>5</w:t>
      </w:r>
      <w:proofErr w:type="gramEnd"/>
      <w:r w:rsidRPr="000822AC">
        <w:rPr>
          <w:rFonts w:ascii="Times New Roman" w:hAnsi="Times New Roman"/>
          <w:sz w:val="20"/>
          <w:szCs w:val="20"/>
          <w:lang w:val="en-US"/>
        </w:rPr>
        <w:t xml:space="preserve"> to 10 international and regional IAEA courses and seminars are held annually at the </w:t>
      </w:r>
      <w:proofErr w:type="spellStart"/>
      <w:r w:rsidRPr="000822AC">
        <w:rPr>
          <w:rFonts w:ascii="Times New Roman" w:hAnsi="Times New Roman"/>
          <w:sz w:val="20"/>
          <w:szCs w:val="20"/>
          <w:lang w:val="en-US"/>
        </w:rPr>
        <w:t>Rosatom</w:t>
      </w:r>
      <w:proofErr w:type="spellEnd"/>
      <w:r w:rsidRPr="000822AC">
        <w:rPr>
          <w:rFonts w:ascii="Times New Roman" w:hAnsi="Times New Roman"/>
          <w:sz w:val="20"/>
          <w:szCs w:val="20"/>
          <w:lang w:val="en-US"/>
        </w:rPr>
        <w:t xml:space="preserve"> Technical Academy; more than 1,100 participants from 67 countries have been trained </w:t>
      </w:r>
      <w:r w:rsidR="00502005">
        <w:rPr>
          <w:rFonts w:ascii="Times New Roman" w:hAnsi="Times New Roman"/>
          <w:sz w:val="20"/>
          <w:szCs w:val="20"/>
          <w:lang w:val="en-US"/>
        </w:rPr>
        <w:t>in 2014-2019</w:t>
      </w:r>
      <w:r w:rsidRPr="000822AC">
        <w:rPr>
          <w:rFonts w:ascii="Times New Roman" w:hAnsi="Times New Roman"/>
          <w:sz w:val="20"/>
          <w:szCs w:val="20"/>
          <w:lang w:val="en-US"/>
        </w:rPr>
        <w:t xml:space="preserve">. These international and regional events have been developed and aimed at a wide and diverse audience: </w:t>
      </w:r>
      <w:r w:rsidR="003C7DB4">
        <w:rPr>
          <w:rFonts w:ascii="Times New Roman" w:hAnsi="Times New Roman"/>
          <w:sz w:val="20"/>
          <w:szCs w:val="20"/>
          <w:lang w:val="en-US"/>
        </w:rPr>
        <w:t>top</w:t>
      </w:r>
      <w:r w:rsidRPr="000822AC">
        <w:rPr>
          <w:rFonts w:ascii="Times New Roman" w:hAnsi="Times New Roman"/>
          <w:sz w:val="20"/>
          <w:szCs w:val="20"/>
          <w:lang w:val="en-US"/>
        </w:rPr>
        <w:t xml:space="preserve"> </w:t>
      </w:r>
      <w:r w:rsidR="003C7DB4">
        <w:rPr>
          <w:rFonts w:ascii="Times New Roman" w:hAnsi="Times New Roman"/>
          <w:sz w:val="20"/>
          <w:szCs w:val="20"/>
          <w:lang w:val="en-US"/>
        </w:rPr>
        <w:t>management</w:t>
      </w:r>
      <w:r w:rsidRPr="000822AC">
        <w:rPr>
          <w:rFonts w:ascii="Times New Roman" w:hAnsi="Times New Roman"/>
          <w:sz w:val="20"/>
          <w:szCs w:val="20"/>
          <w:lang w:val="en-US"/>
        </w:rPr>
        <w:t xml:space="preserve"> of government bodies and nuclear facilities, </w:t>
      </w:r>
      <w:r w:rsidR="003C7DB4">
        <w:rPr>
          <w:rFonts w:ascii="Times New Roman" w:hAnsi="Times New Roman"/>
          <w:sz w:val="20"/>
          <w:szCs w:val="20"/>
          <w:lang w:val="en-US"/>
        </w:rPr>
        <w:t xml:space="preserve">management and personnel of </w:t>
      </w:r>
      <w:r w:rsidRPr="000822AC">
        <w:rPr>
          <w:rFonts w:ascii="Times New Roman" w:hAnsi="Times New Roman"/>
          <w:sz w:val="20"/>
          <w:szCs w:val="20"/>
          <w:lang w:val="en-US"/>
        </w:rPr>
        <w:t xml:space="preserve">state regulatory bodies in the field of security, nuclear security experts and university students. </w:t>
      </w:r>
    </w:p>
    <w:p w:rsidR="000822AC" w:rsidRPr="000822AC" w:rsidRDefault="000822AC" w:rsidP="0067742F">
      <w:pPr>
        <w:pStyle w:val="ab"/>
        <w:ind w:right="283" w:firstLine="567"/>
        <w:jc w:val="both"/>
        <w:rPr>
          <w:rFonts w:ascii="Times New Roman" w:hAnsi="Times New Roman"/>
          <w:sz w:val="20"/>
          <w:szCs w:val="20"/>
          <w:lang w:val="en-US"/>
        </w:rPr>
      </w:pPr>
      <w:r w:rsidRPr="000822AC">
        <w:rPr>
          <w:rFonts w:ascii="Times New Roman" w:hAnsi="Times New Roman"/>
          <w:sz w:val="20"/>
          <w:szCs w:val="20"/>
          <w:lang w:val="en-US"/>
        </w:rPr>
        <w:t xml:space="preserve">The State Corporation ROSATOM has </w:t>
      </w:r>
      <w:r w:rsidR="00502005">
        <w:rPr>
          <w:rFonts w:ascii="Times New Roman" w:hAnsi="Times New Roman"/>
          <w:sz w:val="20"/>
          <w:szCs w:val="20"/>
          <w:lang w:val="en-US"/>
        </w:rPr>
        <w:t>distinctive skills, knowledge</w:t>
      </w:r>
      <w:r w:rsidRPr="000822AC">
        <w:rPr>
          <w:rFonts w:ascii="Times New Roman" w:hAnsi="Times New Roman"/>
          <w:sz w:val="20"/>
          <w:szCs w:val="20"/>
          <w:lang w:val="en-US"/>
        </w:rPr>
        <w:t xml:space="preserve"> and resources for physical protection system development for nuclear facilities. In the Russian Federation, approach to development of physical protection system for foreign nuclear facility </w:t>
      </w:r>
      <w:proofErr w:type="gramStart"/>
      <w:r w:rsidRPr="000822AC">
        <w:rPr>
          <w:rFonts w:ascii="Times New Roman" w:hAnsi="Times New Roman"/>
          <w:sz w:val="20"/>
          <w:szCs w:val="20"/>
          <w:lang w:val="en-US"/>
        </w:rPr>
        <w:t>is elaborated and applied</w:t>
      </w:r>
      <w:proofErr w:type="gramEnd"/>
      <w:r w:rsidRPr="000822AC">
        <w:rPr>
          <w:rFonts w:ascii="Times New Roman" w:hAnsi="Times New Roman"/>
          <w:sz w:val="20"/>
          <w:szCs w:val="20"/>
          <w:lang w:val="en-US"/>
        </w:rPr>
        <w:t xml:space="preserve">; the approach is based on the IAEA recommendations in the field of nuclear security and takes into consideration Russian </w:t>
      </w:r>
      <w:r w:rsidR="003C7DB4">
        <w:rPr>
          <w:rFonts w:ascii="Times New Roman" w:hAnsi="Times New Roman"/>
          <w:sz w:val="20"/>
          <w:szCs w:val="20"/>
          <w:lang w:val="en-US"/>
        </w:rPr>
        <w:t>vast</w:t>
      </w:r>
      <w:r w:rsidRPr="000822AC">
        <w:rPr>
          <w:rFonts w:ascii="Times New Roman" w:hAnsi="Times New Roman"/>
          <w:sz w:val="20"/>
          <w:szCs w:val="20"/>
          <w:lang w:val="en-US"/>
        </w:rPr>
        <w:t xml:space="preserve"> experience in the field. Foreign partners can choose one of option</w:t>
      </w:r>
      <w:r w:rsidR="003C7DB4">
        <w:rPr>
          <w:rFonts w:ascii="Times New Roman" w:hAnsi="Times New Roman"/>
          <w:sz w:val="20"/>
          <w:szCs w:val="20"/>
          <w:lang w:val="en-US"/>
        </w:rPr>
        <w:t>s of physical protection system</w:t>
      </w:r>
      <w:r w:rsidRPr="000822AC">
        <w:rPr>
          <w:rFonts w:ascii="Times New Roman" w:hAnsi="Times New Roman"/>
          <w:sz w:val="20"/>
          <w:szCs w:val="20"/>
          <w:lang w:val="en-US"/>
        </w:rPr>
        <w:t xml:space="preserve"> as a feature to the integrated proposal of </w:t>
      </w:r>
      <w:r w:rsidR="003C7DB4" w:rsidRPr="000822AC">
        <w:rPr>
          <w:rFonts w:ascii="Times New Roman" w:hAnsi="Times New Roman"/>
          <w:sz w:val="20"/>
          <w:szCs w:val="20"/>
          <w:lang w:val="en-US"/>
        </w:rPr>
        <w:t xml:space="preserve">Nuclear Power Plant </w:t>
      </w:r>
      <w:r w:rsidRPr="000822AC">
        <w:rPr>
          <w:rFonts w:ascii="Times New Roman" w:hAnsi="Times New Roman"/>
          <w:sz w:val="20"/>
          <w:szCs w:val="20"/>
          <w:lang w:val="en-US"/>
        </w:rPr>
        <w:t xml:space="preserve">or </w:t>
      </w:r>
      <w:r w:rsidR="003C7DB4" w:rsidRPr="000822AC">
        <w:rPr>
          <w:rFonts w:ascii="Times New Roman" w:hAnsi="Times New Roman"/>
          <w:sz w:val="20"/>
          <w:szCs w:val="20"/>
          <w:lang w:val="en-US"/>
        </w:rPr>
        <w:t xml:space="preserve">Centers </w:t>
      </w:r>
      <w:r w:rsidR="003C7DB4">
        <w:rPr>
          <w:rFonts w:ascii="Times New Roman" w:hAnsi="Times New Roman"/>
          <w:sz w:val="20"/>
          <w:szCs w:val="20"/>
          <w:lang w:val="en-US"/>
        </w:rPr>
        <w:t>of Nuclear Science a</w:t>
      </w:r>
      <w:r w:rsidR="003C7DB4" w:rsidRPr="000822AC">
        <w:rPr>
          <w:rFonts w:ascii="Times New Roman" w:hAnsi="Times New Roman"/>
          <w:sz w:val="20"/>
          <w:szCs w:val="20"/>
          <w:lang w:val="en-US"/>
        </w:rPr>
        <w:t xml:space="preserve">nd Technology </w:t>
      </w:r>
      <w:r w:rsidRPr="000822AC">
        <w:rPr>
          <w:rFonts w:ascii="Times New Roman" w:hAnsi="Times New Roman"/>
          <w:sz w:val="20"/>
          <w:szCs w:val="20"/>
          <w:lang w:val="en-US"/>
        </w:rPr>
        <w:t xml:space="preserve">construction. In the process of physical protection system development, customer’s national legislation </w:t>
      </w:r>
      <w:proofErr w:type="gramStart"/>
      <w:r w:rsidRPr="000822AC">
        <w:rPr>
          <w:rFonts w:ascii="Times New Roman" w:hAnsi="Times New Roman"/>
          <w:sz w:val="20"/>
          <w:szCs w:val="20"/>
          <w:lang w:val="en-US"/>
        </w:rPr>
        <w:t>is taken</w:t>
      </w:r>
      <w:proofErr w:type="gramEnd"/>
      <w:r w:rsidRPr="000822AC">
        <w:rPr>
          <w:rFonts w:ascii="Times New Roman" w:hAnsi="Times New Roman"/>
          <w:sz w:val="20"/>
          <w:szCs w:val="20"/>
          <w:lang w:val="en-US"/>
        </w:rPr>
        <w:t xml:space="preserve"> into consideration. </w:t>
      </w:r>
    </w:p>
    <w:p w:rsidR="000822AC" w:rsidRPr="000822AC" w:rsidRDefault="00502005" w:rsidP="0067742F">
      <w:pPr>
        <w:spacing w:line="240" w:lineRule="auto"/>
        <w:ind w:right="283" w:firstLine="567"/>
        <w:jc w:val="both"/>
        <w:rPr>
          <w:sz w:val="20"/>
          <w:szCs w:val="20"/>
          <w:lang w:val="en-US"/>
        </w:rPr>
      </w:pPr>
      <w:r>
        <w:rPr>
          <w:rFonts w:ascii="Times New Roman" w:hAnsi="Times New Roman"/>
          <w:sz w:val="20"/>
          <w:szCs w:val="20"/>
          <w:lang w:val="en-US"/>
        </w:rPr>
        <w:t>Moreover, t</w:t>
      </w:r>
      <w:r w:rsidR="000822AC" w:rsidRPr="000822AC">
        <w:rPr>
          <w:rFonts w:ascii="Times New Roman" w:hAnsi="Times New Roman"/>
          <w:sz w:val="20"/>
          <w:szCs w:val="20"/>
          <w:lang w:val="en-US"/>
        </w:rPr>
        <w:t xml:space="preserve">he State Corporation ROSATOM </w:t>
      </w:r>
      <w:r>
        <w:rPr>
          <w:rFonts w:ascii="Times New Roman" w:hAnsi="Times New Roman"/>
          <w:sz w:val="20"/>
          <w:szCs w:val="20"/>
          <w:lang w:val="en-US"/>
        </w:rPr>
        <w:t>is able to share</w:t>
      </w:r>
      <w:r w:rsidR="000822AC" w:rsidRPr="000822AC">
        <w:rPr>
          <w:rFonts w:ascii="Times New Roman" w:hAnsi="Times New Roman"/>
          <w:sz w:val="20"/>
          <w:szCs w:val="20"/>
          <w:lang w:val="en-US"/>
        </w:rPr>
        <w:t xml:space="preserve"> </w:t>
      </w:r>
      <w:r>
        <w:rPr>
          <w:rFonts w:ascii="Times New Roman" w:hAnsi="Times New Roman"/>
          <w:sz w:val="20"/>
          <w:szCs w:val="20"/>
          <w:lang w:val="en-US"/>
        </w:rPr>
        <w:t>unique</w:t>
      </w:r>
      <w:r w:rsidR="000822AC" w:rsidRPr="000822AC">
        <w:rPr>
          <w:rFonts w:ascii="Times New Roman" w:hAnsi="Times New Roman"/>
          <w:sz w:val="20"/>
          <w:szCs w:val="20"/>
          <w:lang w:val="en-US"/>
        </w:rPr>
        <w:t xml:space="preserve"> </w:t>
      </w:r>
      <w:r w:rsidRPr="000822AC">
        <w:rPr>
          <w:rFonts w:ascii="Times New Roman" w:hAnsi="Times New Roman"/>
          <w:sz w:val="20"/>
          <w:szCs w:val="20"/>
          <w:lang w:val="en-US"/>
        </w:rPr>
        <w:t>experience</w:t>
      </w:r>
      <w:r>
        <w:rPr>
          <w:rFonts w:ascii="Times New Roman" w:hAnsi="Times New Roman"/>
          <w:sz w:val="20"/>
          <w:szCs w:val="20"/>
          <w:lang w:val="en-US"/>
        </w:rPr>
        <w:t xml:space="preserve"> in</w:t>
      </w:r>
      <w:r w:rsidRPr="000822AC">
        <w:rPr>
          <w:rFonts w:ascii="Times New Roman" w:hAnsi="Times New Roman"/>
          <w:sz w:val="20"/>
          <w:szCs w:val="20"/>
          <w:lang w:val="en-US"/>
        </w:rPr>
        <w:t xml:space="preserve"> </w:t>
      </w:r>
      <w:r w:rsidR="000822AC" w:rsidRPr="000822AC">
        <w:rPr>
          <w:rFonts w:ascii="Times New Roman" w:hAnsi="Times New Roman"/>
          <w:sz w:val="20"/>
          <w:szCs w:val="20"/>
          <w:lang w:val="en-US"/>
        </w:rPr>
        <w:t xml:space="preserve">development of physical protection system for small modular reactors. From </w:t>
      </w:r>
      <w:r w:rsidRPr="000822AC">
        <w:rPr>
          <w:rFonts w:ascii="Times New Roman" w:hAnsi="Times New Roman"/>
          <w:sz w:val="20"/>
          <w:szCs w:val="20"/>
          <w:lang w:val="en-US"/>
        </w:rPr>
        <w:t xml:space="preserve">25 </w:t>
      </w:r>
      <w:r w:rsidR="000822AC" w:rsidRPr="000822AC">
        <w:rPr>
          <w:rFonts w:ascii="Times New Roman" w:hAnsi="Times New Roman"/>
          <w:sz w:val="20"/>
          <w:szCs w:val="20"/>
          <w:lang w:val="en-US"/>
        </w:rPr>
        <w:t xml:space="preserve">August to </w:t>
      </w:r>
      <w:r w:rsidRPr="000822AC">
        <w:rPr>
          <w:rFonts w:ascii="Times New Roman" w:hAnsi="Times New Roman"/>
          <w:sz w:val="20"/>
          <w:szCs w:val="20"/>
          <w:lang w:val="en-US"/>
        </w:rPr>
        <w:t>14</w:t>
      </w:r>
      <w:r>
        <w:rPr>
          <w:rFonts w:ascii="Times New Roman" w:hAnsi="Times New Roman"/>
          <w:sz w:val="20"/>
          <w:szCs w:val="20"/>
          <w:lang w:val="en-US"/>
        </w:rPr>
        <w:t xml:space="preserve"> </w:t>
      </w:r>
      <w:r w:rsidR="000822AC" w:rsidRPr="000822AC">
        <w:rPr>
          <w:rFonts w:ascii="Times New Roman" w:hAnsi="Times New Roman"/>
          <w:sz w:val="20"/>
          <w:szCs w:val="20"/>
          <w:lang w:val="en-US"/>
        </w:rPr>
        <w:t xml:space="preserve">September </w:t>
      </w:r>
      <w:r>
        <w:rPr>
          <w:rFonts w:ascii="Times New Roman" w:hAnsi="Times New Roman"/>
          <w:sz w:val="20"/>
          <w:szCs w:val="20"/>
          <w:lang w:val="en-US"/>
        </w:rPr>
        <w:t>2019</w:t>
      </w:r>
      <w:r w:rsidR="000822AC" w:rsidRPr="000822AC">
        <w:rPr>
          <w:rFonts w:ascii="Times New Roman" w:hAnsi="Times New Roman"/>
          <w:sz w:val="20"/>
          <w:szCs w:val="20"/>
          <w:lang w:val="en-US"/>
        </w:rPr>
        <w:t xml:space="preserve">, we successfully transported floating power unit (FPU) </w:t>
      </w:r>
      <w:proofErr w:type="spellStart"/>
      <w:r w:rsidR="000822AC" w:rsidRPr="000822AC">
        <w:rPr>
          <w:rFonts w:ascii="Times New Roman" w:hAnsi="Times New Roman"/>
          <w:sz w:val="20"/>
          <w:szCs w:val="20"/>
          <w:lang w:val="en-US"/>
        </w:rPr>
        <w:t>Akademik</w:t>
      </w:r>
      <w:proofErr w:type="spellEnd"/>
      <w:r w:rsidR="000822AC" w:rsidRPr="000822AC">
        <w:rPr>
          <w:rFonts w:ascii="Times New Roman" w:hAnsi="Times New Roman"/>
          <w:sz w:val="20"/>
          <w:szCs w:val="20"/>
          <w:lang w:val="en-US"/>
        </w:rPr>
        <w:t xml:space="preserve"> </w:t>
      </w:r>
      <w:proofErr w:type="spellStart"/>
      <w:r w:rsidR="000822AC" w:rsidRPr="000822AC">
        <w:rPr>
          <w:rFonts w:ascii="Times New Roman" w:hAnsi="Times New Roman"/>
          <w:sz w:val="20"/>
          <w:szCs w:val="20"/>
          <w:lang w:val="en-US"/>
        </w:rPr>
        <w:t>Lomonosov</w:t>
      </w:r>
      <w:proofErr w:type="spellEnd"/>
      <w:r w:rsidR="000822AC" w:rsidRPr="000822AC">
        <w:rPr>
          <w:rFonts w:ascii="Times New Roman" w:hAnsi="Times New Roman"/>
          <w:sz w:val="20"/>
          <w:szCs w:val="20"/>
          <w:lang w:val="en-US"/>
        </w:rPr>
        <w:t xml:space="preserve"> with two KLT-40C reactor systems from Murmansk to </w:t>
      </w:r>
      <w:proofErr w:type="spellStart"/>
      <w:r w:rsidR="000822AC" w:rsidRPr="000822AC">
        <w:rPr>
          <w:rFonts w:ascii="Times New Roman" w:hAnsi="Times New Roman"/>
          <w:sz w:val="20"/>
          <w:szCs w:val="20"/>
          <w:lang w:val="en-US"/>
        </w:rPr>
        <w:t>Pevek</w:t>
      </w:r>
      <w:proofErr w:type="spellEnd"/>
      <w:r w:rsidR="000822AC" w:rsidRPr="000822AC">
        <w:rPr>
          <w:rFonts w:ascii="Times New Roman" w:hAnsi="Times New Roman"/>
          <w:sz w:val="20"/>
          <w:szCs w:val="20"/>
          <w:lang w:val="en-US"/>
        </w:rPr>
        <w:t xml:space="preserve">. On </w:t>
      </w:r>
      <w:r w:rsidRPr="000822AC">
        <w:rPr>
          <w:rFonts w:ascii="Times New Roman" w:hAnsi="Times New Roman"/>
          <w:sz w:val="20"/>
          <w:szCs w:val="20"/>
          <w:lang w:val="en-US"/>
        </w:rPr>
        <w:t>14</w:t>
      </w:r>
      <w:r>
        <w:rPr>
          <w:rFonts w:ascii="Times New Roman" w:hAnsi="Times New Roman"/>
          <w:sz w:val="20"/>
          <w:szCs w:val="20"/>
          <w:lang w:val="en-US"/>
        </w:rPr>
        <w:t xml:space="preserve"> </w:t>
      </w:r>
      <w:r w:rsidR="000822AC" w:rsidRPr="000822AC">
        <w:rPr>
          <w:rFonts w:ascii="Times New Roman" w:hAnsi="Times New Roman"/>
          <w:sz w:val="20"/>
          <w:szCs w:val="20"/>
          <w:lang w:val="en-US"/>
        </w:rPr>
        <w:t xml:space="preserve">September, FPU </w:t>
      </w:r>
      <w:proofErr w:type="spellStart"/>
      <w:r w:rsidR="000822AC" w:rsidRPr="000822AC">
        <w:rPr>
          <w:rFonts w:ascii="Times New Roman" w:hAnsi="Times New Roman"/>
          <w:sz w:val="20"/>
          <w:szCs w:val="20"/>
          <w:lang w:val="en-US"/>
        </w:rPr>
        <w:t>Akademik</w:t>
      </w:r>
      <w:proofErr w:type="spellEnd"/>
      <w:r w:rsidR="000822AC" w:rsidRPr="000822AC">
        <w:rPr>
          <w:rFonts w:ascii="Times New Roman" w:hAnsi="Times New Roman"/>
          <w:sz w:val="20"/>
          <w:szCs w:val="20"/>
          <w:lang w:val="en-US"/>
        </w:rPr>
        <w:t xml:space="preserve"> </w:t>
      </w:r>
      <w:proofErr w:type="spellStart"/>
      <w:r w:rsidR="000822AC" w:rsidRPr="000822AC">
        <w:rPr>
          <w:rFonts w:ascii="Times New Roman" w:hAnsi="Times New Roman"/>
          <w:sz w:val="20"/>
          <w:szCs w:val="20"/>
          <w:lang w:val="en-US"/>
        </w:rPr>
        <w:t>Lomonosov</w:t>
      </w:r>
      <w:proofErr w:type="spellEnd"/>
      <w:r w:rsidR="000822AC" w:rsidRPr="000822AC">
        <w:rPr>
          <w:rFonts w:ascii="Times New Roman" w:hAnsi="Times New Roman"/>
          <w:sz w:val="20"/>
          <w:szCs w:val="20"/>
          <w:lang w:val="en-US"/>
        </w:rPr>
        <w:t xml:space="preserve"> successfully arrived at the port of its permanent location in </w:t>
      </w:r>
      <w:proofErr w:type="spellStart"/>
      <w:r w:rsidR="000822AC" w:rsidRPr="000822AC">
        <w:rPr>
          <w:rFonts w:ascii="Times New Roman" w:hAnsi="Times New Roman"/>
          <w:sz w:val="20"/>
          <w:szCs w:val="20"/>
          <w:lang w:val="en-US"/>
        </w:rPr>
        <w:t>Pevek</w:t>
      </w:r>
      <w:proofErr w:type="spellEnd"/>
      <w:r w:rsidR="000822AC" w:rsidRPr="000822AC">
        <w:rPr>
          <w:rFonts w:ascii="Times New Roman" w:hAnsi="Times New Roman"/>
          <w:sz w:val="20"/>
          <w:szCs w:val="20"/>
          <w:lang w:val="en-US"/>
        </w:rPr>
        <w:t xml:space="preserve">, Chukotka, where it </w:t>
      </w:r>
      <w:proofErr w:type="gramStart"/>
      <w:r w:rsidR="000822AC" w:rsidRPr="000822AC">
        <w:rPr>
          <w:rFonts w:ascii="Times New Roman" w:hAnsi="Times New Roman"/>
          <w:sz w:val="20"/>
          <w:szCs w:val="20"/>
          <w:lang w:val="en-US"/>
        </w:rPr>
        <w:t>is being docked</w:t>
      </w:r>
      <w:proofErr w:type="gramEnd"/>
      <w:r w:rsidR="000822AC" w:rsidRPr="000822AC">
        <w:rPr>
          <w:rFonts w:ascii="Times New Roman" w:hAnsi="Times New Roman"/>
          <w:sz w:val="20"/>
          <w:szCs w:val="20"/>
          <w:lang w:val="en-US"/>
        </w:rPr>
        <w:t xml:space="preserve">. Physical protection and security of nuclear material and nuclear installations of FPU </w:t>
      </w:r>
      <w:proofErr w:type="gramStart"/>
      <w:r w:rsidR="000822AC" w:rsidRPr="000822AC">
        <w:rPr>
          <w:rFonts w:ascii="Times New Roman" w:hAnsi="Times New Roman"/>
          <w:sz w:val="20"/>
          <w:szCs w:val="20"/>
          <w:lang w:val="en-US"/>
        </w:rPr>
        <w:t>was provided and ensured</w:t>
      </w:r>
      <w:proofErr w:type="gramEnd"/>
      <w:r w:rsidR="000822AC" w:rsidRPr="000822AC">
        <w:rPr>
          <w:rFonts w:ascii="Times New Roman" w:hAnsi="Times New Roman"/>
          <w:sz w:val="20"/>
          <w:szCs w:val="20"/>
          <w:lang w:val="en-US"/>
        </w:rPr>
        <w:t xml:space="preserve">; cooperation with competent authorities and response forces was organized. Experience of physical protection and security </w:t>
      </w:r>
      <w:r w:rsidR="00901D44" w:rsidRPr="000822AC">
        <w:rPr>
          <w:rFonts w:ascii="Times New Roman" w:hAnsi="Times New Roman"/>
          <w:sz w:val="20"/>
          <w:szCs w:val="20"/>
          <w:lang w:val="en-US"/>
        </w:rPr>
        <w:t xml:space="preserve">provision </w:t>
      </w:r>
      <w:r w:rsidR="000822AC" w:rsidRPr="000822AC">
        <w:rPr>
          <w:rFonts w:ascii="Times New Roman" w:hAnsi="Times New Roman"/>
          <w:sz w:val="20"/>
          <w:szCs w:val="20"/>
          <w:lang w:val="en-US"/>
        </w:rPr>
        <w:t xml:space="preserve">during transportation of FPU </w:t>
      </w:r>
      <w:proofErr w:type="gramStart"/>
      <w:r w:rsidR="000822AC" w:rsidRPr="000822AC">
        <w:rPr>
          <w:rFonts w:ascii="Times New Roman" w:hAnsi="Times New Roman"/>
          <w:sz w:val="20"/>
          <w:szCs w:val="20"/>
          <w:lang w:val="en-US"/>
        </w:rPr>
        <w:t>will be used</w:t>
      </w:r>
      <w:proofErr w:type="gramEnd"/>
      <w:r w:rsidR="000822AC" w:rsidRPr="000822AC">
        <w:rPr>
          <w:rFonts w:ascii="Times New Roman" w:hAnsi="Times New Roman"/>
          <w:sz w:val="20"/>
          <w:szCs w:val="20"/>
          <w:lang w:val="en-US"/>
        </w:rPr>
        <w:t xml:space="preserve"> by the Russian Federation in future, including international practice.</w:t>
      </w:r>
    </w:p>
    <w:sectPr w:rsidR="000822AC" w:rsidRPr="000822AC" w:rsidSect="009F34C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EC" w:rsidRDefault="004604EC" w:rsidP="000822AC">
      <w:pPr>
        <w:spacing w:after="0" w:line="240" w:lineRule="auto"/>
      </w:pPr>
      <w:r>
        <w:separator/>
      </w:r>
    </w:p>
  </w:endnote>
  <w:endnote w:type="continuationSeparator" w:id="0">
    <w:p w:rsidR="004604EC" w:rsidRDefault="004604EC" w:rsidP="000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C5" w:rsidRDefault="00FC70C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C5" w:rsidRDefault="00FC70C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C5" w:rsidRDefault="00FC70C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EC" w:rsidRDefault="004604EC" w:rsidP="000822AC">
      <w:pPr>
        <w:spacing w:after="0" w:line="240" w:lineRule="auto"/>
      </w:pPr>
      <w:r>
        <w:separator/>
      </w:r>
    </w:p>
  </w:footnote>
  <w:footnote w:type="continuationSeparator" w:id="0">
    <w:p w:rsidR="004604EC" w:rsidRDefault="004604EC" w:rsidP="0008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0" w:rsidRDefault="001D35ED" w:rsidP="009F34C0">
    <w:pPr>
      <w:pStyle w:val="a4"/>
      <w:jc w:val="center"/>
    </w:pPr>
    <w:bookmarkStart w:id="0" w:name="_GoBack"/>
    <w:r>
      <w:rPr>
        <w:rFonts w:ascii="Times New Roman" w:eastAsia="Times New Roman" w:hAnsi="Times New Roman" w:cs="Times New Roman"/>
        <w:b/>
        <w:sz w:val="16"/>
        <w:szCs w:val="16"/>
        <w:lang w:val="en-US"/>
      </w:rPr>
      <w:t>ID</w:t>
    </w:r>
    <w:r w:rsidR="009F34C0">
      <w:rPr>
        <w:rFonts w:ascii="Times New Roman" w:eastAsia="Times New Roman" w:hAnsi="Times New Roman" w:cs="Times New Roman"/>
        <w:b/>
        <w:sz w:val="16"/>
        <w:szCs w:val="16"/>
        <w:lang w:val="en-GB"/>
      </w:rPr>
      <w:t>-475</w:t>
    </w:r>
  </w:p>
  <w:bookmarkEnd w:id="0"/>
  <w:p w:rsidR="009F34C0" w:rsidRDefault="009F34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AC" w:rsidRDefault="000822AC" w:rsidP="000822AC">
    <w:pPr>
      <w:pStyle w:val="a4"/>
      <w:jc w:val="center"/>
    </w:pPr>
    <w:r w:rsidRPr="000822AC">
      <w:rPr>
        <w:rFonts w:ascii="Times New Roman" w:eastAsia="Times New Roman" w:hAnsi="Times New Roman" w:cs="Times New Roman"/>
        <w:b/>
        <w:sz w:val="16"/>
        <w:szCs w:val="16"/>
        <w:lang w:val="en-GB"/>
      </w:rPr>
      <w:t>KONSTANTIN DENISOV</w:t>
    </w:r>
    <w:r w:rsidR="00844600">
      <w:rPr>
        <w:rFonts w:ascii="Times New Roman" w:eastAsia="Times New Roman" w:hAnsi="Times New Roman" w:cs="Times New Roman"/>
        <w:b/>
        <w:sz w:val="16"/>
        <w:szCs w:val="16"/>
        <w:lang w:val="en-GB"/>
      </w:rPr>
      <w:t xml:space="preserve"> et 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0C5" w:rsidRDefault="00FC70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4379"/>
    <w:multiLevelType w:val="hybridMultilevel"/>
    <w:tmpl w:val="623E63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0613713"/>
    <w:multiLevelType w:val="hybridMultilevel"/>
    <w:tmpl w:val="495847B6"/>
    <w:lvl w:ilvl="0" w:tplc="D2DE07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31B35709"/>
    <w:multiLevelType w:val="hybridMultilevel"/>
    <w:tmpl w:val="58202962"/>
    <w:lvl w:ilvl="0" w:tplc="D2DE07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AB15B3D"/>
    <w:multiLevelType w:val="hybridMultilevel"/>
    <w:tmpl w:val="620CC91E"/>
    <w:lvl w:ilvl="0" w:tplc="E632CE3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6E9A6AB0"/>
    <w:multiLevelType w:val="hybridMultilevel"/>
    <w:tmpl w:val="6DB650D6"/>
    <w:lvl w:ilvl="0" w:tplc="D2DE07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C"/>
    <w:rsid w:val="000822AC"/>
    <w:rsid w:val="001105AC"/>
    <w:rsid w:val="001D35ED"/>
    <w:rsid w:val="00212764"/>
    <w:rsid w:val="002264B4"/>
    <w:rsid w:val="0027511D"/>
    <w:rsid w:val="002B728A"/>
    <w:rsid w:val="002D1A45"/>
    <w:rsid w:val="003C7DB4"/>
    <w:rsid w:val="004604EC"/>
    <w:rsid w:val="00502005"/>
    <w:rsid w:val="0067742F"/>
    <w:rsid w:val="00782C21"/>
    <w:rsid w:val="00844600"/>
    <w:rsid w:val="00874EE0"/>
    <w:rsid w:val="00884A2D"/>
    <w:rsid w:val="00901D44"/>
    <w:rsid w:val="009F34C0"/>
    <w:rsid w:val="00B72B89"/>
    <w:rsid w:val="00C51361"/>
    <w:rsid w:val="00CC2FFF"/>
    <w:rsid w:val="00E25630"/>
    <w:rsid w:val="00FC7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674FD"/>
  <w15:chartTrackingRefBased/>
  <w15:docId w15:val="{9AF2153F-5BCC-46E1-872F-B482A39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Paper title"/>
    <w:next w:val="a0"/>
    <w:link w:val="10"/>
    <w:uiPriority w:val="4"/>
    <w:qFormat/>
    <w:rsid w:val="000822AC"/>
    <w:pPr>
      <w:spacing w:after="0" w:line="280" w:lineRule="atLeast"/>
      <w:ind w:left="567" w:right="567"/>
      <w:outlineLvl w:val="0"/>
    </w:pPr>
    <w:rPr>
      <w:rFonts w:ascii="Times New Roman Bold" w:eastAsia="Times New Roman" w:hAnsi="Times New Roman Bold" w:cs="Times New Roman"/>
      <w:b/>
      <w:caps/>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822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822AC"/>
  </w:style>
  <w:style w:type="paragraph" w:styleId="a6">
    <w:name w:val="footer"/>
    <w:basedOn w:val="a"/>
    <w:link w:val="a7"/>
    <w:uiPriority w:val="99"/>
    <w:unhideWhenUsed/>
    <w:rsid w:val="000822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822AC"/>
  </w:style>
  <w:style w:type="paragraph" w:customStyle="1" w:styleId="Runninghead">
    <w:name w:val="Running head"/>
    <w:basedOn w:val="a"/>
    <w:link w:val="RunningheadChar"/>
    <w:uiPriority w:val="49"/>
    <w:qFormat/>
    <w:rsid w:val="000822A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1"/>
    <w:link w:val="Runninghead"/>
    <w:uiPriority w:val="49"/>
    <w:rsid w:val="000822AC"/>
    <w:rPr>
      <w:rFonts w:ascii="Times New Roman" w:eastAsia="Times New Roman" w:hAnsi="Times New Roman" w:cs="Times New Roman"/>
      <w:b/>
      <w:sz w:val="16"/>
      <w:szCs w:val="16"/>
      <w:lang w:val="en-GB"/>
    </w:rPr>
  </w:style>
  <w:style w:type="character" w:customStyle="1" w:styleId="10">
    <w:name w:val="Заголовок 1 Знак"/>
    <w:aliases w:val="Paper title Знак"/>
    <w:basedOn w:val="a1"/>
    <w:link w:val="1"/>
    <w:uiPriority w:val="4"/>
    <w:rsid w:val="000822AC"/>
    <w:rPr>
      <w:rFonts w:ascii="Times New Roman Bold" w:eastAsia="Times New Roman" w:hAnsi="Times New Roman Bold" w:cs="Times New Roman"/>
      <w:b/>
      <w:caps/>
      <w:sz w:val="24"/>
      <w:szCs w:val="20"/>
      <w:lang w:val="en-US"/>
    </w:rPr>
  </w:style>
  <w:style w:type="paragraph" w:styleId="a0">
    <w:name w:val="Subtitle"/>
    <w:next w:val="a8"/>
    <w:link w:val="a9"/>
    <w:uiPriority w:val="3"/>
    <w:qFormat/>
    <w:rsid w:val="000822AC"/>
    <w:pPr>
      <w:spacing w:after="100" w:afterAutospacing="1" w:line="280" w:lineRule="atLeast"/>
      <w:ind w:left="567" w:right="567"/>
      <w:contextualSpacing/>
    </w:pPr>
    <w:rPr>
      <w:rFonts w:ascii="Times New Roman" w:eastAsia="Times New Roman" w:hAnsi="Times New Roman" w:cs="Arial"/>
      <w:b/>
      <w:i/>
      <w:sz w:val="24"/>
      <w:szCs w:val="24"/>
      <w:lang w:val="en-US"/>
    </w:rPr>
  </w:style>
  <w:style w:type="character" w:customStyle="1" w:styleId="a9">
    <w:name w:val="Подзаголовок Знак"/>
    <w:basedOn w:val="a1"/>
    <w:link w:val="a0"/>
    <w:uiPriority w:val="3"/>
    <w:rsid w:val="000822AC"/>
    <w:rPr>
      <w:rFonts w:ascii="Times New Roman" w:eastAsia="Times New Roman" w:hAnsi="Times New Roman" w:cs="Arial"/>
      <w:b/>
      <w:i/>
      <w:sz w:val="24"/>
      <w:szCs w:val="24"/>
      <w:lang w:val="en-US"/>
    </w:rPr>
  </w:style>
  <w:style w:type="paragraph" w:customStyle="1" w:styleId="Authornameandaffiliation">
    <w:name w:val="Author name and affiliation"/>
    <w:link w:val="AuthornameandaffiliationChar"/>
    <w:uiPriority w:val="49"/>
    <w:qFormat/>
    <w:rsid w:val="000822AC"/>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a"/>
    <w:link w:val="Authornameandaffiliation"/>
    <w:uiPriority w:val="49"/>
    <w:rsid w:val="000822AC"/>
    <w:rPr>
      <w:rFonts w:ascii="Times New Roman" w:eastAsia="Times New Roman" w:hAnsi="Times New Roman" w:cs="Times New Roman"/>
      <w:sz w:val="20"/>
      <w:szCs w:val="20"/>
      <w:lang w:val="en-US"/>
    </w:rPr>
  </w:style>
  <w:style w:type="paragraph" w:styleId="a8">
    <w:name w:val="Body Text"/>
    <w:basedOn w:val="a"/>
    <w:link w:val="aa"/>
    <w:uiPriority w:val="99"/>
    <w:semiHidden/>
    <w:unhideWhenUsed/>
    <w:rsid w:val="000822AC"/>
    <w:pPr>
      <w:spacing w:after="120"/>
    </w:pPr>
  </w:style>
  <w:style w:type="character" w:customStyle="1" w:styleId="aa">
    <w:name w:val="Основной текст Знак"/>
    <w:basedOn w:val="a1"/>
    <w:link w:val="a8"/>
    <w:uiPriority w:val="99"/>
    <w:semiHidden/>
    <w:rsid w:val="000822AC"/>
  </w:style>
  <w:style w:type="paragraph" w:styleId="ab">
    <w:name w:val="No Spacing"/>
    <w:uiPriority w:val="1"/>
    <w:qFormat/>
    <w:rsid w:val="00082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64A78-ADEC-4613-8489-91331A21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Таисия Александровна</dc:creator>
  <cp:keywords/>
  <dc:description/>
  <cp:lastModifiedBy>Афанасьева Таисия Александровна</cp:lastModifiedBy>
  <cp:revision>9</cp:revision>
  <dcterms:created xsi:type="dcterms:W3CDTF">2019-12-12T05:57:00Z</dcterms:created>
  <dcterms:modified xsi:type="dcterms:W3CDTF">2019-12-13T10:21:00Z</dcterms:modified>
</cp:coreProperties>
</file>