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2B83C" w14:textId="77777777" w:rsidR="00E20E70" w:rsidRPr="00C01170" w:rsidRDefault="00924831" w:rsidP="000F54D9">
      <w:pPr>
        <w:pStyle w:val="1"/>
        <w:ind w:left="0" w:right="0"/>
      </w:pPr>
      <w:r w:rsidRPr="00C01170">
        <w:t xml:space="preserve">Role of the IAEA in Coordination of International Cooperation in </w:t>
      </w:r>
      <w:r w:rsidR="000F54D9">
        <w:br/>
      </w:r>
      <w:r w:rsidRPr="00C01170">
        <w:t>the Area of Nuclear Security: Noteworthy Joint Efforts and Program</w:t>
      </w:r>
      <w:r w:rsidR="000F54D9">
        <w:t>ME</w:t>
      </w:r>
      <w:r w:rsidRPr="00C01170">
        <w:t>s of the Agency and the Russian Federation</w:t>
      </w:r>
    </w:p>
    <w:p w14:paraId="36829C28" w14:textId="77777777" w:rsidR="00802381" w:rsidRPr="00C01170" w:rsidRDefault="00015B45" w:rsidP="006D7DFF">
      <w:pPr>
        <w:pStyle w:val="Authornameandaffiliation"/>
        <w:ind w:left="0"/>
        <w:jc w:val="both"/>
      </w:pPr>
    </w:p>
    <w:p w14:paraId="4BAD8A84" w14:textId="77777777" w:rsidR="003B5E0E" w:rsidRPr="00C01170" w:rsidRDefault="00C470BC" w:rsidP="006D7DFF">
      <w:pPr>
        <w:pStyle w:val="Authornameandaffiliation"/>
        <w:ind w:left="0"/>
        <w:jc w:val="both"/>
      </w:pPr>
      <w:r>
        <w:t>N.</w:t>
      </w:r>
      <w:r w:rsidR="00924831" w:rsidRPr="00C01170">
        <w:t xml:space="preserve"> KOZLOVA </w:t>
      </w:r>
    </w:p>
    <w:p w14:paraId="5BA7B794" w14:textId="77777777" w:rsidR="00FF386F" w:rsidRPr="00C01170" w:rsidRDefault="00924831" w:rsidP="006D7DFF">
      <w:pPr>
        <w:pStyle w:val="Authornameandaffiliation"/>
        <w:ind w:left="0"/>
        <w:jc w:val="both"/>
      </w:pPr>
      <w:r w:rsidRPr="00C01170">
        <w:t xml:space="preserve">Rosatom State Atomic Energy Corporation (Rosatom State Corporation) </w:t>
      </w:r>
    </w:p>
    <w:p w14:paraId="4C3A897F" w14:textId="77777777" w:rsidR="00FF386F" w:rsidRPr="00C01170" w:rsidRDefault="00924831" w:rsidP="006D7DFF">
      <w:pPr>
        <w:pStyle w:val="Authornameandaffiliation"/>
        <w:ind w:left="0"/>
        <w:jc w:val="both"/>
      </w:pPr>
      <w:r w:rsidRPr="00C01170">
        <w:t>Moscow, Russian Federation</w:t>
      </w:r>
    </w:p>
    <w:p w14:paraId="7CB9BA14" w14:textId="77777777" w:rsidR="00FF386F" w:rsidRPr="00C01170" w:rsidRDefault="00924831" w:rsidP="006D7DFF">
      <w:pPr>
        <w:pStyle w:val="Authornameandaffiliation"/>
        <w:ind w:left="0"/>
        <w:jc w:val="both"/>
      </w:pPr>
      <w:r>
        <w:t xml:space="preserve">Email: </w:t>
      </w:r>
      <w:hyperlink r:id="rId12" w:history="1">
        <w:r w:rsidRPr="00B46DC3">
          <w:rPr>
            <w:rStyle w:val="af1"/>
          </w:rPr>
          <w:t>NVKozlova</w:t>
        </w:r>
        <w:r w:rsidRPr="00C01170">
          <w:rPr>
            <w:rStyle w:val="af1"/>
          </w:rPr>
          <w:t>@</w:t>
        </w:r>
        <w:r w:rsidRPr="00B46DC3">
          <w:rPr>
            <w:rStyle w:val="af1"/>
          </w:rPr>
          <w:t>rosatom</w:t>
        </w:r>
        <w:r w:rsidRPr="00C01170">
          <w:rPr>
            <w:rStyle w:val="af1"/>
          </w:rPr>
          <w:t>.</w:t>
        </w:r>
        <w:r w:rsidRPr="00B46DC3">
          <w:rPr>
            <w:rStyle w:val="af1"/>
          </w:rPr>
          <w:t>ru</w:t>
        </w:r>
      </w:hyperlink>
      <w:r>
        <w:t xml:space="preserve"> </w:t>
      </w:r>
    </w:p>
    <w:p w14:paraId="7C249583" w14:textId="77777777" w:rsidR="00FF386F" w:rsidRPr="00C01170" w:rsidRDefault="00015B45" w:rsidP="006D7DFF">
      <w:pPr>
        <w:pStyle w:val="Authornameandaffiliation"/>
        <w:ind w:left="0"/>
        <w:jc w:val="both"/>
      </w:pPr>
    </w:p>
    <w:p w14:paraId="2288B35C" w14:textId="77777777" w:rsidR="00FF386F" w:rsidRPr="00C01170" w:rsidRDefault="00C470BC" w:rsidP="006D7DFF">
      <w:pPr>
        <w:pStyle w:val="Authornameandaffiliation"/>
        <w:ind w:left="0"/>
        <w:jc w:val="both"/>
      </w:pPr>
      <w:r>
        <w:t>D.</w:t>
      </w:r>
      <w:r w:rsidR="00924831" w:rsidRPr="00C01170">
        <w:t xml:space="preserve"> ULANOV </w:t>
      </w:r>
    </w:p>
    <w:p w14:paraId="71559222" w14:textId="77777777" w:rsidR="00A11351" w:rsidRPr="00C01170" w:rsidRDefault="00924831" w:rsidP="006D7DFF">
      <w:pPr>
        <w:pStyle w:val="Authornameandaffiliation"/>
        <w:ind w:left="0"/>
        <w:jc w:val="both"/>
      </w:pPr>
      <w:r w:rsidRPr="00C01170">
        <w:t xml:space="preserve">Rosatom State Atomic Energy Corporation (Rosatom State Corporation) </w:t>
      </w:r>
    </w:p>
    <w:p w14:paraId="7AD407A7" w14:textId="77777777" w:rsidR="00A11351" w:rsidRDefault="00924831" w:rsidP="006D7DFF">
      <w:pPr>
        <w:pStyle w:val="Authornameandaffiliation"/>
        <w:ind w:left="0"/>
        <w:jc w:val="both"/>
      </w:pPr>
      <w:r w:rsidRPr="00C01170">
        <w:t>Moscow, Russian Federation</w:t>
      </w:r>
    </w:p>
    <w:p w14:paraId="333681B0" w14:textId="77777777" w:rsidR="00C470BC" w:rsidRDefault="00C470BC" w:rsidP="006D7DFF">
      <w:pPr>
        <w:pStyle w:val="Authornameandaffiliation"/>
        <w:ind w:left="0"/>
        <w:jc w:val="both"/>
      </w:pPr>
    </w:p>
    <w:p w14:paraId="4D1A05B1" w14:textId="77777777" w:rsidR="00C470BC" w:rsidRDefault="00C470BC" w:rsidP="006D7DFF">
      <w:pPr>
        <w:pStyle w:val="Authornameandaffiliation"/>
        <w:ind w:left="0"/>
        <w:jc w:val="both"/>
      </w:pPr>
      <w:r>
        <w:t>G. LEBEDEV</w:t>
      </w:r>
    </w:p>
    <w:p w14:paraId="7A593F73" w14:textId="77777777" w:rsidR="00C470BC" w:rsidRDefault="00C470BC" w:rsidP="006D7DFF">
      <w:pPr>
        <w:pStyle w:val="Authornameandaffiliation"/>
        <w:ind w:left="0"/>
        <w:jc w:val="both"/>
      </w:pPr>
      <w:r>
        <w:t>JSC “IUEC”</w:t>
      </w:r>
    </w:p>
    <w:p w14:paraId="4CE40B0C" w14:textId="77777777" w:rsidR="00C470BC" w:rsidRDefault="00C470BC" w:rsidP="00C470BC">
      <w:pPr>
        <w:pStyle w:val="Authornameandaffiliation"/>
        <w:ind w:left="0"/>
        <w:jc w:val="both"/>
      </w:pPr>
      <w:r w:rsidRPr="00C01170">
        <w:t>Moscow, Russian Federation</w:t>
      </w:r>
    </w:p>
    <w:p w14:paraId="6388B754" w14:textId="77777777" w:rsidR="00AE3417" w:rsidRDefault="00AE3417" w:rsidP="00C470BC">
      <w:pPr>
        <w:pStyle w:val="Authornameandaffiliation"/>
        <w:ind w:left="0"/>
        <w:jc w:val="both"/>
      </w:pPr>
      <w:r>
        <w:t xml:space="preserve">Email: </w:t>
      </w:r>
      <w:hyperlink r:id="rId13" w:history="1">
        <w:r w:rsidRPr="006124B6">
          <w:rPr>
            <w:rStyle w:val="af1"/>
          </w:rPr>
          <w:t>GALebedev@rosatom.ru</w:t>
        </w:r>
      </w:hyperlink>
      <w:r>
        <w:t xml:space="preserve"> </w:t>
      </w:r>
    </w:p>
    <w:p w14:paraId="0EEE07E8" w14:textId="77777777" w:rsidR="00FF386F" w:rsidRPr="00C01170" w:rsidRDefault="00015B45" w:rsidP="006D7DFF">
      <w:pPr>
        <w:pStyle w:val="Authornameandaffiliation"/>
        <w:ind w:left="0"/>
        <w:jc w:val="both"/>
      </w:pPr>
    </w:p>
    <w:p w14:paraId="5CB20275" w14:textId="77777777" w:rsidR="00647F33" w:rsidRPr="00C01170" w:rsidRDefault="00924831" w:rsidP="006D7DFF">
      <w:pPr>
        <w:pStyle w:val="Authornameandaffiliation"/>
        <w:ind w:left="0"/>
        <w:jc w:val="both"/>
        <w:rPr>
          <w:b/>
        </w:rPr>
      </w:pPr>
      <w:r w:rsidRPr="00647F33">
        <w:rPr>
          <w:b/>
        </w:rPr>
        <w:t>Abstract</w:t>
      </w:r>
    </w:p>
    <w:p w14:paraId="34151EAB" w14:textId="77777777" w:rsidR="00647F33" w:rsidRPr="00C01170" w:rsidRDefault="00015B45" w:rsidP="006D7DFF">
      <w:pPr>
        <w:pStyle w:val="Authornameandaffiliation"/>
        <w:ind w:left="0"/>
        <w:jc w:val="both"/>
      </w:pPr>
    </w:p>
    <w:p w14:paraId="294649A2" w14:textId="77777777" w:rsidR="00647F33" w:rsidRPr="00C01170" w:rsidRDefault="00924831" w:rsidP="006D7DFF">
      <w:pPr>
        <w:pStyle w:val="Abstracttext"/>
        <w:jc w:val="both"/>
      </w:pPr>
      <w:r w:rsidRPr="00C01170">
        <w:t xml:space="preserve">The </w:t>
      </w:r>
      <w:r w:rsidR="00A33EC4">
        <w:t>paper</w:t>
      </w:r>
      <w:r w:rsidRPr="00C01170">
        <w:t xml:space="preserve"> emphasizes the IAEA capability to solve the vast set of tasks in the area of peaceful atomic energy use, </w:t>
      </w:r>
      <w:r w:rsidR="001D40B1">
        <w:t xml:space="preserve">emphasized </w:t>
      </w:r>
      <w:r w:rsidRPr="00C01170">
        <w:t xml:space="preserve">the role of the Agency in coordination of international cooperation and technical assistance to the </w:t>
      </w:r>
      <w:r w:rsidR="00CB60D7">
        <w:t>Member State</w:t>
      </w:r>
      <w:r w:rsidR="0077279E">
        <w:t>s upon their requests</w:t>
      </w:r>
      <w:r w:rsidRPr="00C01170">
        <w:t xml:space="preserve"> in arrangement of</w:t>
      </w:r>
      <w:r w:rsidR="001D40B1">
        <w:t xml:space="preserve"> their</w:t>
      </w:r>
      <w:r w:rsidRPr="00C01170">
        <w:t xml:space="preserve"> national nuclear security systems and measures. Importance of these activities</w:t>
      </w:r>
      <w:r w:rsidR="00822275">
        <w:t xml:space="preserve"> is</w:t>
      </w:r>
      <w:r w:rsidRPr="00C01170">
        <w:t xml:space="preserve"> </w:t>
      </w:r>
      <w:r w:rsidR="00822275">
        <w:t>undeniable</w:t>
      </w:r>
      <w:r w:rsidRPr="00C01170">
        <w:t xml:space="preserve"> and</w:t>
      </w:r>
      <w:r w:rsidR="00822275">
        <w:t xml:space="preserve"> the paper</w:t>
      </w:r>
      <w:r w:rsidRPr="00C01170">
        <w:t xml:space="preserve"> support</w:t>
      </w:r>
      <w:r w:rsidR="00822275">
        <w:t>s that</w:t>
      </w:r>
      <w:r w:rsidRPr="00C01170">
        <w:t xml:space="preserve">. </w:t>
      </w:r>
      <w:r w:rsidR="001D40B1">
        <w:t xml:space="preserve">The </w:t>
      </w:r>
      <w:r w:rsidRPr="00C01170">
        <w:t xml:space="preserve">necessity to </w:t>
      </w:r>
      <w:proofErr w:type="gramStart"/>
      <w:r w:rsidRPr="00C01170">
        <w:t>be guided</w:t>
      </w:r>
      <w:proofErr w:type="gramEnd"/>
      <w:r w:rsidRPr="00C01170">
        <w:t xml:space="preserve"> by the commitment to accommodate the interests of </w:t>
      </w:r>
      <w:r w:rsidR="00822275">
        <w:t xml:space="preserve">the </w:t>
      </w:r>
      <w:r w:rsidR="00CB60D7">
        <w:t>Member State</w:t>
      </w:r>
      <w:r w:rsidRPr="00C01170">
        <w:t xml:space="preserve">s to the fullest extent possible in order to use the human, financial and intellectual resources of the Agency </w:t>
      </w:r>
      <w:r w:rsidR="00CB60D7">
        <w:t>Member State</w:t>
      </w:r>
      <w:r w:rsidRPr="00C01170">
        <w:t xml:space="preserve">s and the IAEA with the maximum efficiency, as well as appropriateness of flexibility and readiness for conversation in the common interests is noted. </w:t>
      </w:r>
      <w:r w:rsidR="001D40B1">
        <w:t>The paper expresses the</w:t>
      </w:r>
      <w:r w:rsidRPr="00C01170">
        <w:t xml:space="preserve"> necessity to comply with such basic principles of international cooperation in the area of nuclear security</w:t>
      </w:r>
      <w:r w:rsidR="001D40B1">
        <w:t>, which includes</w:t>
      </w:r>
      <w:r w:rsidRPr="00C01170">
        <w:t xml:space="preserve"> sole responsibility of any country for nuclear security within its territory; provision of assistance to any country only upon its request; protection of sensitive inf</w:t>
      </w:r>
      <w:r w:rsidR="001D40B1">
        <w:t xml:space="preserve">ormation and maintenance of non-legally binding </w:t>
      </w:r>
      <w:r w:rsidRPr="00C01170">
        <w:t xml:space="preserve">status of the nuclear security documentation. The aim of the report is to enhance awareness of the IAEA </w:t>
      </w:r>
      <w:r w:rsidR="00CB60D7">
        <w:t>Member State</w:t>
      </w:r>
      <w:r w:rsidRPr="00C01170">
        <w:t xml:space="preserve">s with regard to the available capabilities and </w:t>
      </w:r>
      <w:r w:rsidR="000F54D9">
        <w:t>programme</w:t>
      </w:r>
      <w:r w:rsidRPr="00C01170">
        <w:t xml:space="preserve">s of the IAEA Secretariat. For </w:t>
      </w:r>
      <w:r w:rsidR="0013306F">
        <w:t>such</w:t>
      </w:r>
      <w:r w:rsidRPr="00C01170">
        <w:t xml:space="preserve"> </w:t>
      </w:r>
      <w:r w:rsidR="00C01170" w:rsidRPr="00C01170">
        <w:t>purpose,</w:t>
      </w:r>
      <w:r w:rsidRPr="00C01170">
        <w:t xml:space="preserve"> </w:t>
      </w:r>
      <w:r w:rsidR="0013306F">
        <w:t xml:space="preserve">paper </w:t>
      </w:r>
      <w:r w:rsidRPr="00C01170">
        <w:t>review</w:t>
      </w:r>
      <w:r w:rsidR="0013306F">
        <w:t>s</w:t>
      </w:r>
      <w:r w:rsidRPr="00C01170">
        <w:t xml:space="preserve"> various mechanisms and projects implemented by the IAEA Secretariat with the assistance of the Russian </w:t>
      </w:r>
      <w:r w:rsidR="0013306F">
        <w:t>Federation.</w:t>
      </w:r>
      <w:r w:rsidRPr="00C01170">
        <w:t xml:space="preserve"> </w:t>
      </w:r>
      <w:r w:rsidR="0013306F">
        <w:t>The report presents</w:t>
      </w:r>
      <w:r w:rsidRPr="00C01170">
        <w:t xml:space="preserve"> information on technical assistance and help provided by the Russian </w:t>
      </w:r>
      <w:r w:rsidR="0013306F">
        <w:t>side</w:t>
      </w:r>
      <w:r w:rsidRPr="00C01170">
        <w:t xml:space="preserve"> to the partner states in the area of nuclear security in full accordance with the IAEA recommendations and approaches. </w:t>
      </w:r>
      <w:r w:rsidR="0013306F">
        <w:t>The e</w:t>
      </w:r>
      <w:r w:rsidRPr="00C01170">
        <w:t>xamples of</w:t>
      </w:r>
      <w:r w:rsidR="0013306F">
        <w:t xml:space="preserve"> current</w:t>
      </w:r>
      <w:r w:rsidRPr="00C01170">
        <w:t xml:space="preserve"> successful cooperation and plans for further interaction </w:t>
      </w:r>
      <w:proofErr w:type="gramStart"/>
      <w:r w:rsidRPr="00C01170">
        <w:t>are provided</w:t>
      </w:r>
      <w:proofErr w:type="gramEnd"/>
      <w:r w:rsidR="00A0196A">
        <w:t>.</w:t>
      </w:r>
      <w:r w:rsidRPr="00C01170">
        <w:t xml:space="preserve"> </w:t>
      </w:r>
      <w:r w:rsidR="0013306F">
        <w:t xml:space="preserve">Paper specifies </w:t>
      </w:r>
      <w:r w:rsidR="0013306F" w:rsidRPr="00C01170">
        <w:t>the</w:t>
      </w:r>
      <w:r w:rsidRPr="00C01170">
        <w:t xml:space="preserve"> basic principles and priorities of Russia</w:t>
      </w:r>
      <w:r w:rsidR="0013306F">
        <w:t>n Federation</w:t>
      </w:r>
      <w:r w:rsidRPr="00C01170">
        <w:t xml:space="preserve"> in support of the IAEA Secretariat activities</w:t>
      </w:r>
      <w:r w:rsidR="0013306F">
        <w:t>.</w:t>
      </w:r>
    </w:p>
    <w:p w14:paraId="08839895" w14:textId="77777777" w:rsidR="00647F33" w:rsidRPr="009A56FF" w:rsidRDefault="00924831" w:rsidP="006D7DFF">
      <w:pPr>
        <w:pStyle w:val="2"/>
        <w:numPr>
          <w:ilvl w:val="1"/>
          <w:numId w:val="10"/>
        </w:numPr>
        <w:jc w:val="both"/>
        <w:rPr>
          <w:b/>
        </w:rPr>
      </w:pPr>
      <w:r w:rsidRPr="009A56FF">
        <w:rPr>
          <w:b/>
          <w:lang w:val="ru-RU"/>
        </w:rPr>
        <w:t>INTRODUCTION</w:t>
      </w:r>
    </w:p>
    <w:p w14:paraId="3B813F9B" w14:textId="149FAEF3" w:rsidR="00EE0041" w:rsidRPr="00B05A13" w:rsidRDefault="00924831" w:rsidP="006D7DFF">
      <w:pPr>
        <w:pStyle w:val="a1"/>
        <w:rPr>
          <w:lang w:val="en-US"/>
        </w:rPr>
      </w:pPr>
      <w:r w:rsidRPr="00C01170">
        <w:rPr>
          <w:lang w:val="en-US"/>
        </w:rPr>
        <w:t>The IAEA is a professional and technical organization playing the central role in the international cooperation and technical a</w:t>
      </w:r>
      <w:r w:rsidR="0077279E">
        <w:rPr>
          <w:lang w:val="en-US"/>
        </w:rPr>
        <w:t xml:space="preserve">ssistance to the </w:t>
      </w:r>
      <w:r w:rsidR="00CB60D7">
        <w:rPr>
          <w:lang w:val="en-US"/>
        </w:rPr>
        <w:t>Member State</w:t>
      </w:r>
      <w:r w:rsidR="0077279E">
        <w:rPr>
          <w:lang w:val="en-US"/>
        </w:rPr>
        <w:t>s upon their requests</w:t>
      </w:r>
      <w:r w:rsidRPr="00C01170">
        <w:rPr>
          <w:lang w:val="en-US"/>
        </w:rPr>
        <w:t xml:space="preserve"> in arrangement of their own national nuclear security systems and measures. </w:t>
      </w:r>
      <w:r w:rsidR="005E3C8E">
        <w:rPr>
          <w:lang w:val="en-US"/>
        </w:rPr>
        <w:t>T</w:t>
      </w:r>
      <w:r w:rsidRPr="00C01170">
        <w:rPr>
          <w:lang w:val="en-US"/>
        </w:rPr>
        <w:t xml:space="preserve">he </w:t>
      </w:r>
      <w:r w:rsidR="005E3C8E">
        <w:rPr>
          <w:lang w:val="en-US"/>
        </w:rPr>
        <w:t>Agency</w:t>
      </w:r>
      <w:r w:rsidRPr="00C01170">
        <w:rPr>
          <w:lang w:val="en-US"/>
        </w:rPr>
        <w:t xml:space="preserve"> </w:t>
      </w:r>
      <w:proofErr w:type="gramStart"/>
      <w:r w:rsidR="0077279E">
        <w:rPr>
          <w:lang w:val="en-US"/>
        </w:rPr>
        <w:t>is recognized</w:t>
      </w:r>
      <w:proofErr w:type="gramEnd"/>
      <w:r w:rsidR="0077279E">
        <w:rPr>
          <w:lang w:val="en-US"/>
        </w:rPr>
        <w:t xml:space="preserve"> as</w:t>
      </w:r>
      <w:r w:rsidRPr="00C01170">
        <w:rPr>
          <w:lang w:val="en-US"/>
        </w:rPr>
        <w:t xml:space="preserve"> the organization capable to solve the vast set of tasks in the area of peaceful atomic energy use. The </w:t>
      </w:r>
      <w:r w:rsidR="00C16A29">
        <w:rPr>
          <w:lang w:val="en-US"/>
        </w:rPr>
        <w:t>63</w:t>
      </w:r>
      <w:r w:rsidR="00C16A29" w:rsidRPr="00C16A29">
        <w:rPr>
          <w:vertAlign w:val="superscript"/>
          <w:lang w:val="en-US"/>
        </w:rPr>
        <w:t>rd</w:t>
      </w:r>
      <w:r w:rsidR="00C16A29">
        <w:rPr>
          <w:lang w:val="en-US"/>
        </w:rPr>
        <w:t xml:space="preserve"> </w:t>
      </w:r>
      <w:r w:rsidRPr="00C01170">
        <w:rPr>
          <w:lang w:val="en-US"/>
        </w:rPr>
        <w:t xml:space="preserve">General Conference of the IAEA welcomes </w:t>
      </w:r>
      <w:r w:rsidR="00CB60D7">
        <w:rPr>
          <w:lang w:val="en-US"/>
        </w:rPr>
        <w:t>Member State</w:t>
      </w:r>
      <w:r w:rsidR="00C16A29">
        <w:rPr>
          <w:lang w:val="en-US"/>
        </w:rPr>
        <w:t xml:space="preserve">s’ contribution towards </w:t>
      </w:r>
      <w:r w:rsidRPr="00C01170">
        <w:rPr>
          <w:lang w:val="en-US"/>
        </w:rPr>
        <w:t>raising the awareness of the nuclear security activities</w:t>
      </w:r>
      <w:r w:rsidR="00C16A29">
        <w:rPr>
          <w:lang w:val="en-US"/>
        </w:rPr>
        <w:t xml:space="preserve"> of the</w:t>
      </w:r>
      <w:r w:rsidR="00C16A29" w:rsidRPr="00C16A29">
        <w:rPr>
          <w:lang w:val="en-US"/>
        </w:rPr>
        <w:t xml:space="preserve"> </w:t>
      </w:r>
      <w:r w:rsidR="00C16A29" w:rsidRPr="00C01170">
        <w:rPr>
          <w:lang w:val="en-US"/>
        </w:rPr>
        <w:t>Agency</w:t>
      </w:r>
      <w:r w:rsidR="00C16A29">
        <w:rPr>
          <w:lang w:val="en-US"/>
        </w:rPr>
        <w:t>,</w:t>
      </w:r>
      <w:r w:rsidRPr="00C01170">
        <w:rPr>
          <w:lang w:val="en-US"/>
        </w:rPr>
        <w:t xml:space="preserve"> </w:t>
      </w:r>
      <w:r w:rsidR="00C16A29">
        <w:rPr>
          <w:lang w:val="en-US"/>
        </w:rPr>
        <w:t xml:space="preserve">with </w:t>
      </w:r>
      <w:r w:rsidRPr="00C01170">
        <w:rPr>
          <w:lang w:val="en-US"/>
        </w:rPr>
        <w:t>confidentiality</w:t>
      </w:r>
      <w:r w:rsidR="00C16A29">
        <w:rPr>
          <w:lang w:val="en-US"/>
        </w:rPr>
        <w:t xml:space="preserve"> considerations in this regard</w:t>
      </w:r>
      <w:r w:rsidRPr="00C01170">
        <w:rPr>
          <w:lang w:val="en-US"/>
        </w:rPr>
        <w:t xml:space="preserve"> [1].</w:t>
      </w:r>
    </w:p>
    <w:p w14:paraId="6871EEFA" w14:textId="77777777" w:rsidR="00E43DC4" w:rsidRPr="00C01170" w:rsidRDefault="00C54EFD" w:rsidP="006D7DFF">
      <w:pPr>
        <w:pStyle w:val="a1"/>
        <w:rPr>
          <w:lang w:val="en-US"/>
        </w:rPr>
      </w:pPr>
      <w:r>
        <w:rPr>
          <w:lang w:val="en-US"/>
        </w:rPr>
        <w:t>The aim</w:t>
      </w:r>
      <w:r w:rsidR="00924831" w:rsidRPr="00C01170">
        <w:rPr>
          <w:lang w:val="en-US"/>
        </w:rPr>
        <w:t xml:space="preserve"> of the </w:t>
      </w:r>
      <w:r>
        <w:rPr>
          <w:lang w:val="en-US"/>
        </w:rPr>
        <w:t>paper is</w:t>
      </w:r>
      <w:r w:rsidR="00924831" w:rsidRPr="00C01170">
        <w:rPr>
          <w:lang w:val="en-US"/>
        </w:rPr>
        <w:t xml:space="preserve"> to confirm </w:t>
      </w:r>
      <w:r w:rsidRPr="00C01170">
        <w:rPr>
          <w:lang w:val="en-US"/>
        </w:rPr>
        <w:t xml:space="preserve">the IAEA </w:t>
      </w:r>
      <w:r w:rsidR="00924831" w:rsidRPr="00C01170">
        <w:rPr>
          <w:lang w:val="en-US"/>
        </w:rPr>
        <w:t xml:space="preserve">central role in </w:t>
      </w:r>
      <w:r>
        <w:rPr>
          <w:lang w:val="en-US"/>
        </w:rPr>
        <w:t xml:space="preserve">globally </w:t>
      </w:r>
      <w:r w:rsidR="00924831" w:rsidRPr="00C01170">
        <w:rPr>
          <w:lang w:val="en-US"/>
        </w:rPr>
        <w:t xml:space="preserve">strengthening the nuclear security framework, coordinating international activities and assisting </w:t>
      </w:r>
      <w:r w:rsidRPr="00C01170">
        <w:rPr>
          <w:lang w:val="en-US"/>
        </w:rPr>
        <w:t xml:space="preserve">upon requests </w:t>
      </w:r>
      <w:r w:rsidR="00924831" w:rsidRPr="00C01170">
        <w:rPr>
          <w:lang w:val="en-US"/>
        </w:rPr>
        <w:t xml:space="preserve">to the </w:t>
      </w:r>
      <w:r w:rsidR="00CB60D7">
        <w:rPr>
          <w:lang w:val="en-US"/>
        </w:rPr>
        <w:t>Member State</w:t>
      </w:r>
      <w:r w:rsidR="00924831" w:rsidRPr="00C01170">
        <w:rPr>
          <w:lang w:val="en-US"/>
        </w:rPr>
        <w:t xml:space="preserve">s in their efforts </w:t>
      </w:r>
      <w:r>
        <w:rPr>
          <w:lang w:val="en-US"/>
        </w:rPr>
        <w:t>to establish</w:t>
      </w:r>
      <w:r w:rsidR="00924831" w:rsidRPr="00C01170">
        <w:rPr>
          <w:lang w:val="en-US"/>
        </w:rPr>
        <w:t xml:space="preserve"> efficient and sustainable national nuclear security regimes</w:t>
      </w:r>
      <w:r>
        <w:rPr>
          <w:lang w:val="en-US"/>
        </w:rPr>
        <w:t>. The report</w:t>
      </w:r>
      <w:r w:rsidR="00924831" w:rsidRPr="00C01170">
        <w:rPr>
          <w:lang w:val="en-US"/>
        </w:rPr>
        <w:t xml:space="preserve"> </w:t>
      </w:r>
      <w:r>
        <w:rPr>
          <w:lang w:val="en-US"/>
        </w:rPr>
        <w:t xml:space="preserve">strives </w:t>
      </w:r>
      <w:r w:rsidR="00924831" w:rsidRPr="00C01170">
        <w:rPr>
          <w:lang w:val="en-US"/>
        </w:rPr>
        <w:t xml:space="preserve">to enhance awareness of the </w:t>
      </w:r>
      <w:r w:rsidR="00CB60D7">
        <w:rPr>
          <w:lang w:val="en-US"/>
        </w:rPr>
        <w:t>Member State</w:t>
      </w:r>
      <w:r w:rsidR="00924831" w:rsidRPr="00C01170">
        <w:rPr>
          <w:lang w:val="en-US"/>
        </w:rPr>
        <w:t xml:space="preserve">s with regard to the available capabilities and </w:t>
      </w:r>
      <w:r w:rsidR="000F54D9">
        <w:rPr>
          <w:lang w:val="en-US"/>
        </w:rPr>
        <w:t>programme</w:t>
      </w:r>
      <w:r w:rsidR="00924831" w:rsidRPr="00C01170">
        <w:rPr>
          <w:lang w:val="en-US"/>
        </w:rPr>
        <w:t xml:space="preserve">s of the IAEA Secretariat. For this </w:t>
      </w:r>
      <w:r w:rsidR="00C01170" w:rsidRPr="00C01170">
        <w:rPr>
          <w:lang w:val="en-US"/>
        </w:rPr>
        <w:t>purpose,</w:t>
      </w:r>
      <w:r>
        <w:rPr>
          <w:lang w:val="en-US"/>
        </w:rPr>
        <w:t xml:space="preserve"> paper presents</w:t>
      </w:r>
      <w:r w:rsidR="00924831" w:rsidRPr="00C01170">
        <w:rPr>
          <w:lang w:val="en-US"/>
        </w:rPr>
        <w:t xml:space="preserve"> </w:t>
      </w:r>
      <w:r w:rsidR="00530530">
        <w:rPr>
          <w:lang w:val="en-US"/>
        </w:rPr>
        <w:t xml:space="preserve">inter alia </w:t>
      </w:r>
      <w:r w:rsidR="00530530" w:rsidRPr="00C01170">
        <w:rPr>
          <w:lang w:val="en-US"/>
        </w:rPr>
        <w:t xml:space="preserve">examples of </w:t>
      </w:r>
      <w:r w:rsidR="00530530">
        <w:rPr>
          <w:lang w:val="en-US"/>
        </w:rPr>
        <w:t>projects</w:t>
      </w:r>
      <w:r w:rsidR="00530530" w:rsidRPr="00C01170">
        <w:rPr>
          <w:lang w:val="en-US"/>
        </w:rPr>
        <w:t xml:space="preserve"> implemented </w:t>
      </w:r>
      <w:r w:rsidR="00530530">
        <w:rPr>
          <w:lang w:val="en-US"/>
        </w:rPr>
        <w:t xml:space="preserve">by </w:t>
      </w:r>
      <w:r w:rsidR="00530530" w:rsidRPr="00C01170">
        <w:rPr>
          <w:lang w:val="en-US"/>
        </w:rPr>
        <w:t xml:space="preserve">the IAEA Secretariat </w:t>
      </w:r>
      <w:r w:rsidR="00530530">
        <w:rPr>
          <w:lang w:val="en-US"/>
        </w:rPr>
        <w:t xml:space="preserve">with Russian Federation </w:t>
      </w:r>
      <w:r w:rsidRPr="00C01170">
        <w:rPr>
          <w:lang w:val="en-US"/>
        </w:rPr>
        <w:t>assistance</w:t>
      </w:r>
      <w:r w:rsidR="00530530">
        <w:rPr>
          <w:lang w:val="en-US"/>
        </w:rPr>
        <w:t xml:space="preserve"> </w:t>
      </w:r>
      <w:r w:rsidR="00924831" w:rsidRPr="00C01170">
        <w:rPr>
          <w:lang w:val="en-US"/>
        </w:rPr>
        <w:t xml:space="preserve">and the information on technical help provided by the Russian </w:t>
      </w:r>
      <w:r w:rsidR="00530530">
        <w:rPr>
          <w:lang w:val="en-US"/>
        </w:rPr>
        <w:t>side</w:t>
      </w:r>
      <w:r w:rsidR="00924831" w:rsidRPr="00C01170">
        <w:rPr>
          <w:lang w:val="en-US"/>
        </w:rPr>
        <w:t xml:space="preserve"> to the partner states in the area of nuclear security in full accordance with the IAEA recommendations and approaches. </w:t>
      </w:r>
    </w:p>
    <w:p w14:paraId="75E9EC92" w14:textId="77777777" w:rsidR="00E25B68" w:rsidRPr="009A56FF" w:rsidRDefault="00924831" w:rsidP="006D7DFF">
      <w:pPr>
        <w:pStyle w:val="2"/>
        <w:numPr>
          <w:ilvl w:val="1"/>
          <w:numId w:val="10"/>
        </w:numPr>
        <w:jc w:val="both"/>
        <w:rPr>
          <w:b/>
          <w:lang w:val="en-US"/>
        </w:rPr>
      </w:pPr>
      <w:r w:rsidRPr="009A56FF">
        <w:rPr>
          <w:b/>
          <w:lang w:val="en-US"/>
        </w:rPr>
        <w:t xml:space="preserve">INTERNATIONAL COOPERATION IN THE AREA OF NUCLEAR SECURITY: Role of the IAEA and Basic principles </w:t>
      </w:r>
    </w:p>
    <w:p w14:paraId="2A2591A1" w14:textId="77777777" w:rsidR="008F7C1F" w:rsidRPr="00E43DC4" w:rsidRDefault="00924831" w:rsidP="006D7DFF">
      <w:pPr>
        <w:pStyle w:val="a1"/>
        <w:rPr>
          <w:lang w:val="en-US"/>
        </w:rPr>
      </w:pPr>
      <w:r w:rsidRPr="00C01170">
        <w:rPr>
          <w:lang w:val="en-US"/>
        </w:rPr>
        <w:t xml:space="preserve">The </w:t>
      </w:r>
      <w:r w:rsidR="006F026A" w:rsidRPr="00C01170">
        <w:rPr>
          <w:lang w:val="en-US"/>
        </w:rPr>
        <w:t xml:space="preserve">IAEA </w:t>
      </w:r>
      <w:r w:rsidRPr="00C01170">
        <w:rPr>
          <w:lang w:val="en-US"/>
        </w:rPr>
        <w:t>General Conference affirm</w:t>
      </w:r>
      <w:r w:rsidR="00567266">
        <w:rPr>
          <w:lang w:val="en-US"/>
        </w:rPr>
        <w:t>ed</w:t>
      </w:r>
      <w:r w:rsidRPr="00C01170">
        <w:rPr>
          <w:lang w:val="en-US"/>
        </w:rPr>
        <w:t xml:space="preserve"> </w:t>
      </w:r>
      <w:r w:rsidR="00567266">
        <w:rPr>
          <w:lang w:val="en-US"/>
        </w:rPr>
        <w:t xml:space="preserve">the Agency’s </w:t>
      </w:r>
      <w:r w:rsidRPr="00C01170">
        <w:rPr>
          <w:lang w:val="en-US"/>
        </w:rPr>
        <w:t xml:space="preserve">central role in strengthening the nuclear security framework </w:t>
      </w:r>
      <w:r w:rsidR="006F026A" w:rsidRPr="00C01170">
        <w:rPr>
          <w:lang w:val="en-US"/>
        </w:rPr>
        <w:t xml:space="preserve">globally </w:t>
      </w:r>
      <w:r w:rsidRPr="00C01170">
        <w:rPr>
          <w:lang w:val="en-US"/>
        </w:rPr>
        <w:t>and in coordinating international activities i</w:t>
      </w:r>
      <w:r w:rsidR="006F026A">
        <w:rPr>
          <w:lang w:val="en-US"/>
        </w:rPr>
        <w:t xml:space="preserve">n the field of nuclear security </w:t>
      </w:r>
      <w:r w:rsidRPr="00C01170">
        <w:rPr>
          <w:lang w:val="en-US"/>
        </w:rPr>
        <w:t xml:space="preserve">[1]. It also </w:t>
      </w:r>
      <w:r w:rsidR="006F026A">
        <w:rPr>
          <w:lang w:val="en-US"/>
        </w:rPr>
        <w:t>recognized</w:t>
      </w:r>
      <w:r w:rsidRPr="00C01170">
        <w:rPr>
          <w:lang w:val="en-US"/>
        </w:rPr>
        <w:t xml:space="preserve"> the central role of the Agency in developing comprehensive nuclear s</w:t>
      </w:r>
      <w:r w:rsidR="006F026A">
        <w:rPr>
          <w:lang w:val="en-US"/>
        </w:rPr>
        <w:t>ecurity guidance documents and</w:t>
      </w:r>
      <w:r w:rsidRPr="00C01170">
        <w:rPr>
          <w:lang w:val="en-US"/>
        </w:rPr>
        <w:t xml:space="preserve"> providing assistance to </w:t>
      </w:r>
      <w:r w:rsidR="00CB60D7">
        <w:rPr>
          <w:lang w:val="en-US"/>
        </w:rPr>
        <w:t>Member State</w:t>
      </w:r>
      <w:r w:rsidRPr="00C01170">
        <w:rPr>
          <w:lang w:val="en-US"/>
        </w:rPr>
        <w:t xml:space="preserve">s </w:t>
      </w:r>
      <w:r w:rsidR="006F026A" w:rsidRPr="00C01170">
        <w:rPr>
          <w:lang w:val="en-US"/>
        </w:rPr>
        <w:lastRenderedPageBreak/>
        <w:t xml:space="preserve">on request </w:t>
      </w:r>
      <w:r w:rsidRPr="00C01170">
        <w:rPr>
          <w:lang w:val="en-US"/>
        </w:rPr>
        <w:t xml:space="preserve">in </w:t>
      </w:r>
      <w:r w:rsidR="006F026A">
        <w:rPr>
          <w:lang w:val="en-US"/>
        </w:rPr>
        <w:t>support to</w:t>
      </w:r>
      <w:r w:rsidRPr="00C01170">
        <w:rPr>
          <w:lang w:val="en-US"/>
        </w:rPr>
        <w:t xml:space="preserve"> the efforts of </w:t>
      </w:r>
      <w:r w:rsidR="006F026A">
        <w:rPr>
          <w:lang w:val="en-US"/>
        </w:rPr>
        <w:t xml:space="preserve">these </w:t>
      </w:r>
      <w:r w:rsidRPr="00C01170">
        <w:rPr>
          <w:lang w:val="en-US"/>
        </w:rPr>
        <w:t>States to fulfil their responsibilities to ensure</w:t>
      </w:r>
      <w:r w:rsidR="006F026A">
        <w:rPr>
          <w:lang w:val="en-US"/>
        </w:rPr>
        <w:t xml:space="preserve"> the</w:t>
      </w:r>
      <w:r w:rsidRPr="00C01170">
        <w:rPr>
          <w:lang w:val="en-US"/>
        </w:rPr>
        <w:t xml:space="preserve"> security of civilian nuclear and other radioactive material. </w:t>
      </w:r>
    </w:p>
    <w:p w14:paraId="7E50993D" w14:textId="60ABFB8E" w:rsidR="003949F1" w:rsidRPr="00C01170" w:rsidRDefault="00924831" w:rsidP="006D7DFF">
      <w:pPr>
        <w:pStyle w:val="a1"/>
        <w:rPr>
          <w:lang w:val="en-US"/>
        </w:rPr>
      </w:pPr>
      <w:r w:rsidRPr="00C01170">
        <w:rPr>
          <w:lang w:val="en-US"/>
        </w:rPr>
        <w:t>As the head of the Rus</w:t>
      </w:r>
      <w:r w:rsidR="00974E0B">
        <w:rPr>
          <w:lang w:val="en-US"/>
        </w:rPr>
        <w:t>sian delegation noted at the 63</w:t>
      </w:r>
      <w:r w:rsidRPr="00974E0B">
        <w:rPr>
          <w:vertAlign w:val="superscript"/>
          <w:lang w:val="en-US"/>
        </w:rPr>
        <w:t>rd</w:t>
      </w:r>
      <w:r w:rsidRPr="00C01170">
        <w:rPr>
          <w:lang w:val="en-US"/>
        </w:rPr>
        <w:t xml:space="preserve"> session of the General IAEA Conference, </w:t>
      </w:r>
      <w:r w:rsidR="00785A2C" w:rsidRPr="00785A2C">
        <w:rPr>
          <w:lang w:val="en-US"/>
        </w:rPr>
        <w:t>«</w:t>
      </w:r>
      <w:r w:rsidRPr="00C01170">
        <w:rPr>
          <w:lang w:val="en-US"/>
        </w:rPr>
        <w:t>tasks the IAEA faces with are complex and diverse. But we are sure that the IAEA can cope with them</w:t>
      </w:r>
      <w:r w:rsidR="00C01170" w:rsidRPr="00C01170">
        <w:rPr>
          <w:lang w:val="en-US"/>
        </w:rPr>
        <w:t>» [</w:t>
      </w:r>
      <w:r w:rsidRPr="003B1703">
        <w:rPr>
          <w:lang w:val="en-US"/>
        </w:rPr>
        <w:t>2]</w:t>
      </w:r>
      <w:r w:rsidRPr="00C01170">
        <w:rPr>
          <w:lang w:val="en-US"/>
        </w:rPr>
        <w:t xml:space="preserve">. He also mentioned availability of the good basis for increase of the IAEA contribution into implementation of both current and new agenda for international cooperation at present day. Russia has </w:t>
      </w:r>
      <w:r w:rsidR="00FF2218" w:rsidRPr="00FF2218">
        <w:rPr>
          <w:lang w:val="en-US"/>
        </w:rPr>
        <w:t>consistently</w:t>
      </w:r>
      <w:r w:rsidR="00FF2218" w:rsidRPr="00C01170">
        <w:rPr>
          <w:lang w:val="en-US"/>
        </w:rPr>
        <w:t xml:space="preserve"> </w:t>
      </w:r>
      <w:r w:rsidRPr="00C01170">
        <w:rPr>
          <w:lang w:val="en-US"/>
        </w:rPr>
        <w:t xml:space="preserve">supported the </w:t>
      </w:r>
      <w:r w:rsidR="00FF2218">
        <w:rPr>
          <w:lang w:val="en-US"/>
        </w:rPr>
        <w:t>Agency</w:t>
      </w:r>
      <w:r w:rsidRPr="00FF2218">
        <w:rPr>
          <w:lang w:val="en-US"/>
        </w:rPr>
        <w:t>, and</w:t>
      </w:r>
      <w:r w:rsidR="00FF2218" w:rsidRPr="00FF2218">
        <w:rPr>
          <w:lang w:val="en-US"/>
        </w:rPr>
        <w:t xml:space="preserve"> it</w:t>
      </w:r>
      <w:r w:rsidRPr="00FF2218">
        <w:rPr>
          <w:lang w:val="en-US"/>
        </w:rPr>
        <w:t xml:space="preserve"> now continues</w:t>
      </w:r>
      <w:r w:rsidRPr="00C01170">
        <w:rPr>
          <w:lang w:val="en-US"/>
        </w:rPr>
        <w:t xml:space="preserve"> active cooperation with the Agency. It </w:t>
      </w:r>
      <w:proofErr w:type="gramStart"/>
      <w:r w:rsidRPr="00C01170">
        <w:rPr>
          <w:lang w:val="en-US"/>
        </w:rPr>
        <w:t>is stated</w:t>
      </w:r>
      <w:proofErr w:type="gramEnd"/>
      <w:r w:rsidRPr="00C01170">
        <w:rPr>
          <w:lang w:val="en-US"/>
        </w:rPr>
        <w:t xml:space="preserve"> in the speech of </w:t>
      </w:r>
      <w:r w:rsidR="00C01170" w:rsidRPr="00C01170">
        <w:rPr>
          <w:lang w:val="en-US"/>
        </w:rPr>
        <w:t xml:space="preserve">A. </w:t>
      </w:r>
      <w:proofErr w:type="spellStart"/>
      <w:r w:rsidR="00C01170" w:rsidRPr="00C01170">
        <w:rPr>
          <w:lang w:val="en-US"/>
        </w:rPr>
        <w:t>Likhachev</w:t>
      </w:r>
      <w:proofErr w:type="spellEnd"/>
      <w:r w:rsidRPr="00C01170">
        <w:rPr>
          <w:lang w:val="en-US"/>
        </w:rPr>
        <w:t>, Director General of Rosatom State Corporation, at</w:t>
      </w:r>
      <w:r w:rsidR="00974E0B">
        <w:rPr>
          <w:lang w:val="en-US"/>
        </w:rPr>
        <w:t xml:space="preserve"> the plenary assembly of the 63</w:t>
      </w:r>
      <w:r w:rsidRPr="00974E0B">
        <w:rPr>
          <w:vertAlign w:val="superscript"/>
          <w:lang w:val="en-US"/>
        </w:rPr>
        <w:t>rd</w:t>
      </w:r>
      <w:r w:rsidRPr="00C01170">
        <w:rPr>
          <w:lang w:val="en-US"/>
        </w:rPr>
        <w:t xml:space="preserve"> session of the General IAEA Conference that the </w:t>
      </w:r>
      <w:r w:rsidR="00FF2218">
        <w:rPr>
          <w:lang w:val="en-US"/>
        </w:rPr>
        <w:t>Agency</w:t>
      </w:r>
      <w:r w:rsidRPr="00C01170">
        <w:rPr>
          <w:lang w:val="en-US"/>
        </w:rPr>
        <w:t xml:space="preserve"> may further rely on support of the Russian Federation in the future [2]. </w:t>
      </w:r>
    </w:p>
    <w:p w14:paraId="7513AB7F" w14:textId="77777777" w:rsidR="00CB2BF2" w:rsidRPr="00C01170" w:rsidRDefault="00924831" w:rsidP="006D7DFF">
      <w:pPr>
        <w:pStyle w:val="a1"/>
        <w:rPr>
          <w:lang w:val="en-US"/>
        </w:rPr>
      </w:pPr>
      <w:r w:rsidRPr="00C01170">
        <w:rPr>
          <w:lang w:val="en-US"/>
        </w:rPr>
        <w:t xml:space="preserve">Physical protection of nuclear materials and nuclear facilities has always been and remains the cornerstone of nuclear security. The </w:t>
      </w:r>
      <w:r w:rsidR="00CB60D7">
        <w:rPr>
          <w:lang w:val="en-US"/>
        </w:rPr>
        <w:t>Member State</w:t>
      </w:r>
      <w:r w:rsidRPr="00C01170">
        <w:rPr>
          <w:lang w:val="en-US"/>
        </w:rPr>
        <w:t xml:space="preserve">s of the Convention on Physical Protection of Nuclear Material and Nuclear Facilities as </w:t>
      </w:r>
      <w:r w:rsidR="00C01170" w:rsidRPr="00C01170">
        <w:rPr>
          <w:lang w:val="en-US"/>
        </w:rPr>
        <w:t>amended</w:t>
      </w:r>
      <w:r w:rsidRPr="00C01170">
        <w:rPr>
          <w:lang w:val="en-US"/>
        </w:rPr>
        <w:t xml:space="preserve"> in 2005 shall arrange, implement and maintain the proper physical protection regime based on the threat assessment performed by the state with due regard for any new challenges and have the mechanism for flexible and timely improvement of the national physical protection </w:t>
      </w:r>
      <w:r w:rsidR="000B158E">
        <w:rPr>
          <w:lang w:val="en-US"/>
        </w:rPr>
        <w:t>regime</w:t>
      </w:r>
      <w:r w:rsidRPr="00C01170">
        <w:rPr>
          <w:lang w:val="en-US"/>
        </w:rPr>
        <w:t xml:space="preserve">. </w:t>
      </w:r>
    </w:p>
    <w:p w14:paraId="0EA72E89" w14:textId="393E102E" w:rsidR="004459D5" w:rsidRPr="002A3666" w:rsidRDefault="00924831" w:rsidP="00D2621A">
      <w:pPr>
        <w:pStyle w:val="a1"/>
        <w:rPr>
          <w:lang w:val="en-US"/>
        </w:rPr>
      </w:pPr>
      <w:r w:rsidRPr="00D2621A">
        <w:rPr>
          <w:lang w:val="en-US"/>
        </w:rPr>
        <w:t>Responsibility of the state for arrangement, implementation and maintenance of its physical protection regime is the key fundamental principle.</w:t>
      </w:r>
      <w:r w:rsidR="00D2621A" w:rsidRPr="00D2621A">
        <w:rPr>
          <w:lang w:val="en-US"/>
        </w:rPr>
        <w:t xml:space="preserve"> </w:t>
      </w:r>
      <w:r w:rsidR="00D2621A">
        <w:rPr>
          <w:lang w:val="en-US"/>
        </w:rPr>
        <w:t>Besides, the state should</w:t>
      </w:r>
      <w:r w:rsidR="00127D96" w:rsidRPr="00D2621A">
        <w:rPr>
          <w:lang w:val="en-US"/>
        </w:rPr>
        <w:t xml:space="preserve"> </w:t>
      </w:r>
      <w:r w:rsidRPr="00D2621A">
        <w:rPr>
          <w:lang w:val="en-US"/>
        </w:rPr>
        <w:t>establish requirements for protecting the confidentiality of</w:t>
      </w:r>
      <w:r w:rsidR="00752930">
        <w:rPr>
          <w:lang w:val="en-US"/>
        </w:rPr>
        <w:t xml:space="preserve"> sensitive nuclear security information </w:t>
      </w:r>
      <w:r w:rsidRPr="00D2621A">
        <w:rPr>
          <w:lang w:val="en-US"/>
        </w:rPr>
        <w:t>[3]</w:t>
      </w:r>
      <w:r w:rsidR="00752930">
        <w:rPr>
          <w:lang w:val="en-US"/>
        </w:rPr>
        <w:t>. Those requirements should also include protection of such information from</w:t>
      </w:r>
      <w:r w:rsidR="00D2621A" w:rsidRPr="00D2621A">
        <w:rPr>
          <w:lang w:val="en-US"/>
        </w:rPr>
        <w:t xml:space="preserve"> </w:t>
      </w:r>
      <w:r w:rsidR="00D2621A">
        <w:rPr>
          <w:lang w:val="en-US"/>
        </w:rPr>
        <w:t>unauthorized</w:t>
      </w:r>
      <w:r w:rsidR="00D2621A" w:rsidRPr="00D2621A">
        <w:rPr>
          <w:lang w:val="en-US"/>
        </w:rPr>
        <w:t xml:space="preserve"> disclosure</w:t>
      </w:r>
      <w:r w:rsidR="00752930">
        <w:rPr>
          <w:lang w:val="en-US"/>
        </w:rPr>
        <w:t xml:space="preserve"> during international cooperation</w:t>
      </w:r>
      <w:r w:rsidR="00D2621A" w:rsidRPr="00D2621A">
        <w:rPr>
          <w:lang w:val="en-US"/>
        </w:rPr>
        <w:t xml:space="preserve"> </w:t>
      </w:r>
      <w:r w:rsidR="00BA551D">
        <w:rPr>
          <w:lang w:val="en-US"/>
        </w:rPr>
        <w:t>and in contrast</w:t>
      </w:r>
      <w:r w:rsidR="00752930">
        <w:rPr>
          <w:lang w:val="en-US"/>
        </w:rPr>
        <w:t xml:space="preserve"> not </w:t>
      </w:r>
      <w:r w:rsidR="00C76770">
        <w:rPr>
          <w:lang w:val="en-US"/>
        </w:rPr>
        <w:t xml:space="preserve">to </w:t>
      </w:r>
      <w:r w:rsidR="00752930">
        <w:rPr>
          <w:lang w:val="en-US"/>
        </w:rPr>
        <w:t xml:space="preserve">establish barriers for such cooperation. </w:t>
      </w:r>
      <w:r w:rsidR="00C76770">
        <w:rPr>
          <w:lang w:val="en-US"/>
        </w:rPr>
        <w:t>International partnership should be approached responsibly and with provision of reasonable protection of sensitive information</w:t>
      </w:r>
      <w:r w:rsidR="00015B45">
        <w:rPr>
          <w:lang w:val="en-US"/>
        </w:rPr>
        <w:t>.</w:t>
      </w:r>
      <w:bookmarkStart w:id="0" w:name="_GoBack"/>
      <w:bookmarkEnd w:id="0"/>
      <w:r w:rsidR="00C76770">
        <w:rPr>
          <w:lang w:val="en-US"/>
        </w:rPr>
        <w:t xml:space="preserve"> </w:t>
      </w:r>
    </w:p>
    <w:p w14:paraId="3EB0F9F0" w14:textId="77777777" w:rsidR="00EE0041" w:rsidRPr="00974E0B" w:rsidRDefault="00924831" w:rsidP="006D7DFF">
      <w:pPr>
        <w:pStyle w:val="2"/>
        <w:numPr>
          <w:ilvl w:val="1"/>
          <w:numId w:val="10"/>
        </w:numPr>
        <w:jc w:val="both"/>
        <w:rPr>
          <w:b/>
          <w:lang w:val="en-US"/>
        </w:rPr>
      </w:pPr>
      <w:r w:rsidRPr="00974E0B">
        <w:rPr>
          <w:b/>
          <w:lang w:val="en-US"/>
        </w:rPr>
        <w:t xml:space="preserve">AVAILABLE CAPABILITIES AND </w:t>
      </w:r>
      <w:r w:rsidR="000F54D9">
        <w:rPr>
          <w:b/>
          <w:lang w:val="en-US"/>
        </w:rPr>
        <w:t>PROGRAMME</w:t>
      </w:r>
      <w:r w:rsidRPr="00974E0B">
        <w:rPr>
          <w:b/>
          <w:lang w:val="en-US"/>
        </w:rPr>
        <w:t>S OF THE IAEA SECRETARIAT</w:t>
      </w:r>
    </w:p>
    <w:p w14:paraId="159C815B" w14:textId="4222CBB5" w:rsidR="0021266E" w:rsidRDefault="00924831" w:rsidP="004C54BC">
      <w:pPr>
        <w:pStyle w:val="a1"/>
        <w:rPr>
          <w:lang w:val="en-US"/>
        </w:rPr>
      </w:pPr>
      <w:r w:rsidRPr="00C01170">
        <w:rPr>
          <w:lang w:val="en-US"/>
        </w:rPr>
        <w:t xml:space="preserve">The IAEA Secretariat is carrying out extensive activities aimed to support the </w:t>
      </w:r>
      <w:r w:rsidR="00CB60D7">
        <w:rPr>
          <w:lang w:val="en-US"/>
        </w:rPr>
        <w:t>Member State</w:t>
      </w:r>
      <w:r w:rsidRPr="00C01170">
        <w:rPr>
          <w:lang w:val="en-US"/>
        </w:rPr>
        <w:t xml:space="preserve">s upon their requests in the area of nuclear </w:t>
      </w:r>
      <w:r w:rsidRPr="004C54BC">
        <w:rPr>
          <w:lang w:val="en-US"/>
        </w:rPr>
        <w:t xml:space="preserve">security, </w:t>
      </w:r>
      <w:r w:rsidR="000B158E" w:rsidRPr="004C54BC">
        <w:rPr>
          <w:lang w:val="en-US"/>
        </w:rPr>
        <w:t>for</w:t>
      </w:r>
      <w:r w:rsidRPr="004C54BC">
        <w:rPr>
          <w:lang w:val="en-US"/>
        </w:rPr>
        <w:t xml:space="preserve"> </w:t>
      </w:r>
      <w:r w:rsidR="000B158E" w:rsidRPr="004C54BC">
        <w:rPr>
          <w:lang w:val="en-US"/>
        </w:rPr>
        <w:t>capacity building</w:t>
      </w:r>
      <w:r w:rsidRPr="004C54BC">
        <w:rPr>
          <w:lang w:val="en-US"/>
        </w:rPr>
        <w:t xml:space="preserve"> and competence</w:t>
      </w:r>
      <w:r w:rsidR="000B158E" w:rsidRPr="004C54BC">
        <w:rPr>
          <w:lang w:val="en-US"/>
        </w:rPr>
        <w:t xml:space="preserve"> enhancement</w:t>
      </w:r>
      <w:r w:rsidRPr="004C54BC">
        <w:rPr>
          <w:lang w:val="en-US"/>
        </w:rPr>
        <w:t xml:space="preserve">. </w:t>
      </w:r>
      <w:r w:rsidR="00E27EC6" w:rsidRPr="004C54BC">
        <w:rPr>
          <w:lang w:val="en-US"/>
        </w:rPr>
        <w:t>The Agency facilitates worldwide accession of the maximum possible number of states to the Convention on Physical Protection</w:t>
      </w:r>
      <w:r w:rsidR="000B158E" w:rsidRPr="004C54BC">
        <w:rPr>
          <w:lang w:val="en-US"/>
        </w:rPr>
        <w:t xml:space="preserve"> of Nuclear Material</w:t>
      </w:r>
      <w:r w:rsidR="00E27EC6" w:rsidRPr="004C54BC">
        <w:rPr>
          <w:lang w:val="en-US"/>
        </w:rPr>
        <w:t xml:space="preserve"> (CPPNM) and its Amendment, which includes workshops on universalization of Amendment to CPPNM</w:t>
      </w:r>
      <w:r w:rsidR="00996169" w:rsidRPr="004C54BC">
        <w:rPr>
          <w:lang w:val="en-US"/>
        </w:rPr>
        <w:t xml:space="preserve">. The Secretariat develops non-legally binding documents – comprehensive recommendations on Nuclear Security. </w:t>
      </w:r>
      <w:r w:rsidR="000B158E" w:rsidRPr="004C54BC">
        <w:rPr>
          <w:lang w:val="en-US"/>
        </w:rPr>
        <w:t>The Agency</w:t>
      </w:r>
      <w:r w:rsidR="00EE3841" w:rsidRPr="004C54BC">
        <w:rPr>
          <w:lang w:val="en-US"/>
        </w:rPr>
        <w:t xml:space="preserve"> arranges</w:t>
      </w:r>
      <w:r w:rsidR="00996169" w:rsidRPr="004C54BC">
        <w:rPr>
          <w:lang w:val="en-US"/>
        </w:rPr>
        <w:t xml:space="preserve"> missions upon the </w:t>
      </w:r>
      <w:r w:rsidR="00CB60D7" w:rsidRPr="004C54BC">
        <w:rPr>
          <w:lang w:val="en-US"/>
        </w:rPr>
        <w:t>Member State</w:t>
      </w:r>
      <w:r w:rsidR="00996169" w:rsidRPr="004C54BC">
        <w:rPr>
          <w:lang w:val="en-US"/>
        </w:rPr>
        <w:t>s request, dedicated towards evaluation and assessment of various aspects of national nuclear security</w:t>
      </w:r>
      <w:r w:rsidR="000B158E" w:rsidRPr="004C54BC">
        <w:rPr>
          <w:lang w:val="en-US"/>
        </w:rPr>
        <w:t xml:space="preserve"> regime (IPPAS).</w:t>
      </w:r>
      <w:r w:rsidR="00996169" w:rsidRPr="004C54BC">
        <w:rPr>
          <w:lang w:val="en-US"/>
        </w:rPr>
        <w:t xml:space="preserve"> </w:t>
      </w:r>
      <w:r w:rsidR="000B158E" w:rsidRPr="004C54BC">
        <w:rPr>
          <w:lang w:val="en-US"/>
        </w:rPr>
        <w:t>It also</w:t>
      </w:r>
      <w:r w:rsidR="00996169" w:rsidRPr="004C54BC">
        <w:rPr>
          <w:lang w:val="en-US"/>
        </w:rPr>
        <w:t xml:space="preserve"> develops and implements </w:t>
      </w:r>
      <w:r w:rsidR="00EE3841" w:rsidRPr="004C54BC">
        <w:rPr>
          <w:lang w:val="en-US"/>
        </w:rPr>
        <w:t xml:space="preserve">integrated nuclear security support plans (INSSP). </w:t>
      </w:r>
      <w:r w:rsidR="000B158E" w:rsidRPr="004C54BC">
        <w:rPr>
          <w:lang w:val="en-US"/>
        </w:rPr>
        <w:t xml:space="preserve">One of the top priority in nuclear security is human resource and </w:t>
      </w:r>
      <w:r w:rsidR="00EE3841" w:rsidRPr="004C54BC">
        <w:rPr>
          <w:lang w:val="en-US"/>
        </w:rPr>
        <w:t xml:space="preserve">capacity </w:t>
      </w:r>
      <w:r w:rsidR="000B158E" w:rsidRPr="004C54BC">
        <w:rPr>
          <w:lang w:val="en-US"/>
        </w:rPr>
        <w:t>building</w:t>
      </w:r>
      <w:r w:rsidR="00EE3841" w:rsidRPr="004C54BC">
        <w:rPr>
          <w:lang w:val="en-US"/>
        </w:rPr>
        <w:t xml:space="preserve">, thus </w:t>
      </w:r>
      <w:r w:rsidR="000B158E" w:rsidRPr="004C54BC">
        <w:rPr>
          <w:lang w:val="en-US"/>
        </w:rPr>
        <w:t xml:space="preserve">in 2018 the </w:t>
      </w:r>
      <w:r w:rsidR="00EE3841" w:rsidRPr="004C54BC">
        <w:rPr>
          <w:lang w:val="en-US"/>
        </w:rPr>
        <w:t>Agency conducted 105 training events.</w:t>
      </w:r>
      <w:r w:rsidR="000B158E" w:rsidRPr="004C54BC">
        <w:rPr>
          <w:lang w:val="en-US"/>
        </w:rPr>
        <w:t xml:space="preserve"> The</w:t>
      </w:r>
      <w:r w:rsidR="00EE3841">
        <w:rPr>
          <w:lang w:val="en-US"/>
        </w:rPr>
        <w:t xml:space="preserve"> IAEA Secretariat supports States’ efforts </w:t>
      </w:r>
      <w:r w:rsidR="000B158E">
        <w:rPr>
          <w:lang w:val="en-US"/>
        </w:rPr>
        <w:t>for</w:t>
      </w:r>
      <w:r w:rsidR="00EE3841">
        <w:rPr>
          <w:lang w:val="en-US"/>
        </w:rPr>
        <w:t xml:space="preserve"> protection of nuclear material in use and storage, helps with security of major public events and maintain</w:t>
      </w:r>
      <w:r w:rsidR="000B158E">
        <w:rPr>
          <w:lang w:val="en-US"/>
        </w:rPr>
        <w:t>s</w:t>
      </w:r>
      <w:r w:rsidR="00EE3841">
        <w:rPr>
          <w:lang w:val="en-US"/>
        </w:rPr>
        <w:t xml:space="preserve"> Illicit Trafficking Data Base (ITDB)</w:t>
      </w:r>
      <w:r w:rsidR="003C0FF5">
        <w:rPr>
          <w:lang w:val="en-US"/>
        </w:rPr>
        <w:t xml:space="preserve"> for nuclear material. Extensive work </w:t>
      </w:r>
      <w:proofErr w:type="gramStart"/>
      <w:r w:rsidR="003C0FF5">
        <w:rPr>
          <w:lang w:val="en-US"/>
        </w:rPr>
        <w:t>is being done</w:t>
      </w:r>
      <w:proofErr w:type="gramEnd"/>
      <w:r w:rsidR="003C0FF5">
        <w:rPr>
          <w:lang w:val="en-US"/>
        </w:rPr>
        <w:t xml:space="preserve"> thought the IAEA Nuclear Security Fund (NS Fund). </w:t>
      </w:r>
      <w:r w:rsidR="003C0FF5" w:rsidRPr="003C0FF5">
        <w:rPr>
          <w:lang w:val="en-US"/>
        </w:rPr>
        <w:t>In 2018, the Agency accepted financial pledges to the</w:t>
      </w:r>
      <w:r w:rsidR="00CB60D7">
        <w:rPr>
          <w:lang w:val="en-US"/>
        </w:rPr>
        <w:t xml:space="preserve"> Nuclear Security </w:t>
      </w:r>
      <w:r w:rsidR="003C0FF5" w:rsidRPr="003C0FF5">
        <w:rPr>
          <w:lang w:val="en-US"/>
        </w:rPr>
        <w:t>Fund amounting to</w:t>
      </w:r>
      <w:r w:rsidR="003C0FF5">
        <w:rPr>
          <w:lang w:val="en-US"/>
        </w:rPr>
        <w:t xml:space="preserve"> over</w:t>
      </w:r>
      <w:r w:rsidR="003C0FF5" w:rsidRPr="003C0FF5">
        <w:rPr>
          <w:lang w:val="en-US"/>
        </w:rPr>
        <w:t xml:space="preserve"> €22 million</w:t>
      </w:r>
      <w:r w:rsidR="003C0FF5">
        <w:rPr>
          <w:lang w:val="en-US"/>
        </w:rPr>
        <w:t>.</w:t>
      </w:r>
      <w:r w:rsidR="004C54BC">
        <w:rPr>
          <w:lang w:val="en-US"/>
        </w:rPr>
        <w:t xml:space="preserve"> </w:t>
      </w:r>
      <w:r w:rsidRPr="00C01170">
        <w:rPr>
          <w:lang w:val="en-US"/>
        </w:rPr>
        <w:t>Regular</w:t>
      </w:r>
      <w:r w:rsidR="003C0FF5">
        <w:rPr>
          <w:lang w:val="en-US"/>
        </w:rPr>
        <w:t>ly hosted</w:t>
      </w:r>
      <w:r w:rsidRPr="00C01170">
        <w:rPr>
          <w:lang w:val="en-US"/>
        </w:rPr>
        <w:t xml:space="preserve"> international conferences on nuclear security arranged </w:t>
      </w:r>
      <w:r w:rsidR="003C0FF5">
        <w:rPr>
          <w:lang w:val="en-US"/>
        </w:rPr>
        <w:t xml:space="preserve">by the Agency enable the </w:t>
      </w:r>
      <w:r w:rsidR="00CB60D7">
        <w:rPr>
          <w:lang w:val="en-US"/>
        </w:rPr>
        <w:t>Member State</w:t>
      </w:r>
      <w:r w:rsidR="003C0FF5">
        <w:rPr>
          <w:lang w:val="en-US"/>
        </w:rPr>
        <w:t xml:space="preserve">s </w:t>
      </w:r>
      <w:r w:rsidRPr="00C01170">
        <w:rPr>
          <w:lang w:val="en-US"/>
        </w:rPr>
        <w:t xml:space="preserve">to demonstrate their </w:t>
      </w:r>
      <w:proofErr w:type="spellStart"/>
      <w:r w:rsidR="00F432BE">
        <w:rPr>
          <w:lang w:val="en-US"/>
        </w:rPr>
        <w:t>achivments</w:t>
      </w:r>
      <w:proofErr w:type="spellEnd"/>
      <w:r w:rsidRPr="00C01170">
        <w:rPr>
          <w:lang w:val="en-US"/>
        </w:rPr>
        <w:t xml:space="preserve"> technologies</w:t>
      </w:r>
      <w:r w:rsidR="00F432BE" w:rsidRPr="00F432BE">
        <w:rPr>
          <w:lang w:val="en-US"/>
        </w:rPr>
        <w:t xml:space="preserve"> </w:t>
      </w:r>
      <w:r w:rsidR="00F432BE" w:rsidRPr="00C01170">
        <w:rPr>
          <w:lang w:val="en-US"/>
        </w:rPr>
        <w:t xml:space="preserve">and </w:t>
      </w:r>
      <w:r w:rsidR="00F432BE">
        <w:rPr>
          <w:lang w:val="en-US"/>
        </w:rPr>
        <w:t>development</w:t>
      </w:r>
      <w:r w:rsidRPr="00C01170">
        <w:rPr>
          <w:lang w:val="en-US"/>
        </w:rPr>
        <w:t>, to exchange valuable experience and to consolidate their efforts in order to provide nuclear security</w:t>
      </w:r>
      <w:r w:rsidR="00F432BE">
        <w:rPr>
          <w:lang w:val="en-US"/>
        </w:rPr>
        <w:t xml:space="preserve"> on</w:t>
      </w:r>
      <w:r w:rsidR="00F432BE" w:rsidRPr="00F432BE">
        <w:rPr>
          <w:lang w:val="en-US"/>
        </w:rPr>
        <w:t xml:space="preserve"> </w:t>
      </w:r>
      <w:r w:rsidR="00F432BE" w:rsidRPr="00C01170">
        <w:rPr>
          <w:lang w:val="en-US"/>
        </w:rPr>
        <w:t>global</w:t>
      </w:r>
      <w:r w:rsidR="00F432BE">
        <w:rPr>
          <w:lang w:val="en-US"/>
        </w:rPr>
        <w:t xml:space="preserve"> scale</w:t>
      </w:r>
      <w:r w:rsidRPr="00C01170">
        <w:rPr>
          <w:lang w:val="en-US"/>
        </w:rPr>
        <w:t>.</w:t>
      </w:r>
      <w:r w:rsidR="004C54BC">
        <w:rPr>
          <w:lang w:val="en-US"/>
        </w:rPr>
        <w:t xml:space="preserve"> </w:t>
      </w:r>
      <w:r w:rsidRPr="00C01170">
        <w:rPr>
          <w:lang w:val="en-US"/>
        </w:rPr>
        <w:t>The IAEA</w:t>
      </w:r>
      <w:r w:rsidR="003C0FF5">
        <w:rPr>
          <w:lang w:val="en-US"/>
        </w:rPr>
        <w:t xml:space="preserve"> Nuclear Security Series </w:t>
      </w:r>
      <w:r w:rsidRPr="00C01170">
        <w:rPr>
          <w:lang w:val="en-US"/>
        </w:rPr>
        <w:t xml:space="preserve">is </w:t>
      </w:r>
      <w:r w:rsidR="00F432BE">
        <w:rPr>
          <w:lang w:val="en-US"/>
        </w:rPr>
        <w:t>crucially</w:t>
      </w:r>
      <w:r w:rsidRPr="00C01170">
        <w:rPr>
          <w:lang w:val="en-US"/>
        </w:rPr>
        <w:t xml:space="preserve"> important, especially for </w:t>
      </w:r>
      <w:r w:rsidR="003C0FF5">
        <w:rPr>
          <w:lang w:val="en-US"/>
        </w:rPr>
        <w:t>embarking</w:t>
      </w:r>
      <w:r w:rsidRPr="00C01170">
        <w:rPr>
          <w:lang w:val="en-US"/>
        </w:rPr>
        <w:t xml:space="preserve"> countries. It facilitates arrangement of the national security system in a balanced and comprehensive manner with due regard for the individual needs and certain threats [4].</w:t>
      </w:r>
    </w:p>
    <w:p w14:paraId="301B32F0" w14:textId="6C02321E" w:rsidR="000F0B9D" w:rsidRPr="00176042" w:rsidRDefault="00E4241A" w:rsidP="006D7DFF">
      <w:pPr>
        <w:pStyle w:val="a1"/>
        <w:rPr>
          <w:lang w:val="en-US"/>
        </w:rPr>
      </w:pPr>
      <w:proofErr w:type="gramStart"/>
      <w:r>
        <w:rPr>
          <w:lang w:val="en-US"/>
        </w:rPr>
        <w:t>More detailed information on the IAEA activities in nuclear security</w:t>
      </w:r>
      <w:proofErr w:type="gramEnd"/>
      <w:r>
        <w:rPr>
          <w:lang w:val="en-US"/>
        </w:rPr>
        <w:t xml:space="preserve"> could be found in the</w:t>
      </w:r>
      <w:r w:rsidR="00176042">
        <w:rPr>
          <w:lang w:val="en-US"/>
        </w:rPr>
        <w:t xml:space="preserve"> IAEA</w:t>
      </w:r>
      <w:r>
        <w:rPr>
          <w:lang w:val="en-US"/>
        </w:rPr>
        <w:t xml:space="preserve"> Annual Report</w:t>
      </w:r>
      <w:r w:rsidR="00176042">
        <w:rPr>
          <w:lang w:val="en-US"/>
        </w:rPr>
        <w:t>s</w:t>
      </w:r>
      <w:r>
        <w:rPr>
          <w:lang w:val="en-US"/>
        </w:rPr>
        <w:t>.</w:t>
      </w:r>
    </w:p>
    <w:p w14:paraId="1E7DE17A" w14:textId="77777777" w:rsidR="00E43DC4" w:rsidRPr="00C01170" w:rsidRDefault="00924831" w:rsidP="006D7DFF">
      <w:pPr>
        <w:pStyle w:val="3"/>
        <w:jc w:val="both"/>
        <w:rPr>
          <w:lang w:val="en-US"/>
        </w:rPr>
      </w:pPr>
      <w:r w:rsidRPr="00C01170">
        <w:rPr>
          <w:lang w:val="en-US"/>
        </w:rPr>
        <w:t>The IAEA Nuclear Security Plan and the Nuclear Security Foundation</w:t>
      </w:r>
    </w:p>
    <w:p w14:paraId="5E3FD950" w14:textId="77777777" w:rsidR="00D654F3" w:rsidRPr="00C01170" w:rsidRDefault="00F432BE" w:rsidP="006D7DFF">
      <w:pPr>
        <w:pStyle w:val="Authornameandaffiliation"/>
        <w:ind w:left="0" w:firstLine="567"/>
        <w:jc w:val="both"/>
      </w:pPr>
      <w:r>
        <w:t xml:space="preserve">In March 2002, </w:t>
      </w:r>
      <w:r w:rsidR="00924831" w:rsidRPr="00C01170">
        <w:t xml:space="preserve">The </w:t>
      </w:r>
      <w:r w:rsidRPr="00C01170">
        <w:t>Board of Governors approved the first Nuclear Security Plan</w:t>
      </w:r>
      <w:r>
        <w:t xml:space="preserve"> –</w:t>
      </w:r>
      <w:r w:rsidRPr="00C01170">
        <w:t xml:space="preserve"> comprehensive</w:t>
      </w:r>
      <w:r>
        <w:t xml:space="preserve"> document</w:t>
      </w:r>
      <w:r w:rsidRPr="00C01170">
        <w:t xml:space="preserve"> for protection against nuclear terrorism</w:t>
      </w:r>
      <w:r>
        <w:t xml:space="preserve">. At the same time, IAEA has established </w:t>
      </w:r>
      <w:r w:rsidRPr="00C01170">
        <w:t>the mechanism of</w:t>
      </w:r>
      <w:r>
        <w:t xml:space="preserve"> States’</w:t>
      </w:r>
      <w:r w:rsidRPr="00C01170">
        <w:t xml:space="preserve"> voluntary </w:t>
      </w:r>
      <w:r>
        <w:t>contribution, the</w:t>
      </w:r>
      <w:r w:rsidRPr="00C01170">
        <w:t xml:space="preserve"> </w:t>
      </w:r>
      <w:r>
        <w:t xml:space="preserve">Nuclear Security Fund, </w:t>
      </w:r>
      <w:r w:rsidR="00924831" w:rsidRPr="00C01170">
        <w:t xml:space="preserve">in order to facilitate implementation of </w:t>
      </w:r>
      <w:r>
        <w:t>the</w:t>
      </w:r>
      <w:r w:rsidR="00CB60D7">
        <w:t xml:space="preserve"> Nuclear Security </w:t>
      </w:r>
      <w:r>
        <w:t>Plan</w:t>
      </w:r>
      <w:r w:rsidR="00924831" w:rsidRPr="00C01170">
        <w:t xml:space="preserve">. The </w:t>
      </w:r>
      <w:r w:rsidRPr="00C01170">
        <w:t xml:space="preserve">Board of Governors approved the subsequent Plans </w:t>
      </w:r>
      <w:r w:rsidR="00924831" w:rsidRPr="00C01170">
        <w:t>in 2005, 2009 and 2013 [5].</w:t>
      </w:r>
    </w:p>
    <w:p w14:paraId="5280C3A7" w14:textId="1FE835E3" w:rsidR="00E43DC4" w:rsidRPr="00C01170" w:rsidRDefault="00F432BE" w:rsidP="006D7DFF">
      <w:pPr>
        <w:pStyle w:val="Authornameandaffiliation"/>
        <w:ind w:left="0" w:firstLine="567"/>
        <w:jc w:val="both"/>
      </w:pPr>
      <w:r>
        <w:t xml:space="preserve">This document </w:t>
      </w:r>
      <w:r w:rsidR="00F92BFC">
        <w:t>lies within</w:t>
      </w:r>
      <w:r w:rsidR="00924831" w:rsidRPr="00C01170">
        <w:t xml:space="preserve"> priorities of the </w:t>
      </w:r>
      <w:r w:rsidR="00CB60D7">
        <w:t>Member State</w:t>
      </w:r>
      <w:r>
        <w:t>s</w:t>
      </w:r>
      <w:r w:rsidR="00EC7E95">
        <w:t>,</w:t>
      </w:r>
      <w:r w:rsidR="00924831" w:rsidRPr="00C01170">
        <w:t xml:space="preserve"> </w:t>
      </w:r>
      <w:r w:rsidR="00EC7E95">
        <w:t>fixed</w:t>
      </w:r>
      <w:r w:rsidR="00924831" w:rsidRPr="00C01170">
        <w:t xml:space="preserve"> in the decisions a</w:t>
      </w:r>
      <w:r w:rsidR="00EC7E95">
        <w:t>nd resolutions of the Agency's P</w:t>
      </w:r>
      <w:r w:rsidR="00924831" w:rsidRPr="00C01170">
        <w:t>olicy-</w:t>
      </w:r>
      <w:r w:rsidR="00EC7E95">
        <w:t>M</w:t>
      </w:r>
      <w:r w:rsidR="00924831" w:rsidRPr="00C01170">
        <w:t xml:space="preserve">aking </w:t>
      </w:r>
      <w:r w:rsidR="00EC7E95">
        <w:t>Organs</w:t>
      </w:r>
      <w:r w:rsidR="00924831" w:rsidRPr="00C01170">
        <w:t xml:space="preserve"> as well as with </w:t>
      </w:r>
      <w:r w:rsidR="00EC7E95">
        <w:t xml:space="preserve">the </w:t>
      </w:r>
      <w:r w:rsidR="00924831" w:rsidRPr="00C01170">
        <w:t xml:space="preserve">system of priorities for the </w:t>
      </w:r>
      <w:r w:rsidR="00EC7E95">
        <w:t>publications</w:t>
      </w:r>
      <w:r w:rsidR="00924831" w:rsidRPr="00C01170">
        <w:t xml:space="preserve"> of Nuclear Security Series</w:t>
      </w:r>
      <w:r w:rsidR="00EC7E95">
        <w:t>,</w:t>
      </w:r>
      <w:r w:rsidR="00924831" w:rsidRPr="00C01170">
        <w:t xml:space="preserve"> established in accordance with the recommendation of </w:t>
      </w:r>
      <w:r w:rsidR="00C01170" w:rsidRPr="00C01170">
        <w:t>the Nuclear</w:t>
      </w:r>
      <w:r w:rsidR="00924831" w:rsidRPr="00C01170">
        <w:t xml:space="preserve"> Security Guidelines Committee (NSGC). The </w:t>
      </w:r>
      <w:r w:rsidR="00EC7E95">
        <w:t>I</w:t>
      </w:r>
      <w:r w:rsidR="00924831" w:rsidRPr="00C01170">
        <w:t xml:space="preserve">nternational </w:t>
      </w:r>
      <w:r w:rsidR="00EC7E95">
        <w:t xml:space="preserve">Conference on </w:t>
      </w:r>
      <w:r w:rsidR="00924831" w:rsidRPr="00C01170">
        <w:t>Nuclear Se</w:t>
      </w:r>
      <w:r w:rsidR="00EC7E95">
        <w:t>curity: Obligations and Actions</w:t>
      </w:r>
      <w:r w:rsidR="00924831" w:rsidRPr="00C01170">
        <w:t xml:space="preserve"> </w:t>
      </w:r>
      <w:proofErr w:type="gramStart"/>
      <w:r w:rsidR="00924831" w:rsidRPr="00C01170">
        <w:t xml:space="preserve">was </w:t>
      </w:r>
      <w:r w:rsidR="00EC7E95">
        <w:t>held</w:t>
      </w:r>
      <w:proofErr w:type="gramEnd"/>
      <w:r w:rsidR="00924831" w:rsidRPr="00C01170">
        <w:t xml:space="preserve"> </w:t>
      </w:r>
      <w:r w:rsidR="00EC7E95">
        <w:t>in</w:t>
      </w:r>
      <w:r w:rsidR="00924831" w:rsidRPr="00C01170">
        <w:t xml:space="preserve"> </w:t>
      </w:r>
      <w:r w:rsidR="00EC7E95" w:rsidRPr="00C01170">
        <w:t>December</w:t>
      </w:r>
      <w:r w:rsidR="00924831" w:rsidRPr="00C01170">
        <w:t xml:space="preserve"> 2016 at the Headquarters of the </w:t>
      </w:r>
      <w:r w:rsidR="00EC7E95">
        <w:t>IAEA</w:t>
      </w:r>
      <w:r w:rsidR="00924831" w:rsidRPr="00C01170">
        <w:t xml:space="preserve"> in Vienna. On </w:t>
      </w:r>
      <w:r w:rsidR="00EC7E95">
        <w:t>the first day of that Conference,</w:t>
      </w:r>
      <w:r w:rsidR="00924831" w:rsidRPr="00C01170">
        <w:t xml:space="preserve"> the ministers adopted the </w:t>
      </w:r>
      <w:r w:rsidR="00EC7E95" w:rsidRPr="00C01170">
        <w:t>declaration, which</w:t>
      </w:r>
      <w:r w:rsidR="00924831" w:rsidRPr="00C01170">
        <w:t xml:space="preserve"> </w:t>
      </w:r>
      <w:proofErr w:type="gramStart"/>
      <w:r w:rsidR="00924831" w:rsidRPr="00C01170">
        <w:t>was also taken</w:t>
      </w:r>
      <w:proofErr w:type="gramEnd"/>
      <w:r w:rsidR="00924831" w:rsidRPr="00C01170">
        <w:t xml:space="preserve"> into consideration for finalizing the</w:t>
      </w:r>
      <w:r w:rsidR="00CB60D7">
        <w:t xml:space="preserve"> Nuclear Security </w:t>
      </w:r>
      <w:r w:rsidR="00924831" w:rsidRPr="00C01170">
        <w:t>Plan from time to time [5], [</w:t>
      </w:r>
      <w:r w:rsidR="00924831" w:rsidRPr="00E73880">
        <w:t>6</w:t>
      </w:r>
      <w:r w:rsidR="00924831" w:rsidRPr="00C01170">
        <w:t>].</w:t>
      </w:r>
    </w:p>
    <w:p w14:paraId="30DEC598" w14:textId="037DC129" w:rsidR="007E7868" w:rsidRPr="00F92BFC" w:rsidRDefault="00EC6B0A" w:rsidP="006D7DFF">
      <w:pPr>
        <w:pStyle w:val="a1"/>
        <w:spacing w:line="240" w:lineRule="auto"/>
        <w:rPr>
          <w:lang w:val="en-US"/>
        </w:rPr>
      </w:pPr>
      <w:r>
        <w:rPr>
          <w:lang w:val="en-US"/>
        </w:rPr>
        <w:t xml:space="preserve">The IAEA assists </w:t>
      </w:r>
      <w:r w:rsidRPr="00C01170">
        <w:rPr>
          <w:lang w:val="en-US"/>
        </w:rPr>
        <w:t xml:space="preserve">to the efforts of </w:t>
      </w:r>
      <w:r w:rsidR="00CB60D7">
        <w:rPr>
          <w:lang w:val="en-US"/>
        </w:rPr>
        <w:t>Member State</w:t>
      </w:r>
      <w:r>
        <w:rPr>
          <w:lang w:val="en-US"/>
        </w:rPr>
        <w:t>s for arranging</w:t>
      </w:r>
      <w:r w:rsidRPr="00C01170">
        <w:rPr>
          <w:lang w:val="en-US"/>
        </w:rPr>
        <w:t xml:space="preserve"> efficient and sustainable national nuclear security regimes as well as </w:t>
      </w:r>
      <w:r>
        <w:rPr>
          <w:lang w:val="en-US"/>
        </w:rPr>
        <w:t>supports</w:t>
      </w:r>
      <w:r w:rsidRPr="00C01170">
        <w:rPr>
          <w:lang w:val="en-US"/>
        </w:rPr>
        <w:t xml:space="preserve"> in fulfillment </w:t>
      </w:r>
      <w:r>
        <w:rPr>
          <w:lang w:val="en-US"/>
        </w:rPr>
        <w:t>of</w:t>
      </w:r>
      <w:r w:rsidR="00CB60D7">
        <w:rPr>
          <w:lang w:val="en-US"/>
        </w:rPr>
        <w:t xml:space="preserve"> </w:t>
      </w:r>
      <w:r w:rsidR="00CB60D7" w:rsidRPr="00F92BFC">
        <w:rPr>
          <w:lang w:val="en-US"/>
        </w:rPr>
        <w:t>Member State</w:t>
      </w:r>
      <w:r w:rsidRPr="00F92BFC">
        <w:rPr>
          <w:lang w:val="en-US"/>
        </w:rPr>
        <w:t xml:space="preserve">’s obligations under any related international legal documents </w:t>
      </w:r>
      <w:r w:rsidRPr="00F92BFC">
        <w:rPr>
          <w:lang w:val="en-US"/>
        </w:rPr>
        <w:lastRenderedPageBreak/>
        <w:t>within the framework of the Plan and upon the</w:t>
      </w:r>
      <w:r w:rsidR="00CB60D7" w:rsidRPr="00F92BFC">
        <w:rPr>
          <w:lang w:val="en-US"/>
        </w:rPr>
        <w:t xml:space="preserve"> Member State</w:t>
      </w:r>
      <w:r w:rsidR="00E73880" w:rsidRPr="00F92BFC">
        <w:rPr>
          <w:lang w:val="en-US"/>
        </w:rPr>
        <w:t>’s requests</w:t>
      </w:r>
      <w:r w:rsidR="00E73880">
        <w:rPr>
          <w:lang w:val="en-US"/>
        </w:rPr>
        <w:t>. This</w:t>
      </w:r>
      <w:r w:rsidR="00E73880" w:rsidRPr="00C01170">
        <w:rPr>
          <w:lang w:val="en-US"/>
        </w:rPr>
        <w:t xml:space="preserve"> Plan</w:t>
      </w:r>
      <w:r w:rsidR="00E73880">
        <w:rPr>
          <w:lang w:val="en-US"/>
        </w:rPr>
        <w:t xml:space="preserve"> does not</w:t>
      </w:r>
      <w:r w:rsidR="00E73880" w:rsidRPr="00C01170">
        <w:rPr>
          <w:lang w:val="en-US"/>
        </w:rPr>
        <w:t xml:space="preserve"> implies assignation of any liabilities to the </w:t>
      </w:r>
      <w:r w:rsidR="00E73880">
        <w:rPr>
          <w:lang w:val="en-US"/>
        </w:rPr>
        <w:t>S</w:t>
      </w:r>
      <w:r w:rsidR="00E73880" w:rsidRPr="00C01170">
        <w:rPr>
          <w:lang w:val="en-US"/>
        </w:rPr>
        <w:t>tates</w:t>
      </w:r>
      <w:r w:rsidR="00F92BFC">
        <w:rPr>
          <w:lang w:val="en-US"/>
        </w:rPr>
        <w:t xml:space="preserve">. </w:t>
      </w:r>
      <w:r w:rsidR="00F92BFC" w:rsidRPr="00C01170">
        <w:t>[5]</w:t>
      </w:r>
    </w:p>
    <w:p w14:paraId="6D4F2F95" w14:textId="77777777" w:rsidR="008B6BB9" w:rsidRPr="00C01170" w:rsidRDefault="00924831" w:rsidP="006D7DFF">
      <w:pPr>
        <w:pStyle w:val="3"/>
        <w:jc w:val="both"/>
        <w:rPr>
          <w:lang w:val="en-US"/>
        </w:rPr>
      </w:pPr>
      <w:r w:rsidRPr="00C01170">
        <w:rPr>
          <w:lang w:val="en-US"/>
        </w:rPr>
        <w:t xml:space="preserve">Examples of various mechanisms and projects implemented by the IAEA Secretariat with the assistance of the Russian </w:t>
      </w:r>
      <w:r w:rsidR="00A84485">
        <w:rPr>
          <w:lang w:val="en-US"/>
        </w:rPr>
        <w:t>Federation</w:t>
      </w:r>
      <w:r w:rsidRPr="00C01170">
        <w:rPr>
          <w:lang w:val="en-US"/>
        </w:rPr>
        <w:t xml:space="preserve"> </w:t>
      </w:r>
    </w:p>
    <w:p w14:paraId="11E15F64" w14:textId="1A7CDA34" w:rsidR="00CB2BF2" w:rsidRPr="00C01170" w:rsidRDefault="00F92BFC" w:rsidP="006D7DFF">
      <w:pPr>
        <w:pStyle w:val="a1"/>
        <w:rPr>
          <w:lang w:val="en-US"/>
        </w:rPr>
      </w:pPr>
      <w:r>
        <w:rPr>
          <w:lang w:val="en-US"/>
        </w:rPr>
        <w:t>The IAEA, using financial support of Russian Federation, carries out</w:t>
      </w:r>
      <w:r w:rsidR="00A47015" w:rsidRPr="0022446D">
        <w:rPr>
          <w:lang w:val="en-US"/>
        </w:rPr>
        <w:t xml:space="preserve"> d</w:t>
      </w:r>
      <w:r w:rsidR="00924831" w:rsidRPr="0022446D">
        <w:rPr>
          <w:lang w:val="en-US"/>
        </w:rPr>
        <w:t>ifferent</w:t>
      </w:r>
      <w:r>
        <w:rPr>
          <w:lang w:val="en-US"/>
        </w:rPr>
        <w:t xml:space="preserve"> important</w:t>
      </w:r>
      <w:r w:rsidR="00924831" w:rsidRPr="0022446D">
        <w:rPr>
          <w:lang w:val="en-US"/>
        </w:rPr>
        <w:t xml:space="preserve"> </w:t>
      </w:r>
      <w:r>
        <w:rPr>
          <w:lang w:val="en-US"/>
        </w:rPr>
        <w:t>activities. That includes projects</w:t>
      </w:r>
      <w:r w:rsidR="00924831" w:rsidRPr="0022446D">
        <w:rPr>
          <w:lang w:val="en-US"/>
        </w:rPr>
        <w:t xml:space="preserve"> within the framework of Nuclear Security </w:t>
      </w:r>
      <w:r w:rsidR="00A47015" w:rsidRPr="0022446D">
        <w:rPr>
          <w:lang w:val="en-US"/>
        </w:rPr>
        <w:t>Fund</w:t>
      </w:r>
      <w:r w:rsidR="00924831" w:rsidRPr="0022446D">
        <w:rPr>
          <w:lang w:val="en-US"/>
        </w:rPr>
        <w:t xml:space="preserve">, Russian Safeguards Support </w:t>
      </w:r>
      <w:r w:rsidR="000F54D9" w:rsidRPr="0022446D">
        <w:rPr>
          <w:lang w:val="en-US"/>
        </w:rPr>
        <w:t>Programme</w:t>
      </w:r>
      <w:r w:rsidR="00924831" w:rsidRPr="0022446D">
        <w:rPr>
          <w:lang w:val="en-US"/>
        </w:rPr>
        <w:t xml:space="preserve">, Technical </w:t>
      </w:r>
      <w:r w:rsidR="00A47015" w:rsidRPr="0022446D">
        <w:rPr>
          <w:lang w:val="en-US"/>
        </w:rPr>
        <w:t>Cooperation</w:t>
      </w:r>
      <w:r w:rsidR="00924831" w:rsidRPr="0022446D">
        <w:rPr>
          <w:lang w:val="en-US"/>
        </w:rPr>
        <w:t xml:space="preserve"> </w:t>
      </w:r>
      <w:r w:rsidR="000F54D9" w:rsidRPr="0022446D">
        <w:rPr>
          <w:lang w:val="en-US"/>
        </w:rPr>
        <w:t>Programme</w:t>
      </w:r>
      <w:r w:rsidR="00924831" w:rsidRPr="0022446D">
        <w:rPr>
          <w:lang w:val="en-US"/>
        </w:rPr>
        <w:t xml:space="preserve">, </w:t>
      </w:r>
      <w:proofErr w:type="gramStart"/>
      <w:r w:rsidR="000F54D9" w:rsidRPr="0022446D">
        <w:rPr>
          <w:lang w:val="en-US"/>
        </w:rPr>
        <w:t>Programme</w:t>
      </w:r>
      <w:proofErr w:type="gramEnd"/>
      <w:r w:rsidR="00924831" w:rsidRPr="0022446D">
        <w:rPr>
          <w:lang w:val="en-US"/>
        </w:rPr>
        <w:t xml:space="preserve"> for Infrastructure Development and Personnel Training in the countries that have made the decision on construction of the first</w:t>
      </w:r>
      <w:r w:rsidR="00A47015" w:rsidRPr="0022446D">
        <w:rPr>
          <w:lang w:val="en-US"/>
        </w:rPr>
        <w:t xml:space="preserve"> NPP, International Project</w:t>
      </w:r>
      <w:r w:rsidR="00924831" w:rsidRPr="0022446D">
        <w:rPr>
          <w:lang w:val="en-US"/>
        </w:rPr>
        <w:t xml:space="preserve"> on Innovative Nuclear R</w:t>
      </w:r>
      <w:r w:rsidR="0022446D" w:rsidRPr="0022446D">
        <w:rPr>
          <w:lang w:val="en-US"/>
        </w:rPr>
        <w:t>eactors and Fuel Cycles (INPRO) and</w:t>
      </w:r>
      <w:r w:rsidR="00924831" w:rsidRPr="0022446D">
        <w:rPr>
          <w:lang w:val="en-US"/>
        </w:rPr>
        <w:t xml:space="preserve"> </w:t>
      </w:r>
      <w:r w:rsidR="00A47015" w:rsidRPr="0022446D">
        <w:rPr>
          <w:lang w:val="en-US"/>
        </w:rPr>
        <w:t>Programme of Action for</w:t>
      </w:r>
      <w:r w:rsidR="00924831" w:rsidRPr="0022446D">
        <w:rPr>
          <w:lang w:val="en-US"/>
        </w:rPr>
        <w:t xml:space="preserve"> Cancer </w:t>
      </w:r>
      <w:r w:rsidR="00A47015" w:rsidRPr="0022446D">
        <w:rPr>
          <w:lang w:val="en-US"/>
        </w:rPr>
        <w:t>Therapy</w:t>
      </w:r>
      <w:r w:rsidR="0022446D" w:rsidRPr="0022446D">
        <w:rPr>
          <w:lang w:val="en-US"/>
        </w:rPr>
        <w:t xml:space="preserve"> (PACT)</w:t>
      </w:r>
      <w:r w:rsidR="00924831" w:rsidRPr="0022446D">
        <w:rPr>
          <w:lang w:val="en-US"/>
        </w:rPr>
        <w:t xml:space="preserve">. </w:t>
      </w:r>
      <w:r w:rsidR="00F8082A">
        <w:rPr>
          <w:lang w:val="en-US"/>
        </w:rPr>
        <w:t xml:space="preserve">Russian Federation, fulfilling its obligations, keeps up and running </w:t>
      </w:r>
      <w:r w:rsidR="00924831" w:rsidRPr="00F8082A">
        <w:rPr>
          <w:lang w:val="en-US"/>
        </w:rPr>
        <w:t>world's first</w:t>
      </w:r>
      <w:r w:rsidR="0022446D" w:rsidRPr="00F8082A">
        <w:rPr>
          <w:lang w:val="en-US"/>
        </w:rPr>
        <w:t xml:space="preserve"> IAEA nuclear fuel bank - </w:t>
      </w:r>
      <w:r w:rsidR="00924831" w:rsidRPr="00F8082A">
        <w:rPr>
          <w:lang w:val="en-US"/>
        </w:rPr>
        <w:t>stock of l</w:t>
      </w:r>
      <w:r w:rsidR="0022446D" w:rsidRPr="00F8082A">
        <w:rPr>
          <w:lang w:val="en-US"/>
        </w:rPr>
        <w:t>ow-enriched uranium in Angarsk</w:t>
      </w:r>
      <w:r w:rsidR="00924831" w:rsidRPr="0022446D">
        <w:rPr>
          <w:lang w:val="en-US"/>
        </w:rPr>
        <w:t xml:space="preserve">. The total amount of Russian contributions to the Agency's budget </w:t>
      </w:r>
      <w:r w:rsidR="00F8082A" w:rsidRPr="0022446D">
        <w:rPr>
          <w:lang w:val="en-US"/>
        </w:rPr>
        <w:t>in 2019</w:t>
      </w:r>
      <w:r w:rsidR="00F8082A">
        <w:rPr>
          <w:lang w:val="en-US"/>
        </w:rPr>
        <w:t xml:space="preserve"> </w:t>
      </w:r>
      <w:r w:rsidR="00924831" w:rsidRPr="0022446D">
        <w:rPr>
          <w:lang w:val="en-US"/>
        </w:rPr>
        <w:t xml:space="preserve">exceeded 17 </w:t>
      </w:r>
      <w:r w:rsidR="00D97A00">
        <w:rPr>
          <w:lang w:val="en-US"/>
        </w:rPr>
        <w:t>million</w:t>
      </w:r>
      <w:r w:rsidR="00924831" w:rsidRPr="0022446D">
        <w:rPr>
          <w:lang w:val="en-US"/>
        </w:rPr>
        <w:t xml:space="preserve"> EUR.</w:t>
      </w:r>
    </w:p>
    <w:p w14:paraId="0E154756" w14:textId="77777777" w:rsidR="00635487" w:rsidRPr="00D97A00" w:rsidRDefault="00924831" w:rsidP="006D7DFF">
      <w:pPr>
        <w:pStyle w:val="Authornameandaffiliation"/>
        <w:ind w:left="0" w:firstLine="567"/>
        <w:jc w:val="both"/>
      </w:pPr>
      <w:r w:rsidRPr="00D97A00">
        <w:t xml:space="preserve">The </w:t>
      </w:r>
      <w:r w:rsidR="000F54D9" w:rsidRPr="00D97A00">
        <w:t>programme</w:t>
      </w:r>
      <w:r w:rsidRPr="00D97A00">
        <w:t xml:space="preserve"> of safe and </w:t>
      </w:r>
      <w:r w:rsidR="00D61383" w:rsidRPr="00D97A00">
        <w:t>secure</w:t>
      </w:r>
      <w:r w:rsidRPr="00D97A00">
        <w:t xml:space="preserve"> peaceful use of atomic energy requires careful planning, preparation and investment into development of the sustainable national nuclear infrastructure. In view of this</w:t>
      </w:r>
      <w:r w:rsidR="00553E19" w:rsidRPr="00D97A00">
        <w:t>,</w:t>
      </w:r>
      <w:r w:rsidRPr="00D97A00">
        <w:t xml:space="preserve"> the Russian Federation annually contributes </w:t>
      </w:r>
      <w:r w:rsidR="00160BF1" w:rsidRPr="00D97A00">
        <w:t>over</w:t>
      </w:r>
      <w:r w:rsidRPr="00D97A00">
        <w:t xml:space="preserve"> </w:t>
      </w:r>
      <w:r w:rsidR="00160BF1" w:rsidRPr="00D97A00">
        <w:t>600</w:t>
      </w:r>
      <w:r w:rsidR="00553E19" w:rsidRPr="00D97A00">
        <w:t xml:space="preserve"> thousand</w:t>
      </w:r>
      <w:r w:rsidRPr="00D97A00">
        <w:t xml:space="preserve"> </w:t>
      </w:r>
      <w:r w:rsidR="00C01170" w:rsidRPr="00D97A00">
        <w:t>USD and</w:t>
      </w:r>
      <w:r w:rsidRPr="00D97A00">
        <w:t xml:space="preserve"> up to 3</w:t>
      </w:r>
      <w:r w:rsidR="00160BF1" w:rsidRPr="00D97A00">
        <w:t>0</w:t>
      </w:r>
      <w:r w:rsidRPr="00D97A00">
        <w:t xml:space="preserve"> </w:t>
      </w:r>
      <w:r w:rsidR="00160BF1" w:rsidRPr="00D97A00">
        <w:t>million</w:t>
      </w:r>
      <w:r w:rsidRPr="00D97A00">
        <w:t xml:space="preserve"> RUR (contribution in kind) fo</w:t>
      </w:r>
      <w:r w:rsidR="00160BF1" w:rsidRPr="00D97A00">
        <w:t>r implementation of the projects</w:t>
      </w:r>
      <w:r w:rsidRPr="00D97A00">
        <w:t xml:space="preserve"> within the framework of the IAEA Technical Cooperation </w:t>
      </w:r>
      <w:r w:rsidR="000F54D9" w:rsidRPr="00D97A00">
        <w:t>Programme</w:t>
      </w:r>
      <w:r w:rsidR="00160BF1" w:rsidRPr="00D97A00">
        <w:t xml:space="preserve"> on Nuclear Infrastructure Development</w:t>
      </w:r>
      <w:r w:rsidR="00D97A00" w:rsidRPr="00D97A00">
        <w:t>. In accordance with the A</w:t>
      </w:r>
      <w:r w:rsidRPr="00D97A00">
        <w:t xml:space="preserve">greement between Russia and the </w:t>
      </w:r>
      <w:proofErr w:type="gramStart"/>
      <w:r w:rsidRPr="00D97A00">
        <w:t>IAEA</w:t>
      </w:r>
      <w:proofErr w:type="gramEnd"/>
      <w:r w:rsidRPr="00D97A00">
        <w:t xml:space="preserve"> these funds are used for the personnel training in the countries building or planning to build nu</w:t>
      </w:r>
      <w:r w:rsidR="00F2437B" w:rsidRPr="00D97A00">
        <w:t xml:space="preserve">clear power plants. </w:t>
      </w:r>
      <w:r w:rsidR="00D97A00">
        <w:t>M</w:t>
      </w:r>
      <w:r w:rsidRPr="00D97A00">
        <w:t xml:space="preserve">ore than </w:t>
      </w:r>
      <w:r w:rsidR="00996169" w:rsidRPr="00D97A00">
        <w:t>550</w:t>
      </w:r>
      <w:r w:rsidRPr="00D97A00">
        <w:t xml:space="preserve"> </w:t>
      </w:r>
      <w:r w:rsidR="00D97A00" w:rsidRPr="00D97A00">
        <w:t>specialists took part</w:t>
      </w:r>
      <w:r w:rsidRPr="00D97A00">
        <w:t xml:space="preserve"> </w:t>
      </w:r>
      <w:r w:rsidR="00D97A00" w:rsidRPr="00D97A00">
        <w:t>in</w:t>
      </w:r>
      <w:r w:rsidRPr="00D97A00">
        <w:t xml:space="preserve"> </w:t>
      </w:r>
      <w:r w:rsidR="003379BD" w:rsidRPr="00D97A00">
        <w:t>41</w:t>
      </w:r>
      <w:r w:rsidRPr="00D97A00">
        <w:t xml:space="preserve"> </w:t>
      </w:r>
      <w:r w:rsidR="00D97A00" w:rsidRPr="00D97A00">
        <w:t xml:space="preserve">training </w:t>
      </w:r>
      <w:r w:rsidRPr="00D97A00">
        <w:t>events arranged by Russia and the IAEA</w:t>
      </w:r>
      <w:r w:rsidR="00D97A00">
        <w:t xml:space="preserve"> in</w:t>
      </w:r>
      <w:r w:rsidR="00D97A00" w:rsidRPr="00D97A00">
        <w:t xml:space="preserve"> 2017-2019</w:t>
      </w:r>
      <w:r w:rsidRPr="00D97A00">
        <w:t>.</w:t>
      </w:r>
    </w:p>
    <w:p w14:paraId="615E7712" w14:textId="2E4EF89E" w:rsidR="004C30F4" w:rsidRDefault="00000147" w:rsidP="004C30F4">
      <w:pPr>
        <w:pStyle w:val="Authornameandaffiliation"/>
        <w:ind w:left="0" w:firstLine="567"/>
        <w:jc w:val="both"/>
      </w:pPr>
      <w:r w:rsidRPr="00292FCF">
        <w:t xml:space="preserve">Agreement </w:t>
      </w:r>
      <w:r w:rsidR="00292FCF" w:rsidRPr="00292FCF">
        <w:t>on Russian voluntary contribution towards the Nuclear Security Fund, signed in 2010,</w:t>
      </w:r>
      <w:r w:rsidRPr="00292FCF">
        <w:t xml:space="preserve"> marked new step in</w:t>
      </w:r>
      <w:r w:rsidR="00292FCF" w:rsidRPr="00292FCF">
        <w:t xml:space="preserve"> fruitful</w:t>
      </w:r>
      <w:r w:rsidRPr="00292FCF">
        <w:t xml:space="preserve"> </w:t>
      </w:r>
      <w:r w:rsidR="00292FCF" w:rsidRPr="00292FCF">
        <w:t xml:space="preserve">cooperation between Russian Federation and the IAEA. In </w:t>
      </w:r>
      <w:proofErr w:type="gramStart"/>
      <w:r w:rsidR="00292FCF" w:rsidRPr="00292FCF">
        <w:t>2015</w:t>
      </w:r>
      <w:proofErr w:type="gramEnd"/>
      <w:r w:rsidR="00292FCF" w:rsidRPr="00292FCF">
        <w:t xml:space="preserve"> the Agreement</w:t>
      </w:r>
      <w:r w:rsidR="00707CEE">
        <w:t>, including annual financial contributions,</w:t>
      </w:r>
      <w:r w:rsidR="00292FCF" w:rsidRPr="00292FCF">
        <w:t xml:space="preserve"> </w:t>
      </w:r>
      <w:r w:rsidR="00707CEE">
        <w:t>was</w:t>
      </w:r>
      <w:r w:rsidR="00292FCF" w:rsidRPr="00292FCF">
        <w:t xml:space="preserve"> extend for another 6 years. Within the framework of such arrangements, Russia annually </w:t>
      </w:r>
      <w:r w:rsidR="00707CEE">
        <w:t>convey around</w:t>
      </w:r>
      <w:r w:rsidR="00292FCF" w:rsidRPr="00292FCF">
        <w:t xml:space="preserve"> 1 million USD for </w:t>
      </w:r>
      <w:r w:rsidR="00707CEE">
        <w:t>implementation of</w:t>
      </w:r>
      <w:r w:rsidR="00292FCF" w:rsidRPr="00292FCF">
        <w:t xml:space="preserve"> </w:t>
      </w:r>
      <w:r w:rsidR="00292FCF" w:rsidRPr="00707CEE">
        <w:t>IAEA activities in the area of nuclear security</w:t>
      </w:r>
      <w:r w:rsidR="00707CEE">
        <w:t xml:space="preserve"> as well as</w:t>
      </w:r>
      <w:r w:rsidR="00292FCF" w:rsidRPr="00707CEE">
        <w:t xml:space="preserve"> research and development works, to competence</w:t>
      </w:r>
      <w:r w:rsidR="00707CEE" w:rsidRPr="00707CEE">
        <w:t xml:space="preserve"> enhancement</w:t>
      </w:r>
      <w:r w:rsidR="00292FCF" w:rsidRPr="00707CEE">
        <w:t xml:space="preserve"> and </w:t>
      </w:r>
      <w:r w:rsidR="00707CEE" w:rsidRPr="00707CEE">
        <w:t xml:space="preserve">implementation of </w:t>
      </w:r>
      <w:r w:rsidR="00292FCF" w:rsidRPr="00707CEE">
        <w:t xml:space="preserve">joint projects </w:t>
      </w:r>
      <w:r w:rsidR="00707CEE">
        <w:t>to</w:t>
      </w:r>
      <w:r w:rsidR="00292FCF" w:rsidRPr="00707CEE">
        <w:t xml:space="preserve"> assist the </w:t>
      </w:r>
      <w:r w:rsidR="00CB60D7" w:rsidRPr="00707CEE">
        <w:t>Member State</w:t>
      </w:r>
      <w:r w:rsidR="00292FCF" w:rsidRPr="00707CEE">
        <w:t>s</w:t>
      </w:r>
      <w:r w:rsidR="00292FCF" w:rsidRPr="00292FCF">
        <w:t>.</w:t>
      </w:r>
    </w:p>
    <w:p w14:paraId="000ADCA9" w14:textId="309F652B" w:rsidR="007E7868" w:rsidRPr="00C01170" w:rsidRDefault="00C40145" w:rsidP="004C30F4">
      <w:pPr>
        <w:pStyle w:val="Authornameandaffiliation"/>
        <w:ind w:left="0" w:firstLine="567"/>
        <w:jc w:val="both"/>
      </w:pPr>
      <w:r>
        <w:t xml:space="preserve">These activities </w:t>
      </w:r>
      <w:proofErr w:type="gramStart"/>
      <w:r w:rsidR="00924831" w:rsidRPr="00C01170">
        <w:t>are guided</w:t>
      </w:r>
      <w:proofErr w:type="gramEnd"/>
      <w:r w:rsidR="00924831" w:rsidRPr="00C01170">
        <w:t xml:space="preserve"> by the </w:t>
      </w:r>
      <w:r w:rsidR="00DE240A">
        <w:t>intent</w:t>
      </w:r>
      <w:r w:rsidR="00924831" w:rsidRPr="00C01170">
        <w:t xml:space="preserve"> to accommodate the interests of the </w:t>
      </w:r>
      <w:r w:rsidR="00CB60D7">
        <w:t>Member State</w:t>
      </w:r>
      <w:r w:rsidR="00924831" w:rsidRPr="00C01170">
        <w:t>s to the fullest extent possible</w:t>
      </w:r>
      <w:r w:rsidR="00DE240A">
        <w:t>,</w:t>
      </w:r>
      <w:r w:rsidR="00924831" w:rsidRPr="00C01170">
        <w:t xml:space="preserve"> </w:t>
      </w:r>
      <w:r w:rsidR="00DE240A">
        <w:t xml:space="preserve">which leads to necessity of spending </w:t>
      </w:r>
      <w:r w:rsidR="00DE240A" w:rsidRPr="00C01170">
        <w:t>Russian voluntary contributio</w:t>
      </w:r>
      <w:r w:rsidR="00DE240A">
        <w:t>n funds most efficiently</w:t>
      </w:r>
      <w:r w:rsidR="00924831" w:rsidRPr="00C01170">
        <w:t xml:space="preserve">. In this </w:t>
      </w:r>
      <w:r w:rsidR="004C30F4" w:rsidRPr="00C01170">
        <w:t>context,</w:t>
      </w:r>
      <w:r w:rsidR="00924831" w:rsidRPr="00C01170">
        <w:t xml:space="preserve"> </w:t>
      </w:r>
      <w:r w:rsidR="00F643B2">
        <w:t>Russia</w:t>
      </w:r>
      <w:r w:rsidR="00924831" w:rsidRPr="00C01170">
        <w:t xml:space="preserve"> </w:t>
      </w:r>
      <w:r w:rsidR="00F643B2">
        <w:t>is</w:t>
      </w:r>
      <w:r w:rsidR="00924831" w:rsidRPr="00C01170">
        <w:t xml:space="preserve"> open and ready to demonstrate flexibility in cooperation with the IAEA and </w:t>
      </w:r>
      <w:r w:rsidR="00CB60D7">
        <w:t>Member State</w:t>
      </w:r>
      <w:r w:rsidR="00924831" w:rsidRPr="00C01170">
        <w:t xml:space="preserve">s in common interests. </w:t>
      </w:r>
      <w:r w:rsidR="004B523C">
        <w:t>To achieve such goal</w:t>
      </w:r>
      <w:r w:rsidR="004B523C" w:rsidRPr="00C01170">
        <w:t>,</w:t>
      </w:r>
      <w:r w:rsidR="00924831" w:rsidRPr="00C01170">
        <w:t xml:space="preserve"> it is necessary to respect the sovereign right of each </w:t>
      </w:r>
      <w:r w:rsidR="00CB60D7">
        <w:t>Member State</w:t>
      </w:r>
      <w:r w:rsidR="00924831" w:rsidRPr="00C01170">
        <w:t xml:space="preserve"> to make independent decisions </w:t>
      </w:r>
      <w:r w:rsidR="000935A4">
        <w:t>in</w:t>
      </w:r>
      <w:r w:rsidR="00924831" w:rsidRPr="00C01170">
        <w:t xml:space="preserve"> regard</w:t>
      </w:r>
      <w:r w:rsidR="000935A4">
        <w:t>s</w:t>
      </w:r>
      <w:r w:rsidR="00924831" w:rsidRPr="00C01170">
        <w:t xml:space="preserve"> to arrangement of the national nuclear security regimes.</w:t>
      </w:r>
    </w:p>
    <w:p w14:paraId="3BC0012F" w14:textId="0E48A14D" w:rsidR="009102A0" w:rsidRPr="00C01170" w:rsidRDefault="00924831" w:rsidP="006D7DFF">
      <w:pPr>
        <w:pStyle w:val="Authornameandaffiliation"/>
        <w:ind w:left="0" w:firstLine="567"/>
        <w:jc w:val="both"/>
      </w:pPr>
      <w:r w:rsidRPr="00C01170">
        <w:t xml:space="preserve">The </w:t>
      </w:r>
      <w:r w:rsidR="00430A97" w:rsidRPr="00C01170">
        <w:t>Agency Secretariat</w:t>
      </w:r>
      <w:r w:rsidR="00402997">
        <w:t xml:space="preserve"> </w:t>
      </w:r>
      <w:r w:rsidR="00430A97" w:rsidRPr="00C01170">
        <w:t>upon the requests of the concerned states</w:t>
      </w:r>
      <w:r w:rsidR="00402997">
        <w:t>, approval by the Russian Federation</w:t>
      </w:r>
      <w:r w:rsidR="00430A97" w:rsidRPr="00C01170">
        <w:t xml:space="preserve"> and at the expense of the Russian voluntary contribution to the Nuclear Security Fund carries out</w:t>
      </w:r>
      <w:r w:rsidR="00402997">
        <w:t>,</w:t>
      </w:r>
      <w:r w:rsidR="00430A97" w:rsidRPr="00C01170">
        <w:t xml:space="preserve"> </w:t>
      </w:r>
      <w:r w:rsidR="00402997" w:rsidRPr="00C01170">
        <w:t>among others</w:t>
      </w:r>
      <w:r w:rsidR="00402997">
        <w:t>,</w:t>
      </w:r>
      <w:r w:rsidR="00402997" w:rsidRPr="00C01170">
        <w:t xml:space="preserve"> </w:t>
      </w:r>
      <w:r w:rsidR="00402997">
        <w:t>the following activities</w:t>
      </w:r>
      <w:r w:rsidR="00430A97">
        <w:t>. The projects presented here are</w:t>
      </w:r>
      <w:r w:rsidR="00430A97" w:rsidRPr="00C01170">
        <w:t xml:space="preserve"> </w:t>
      </w:r>
      <w:r w:rsidR="00402997">
        <w:t xml:space="preserve">the </w:t>
      </w:r>
      <w:r w:rsidR="00430A97" w:rsidRPr="00C01170">
        <w:t>examples</w:t>
      </w:r>
      <w:r w:rsidR="00430A97">
        <w:t xml:space="preserve"> and could</w:t>
      </w:r>
      <w:r w:rsidR="00430A97" w:rsidRPr="00430A97">
        <w:t xml:space="preserve"> </w:t>
      </w:r>
      <w:r w:rsidR="00430A97" w:rsidRPr="00C01170">
        <w:t xml:space="preserve">be useful for concerned </w:t>
      </w:r>
      <w:r w:rsidR="00430A97">
        <w:t>Member States.</w:t>
      </w:r>
    </w:p>
    <w:p w14:paraId="4FFA2DFC" w14:textId="08A8AF0E" w:rsidR="009102A0" w:rsidRPr="00C01170" w:rsidRDefault="00924831" w:rsidP="004C30F4">
      <w:pPr>
        <w:pStyle w:val="ListEmdash"/>
        <w:ind w:left="567"/>
        <w:rPr>
          <w:lang w:val="en-US"/>
        </w:rPr>
      </w:pPr>
      <w:r w:rsidRPr="00C01170">
        <w:rPr>
          <w:lang w:val="en-US"/>
        </w:rPr>
        <w:t xml:space="preserve">Assistance to </w:t>
      </w:r>
      <w:r w:rsidR="00CB60D7">
        <w:rPr>
          <w:lang w:val="en-US"/>
        </w:rPr>
        <w:t>Member State</w:t>
      </w:r>
      <w:r w:rsidRPr="00C01170">
        <w:rPr>
          <w:lang w:val="en-US"/>
        </w:rPr>
        <w:t xml:space="preserve"> in the area of physical </w:t>
      </w:r>
      <w:r w:rsidR="00430A97">
        <w:rPr>
          <w:lang w:val="en-US"/>
        </w:rPr>
        <w:t>protection</w:t>
      </w:r>
      <w:r w:rsidRPr="00C01170">
        <w:rPr>
          <w:lang w:val="en-US"/>
        </w:rPr>
        <w:t xml:space="preserve"> of NPPs. </w:t>
      </w:r>
      <w:r w:rsidR="00430A97">
        <w:rPr>
          <w:lang w:val="en-US"/>
        </w:rPr>
        <w:t>Under this</w:t>
      </w:r>
      <w:r w:rsidRPr="00C01170">
        <w:rPr>
          <w:lang w:val="en-US"/>
        </w:rPr>
        <w:t xml:space="preserve"> project</w:t>
      </w:r>
      <w:r w:rsidR="00430A97">
        <w:rPr>
          <w:lang w:val="en-US"/>
        </w:rPr>
        <w:t>, the IAEA</w:t>
      </w:r>
      <w:r w:rsidRPr="00C01170">
        <w:rPr>
          <w:lang w:val="en-US"/>
        </w:rPr>
        <w:t xml:space="preserve"> provides national training course </w:t>
      </w:r>
      <w:r w:rsidR="004C30F4">
        <w:rPr>
          <w:lang w:val="en-US"/>
        </w:rPr>
        <w:t>on</w:t>
      </w:r>
      <w:r w:rsidRPr="00C01170">
        <w:rPr>
          <w:lang w:val="en-US"/>
        </w:rPr>
        <w:t xml:space="preserve"> physical protection of nuclear materials and facilities, the training course of the Agency </w:t>
      </w:r>
      <w:r w:rsidR="004C30F4">
        <w:rPr>
          <w:lang w:val="en-US"/>
        </w:rPr>
        <w:t>on</w:t>
      </w:r>
      <w:r w:rsidRPr="00C01170">
        <w:rPr>
          <w:lang w:val="en-US"/>
        </w:rPr>
        <w:t xml:space="preserve"> accounting </w:t>
      </w:r>
      <w:r w:rsidR="004C30F4">
        <w:rPr>
          <w:lang w:val="en-US"/>
        </w:rPr>
        <w:t xml:space="preserve">for </w:t>
      </w:r>
      <w:r w:rsidRPr="00C01170">
        <w:rPr>
          <w:lang w:val="en-US"/>
        </w:rPr>
        <w:t>and control of nuclear materials for the purposes of nuclear security and technical visit to Russia on basis of training needs</w:t>
      </w:r>
      <w:r w:rsidR="004C30F4">
        <w:rPr>
          <w:lang w:val="en-US"/>
        </w:rPr>
        <w:t>, specified by the</w:t>
      </w:r>
      <w:r w:rsidRPr="00C01170">
        <w:rPr>
          <w:lang w:val="en-US"/>
        </w:rPr>
        <w:t xml:space="preserve"> state.</w:t>
      </w:r>
    </w:p>
    <w:p w14:paraId="4BC2EFB8" w14:textId="77259E17" w:rsidR="009102A0" w:rsidRPr="00C01170" w:rsidRDefault="00924831" w:rsidP="004C30F4">
      <w:pPr>
        <w:pStyle w:val="ListEmdash"/>
        <w:ind w:left="567"/>
        <w:rPr>
          <w:lang w:val="en-US"/>
        </w:rPr>
      </w:pPr>
      <w:r w:rsidRPr="00C01170">
        <w:rPr>
          <w:lang w:val="en-US"/>
        </w:rPr>
        <w:t xml:space="preserve">Another framework project </w:t>
      </w:r>
      <w:proofErr w:type="gramStart"/>
      <w:r w:rsidRPr="00C01170">
        <w:rPr>
          <w:lang w:val="en-US"/>
        </w:rPr>
        <w:t>provides assistance</w:t>
      </w:r>
      <w:proofErr w:type="gramEnd"/>
      <w:r w:rsidRPr="00C01170">
        <w:rPr>
          <w:lang w:val="en-US"/>
        </w:rPr>
        <w:t xml:space="preserve"> to </w:t>
      </w:r>
      <w:r w:rsidR="00CB60D7">
        <w:rPr>
          <w:lang w:val="en-US"/>
        </w:rPr>
        <w:t>Member State</w:t>
      </w:r>
      <w:r w:rsidRPr="00C01170">
        <w:rPr>
          <w:lang w:val="en-US"/>
        </w:rPr>
        <w:t xml:space="preserve"> in arrangement of its national infrastructure. In </w:t>
      </w:r>
      <w:proofErr w:type="gramStart"/>
      <w:r w:rsidRPr="00C01170">
        <w:rPr>
          <w:lang w:val="en-US"/>
        </w:rPr>
        <w:t>2020</w:t>
      </w:r>
      <w:proofErr w:type="gramEnd"/>
      <w:r w:rsidRPr="00C01170">
        <w:rPr>
          <w:lang w:val="en-US"/>
        </w:rPr>
        <w:t xml:space="preserve"> it is </w:t>
      </w:r>
      <w:r w:rsidR="00173642">
        <w:rPr>
          <w:lang w:val="en-US"/>
        </w:rPr>
        <w:t xml:space="preserve">expected </w:t>
      </w:r>
      <w:r w:rsidRPr="00C01170">
        <w:rPr>
          <w:lang w:val="en-US"/>
        </w:rPr>
        <w:t>to carry out the first meeting in order to discuss the needs of this state and the available opportunities</w:t>
      </w:r>
      <w:r w:rsidR="00173642">
        <w:rPr>
          <w:lang w:val="en-US"/>
        </w:rPr>
        <w:t xml:space="preserve"> for assistance in more details, including but not limited to</w:t>
      </w:r>
      <w:r w:rsidRPr="00C01170">
        <w:rPr>
          <w:lang w:val="en-US"/>
        </w:rPr>
        <w:t xml:space="preserve"> develop</w:t>
      </w:r>
      <w:r w:rsidR="00173642">
        <w:rPr>
          <w:lang w:val="en-US"/>
        </w:rPr>
        <w:t>ment of</w:t>
      </w:r>
      <w:r w:rsidRPr="00C01170">
        <w:rPr>
          <w:lang w:val="en-US"/>
        </w:rPr>
        <w:t xml:space="preserve"> the joint road-map. </w:t>
      </w:r>
    </w:p>
    <w:p w14:paraId="10733126" w14:textId="5FAF4712" w:rsidR="009102A0" w:rsidRPr="00C01170" w:rsidRDefault="00924831" w:rsidP="004C30F4">
      <w:pPr>
        <w:pStyle w:val="ListEmdash"/>
        <w:ind w:left="567"/>
        <w:rPr>
          <w:lang w:val="en-US"/>
        </w:rPr>
      </w:pPr>
      <w:r w:rsidRPr="00C01170">
        <w:rPr>
          <w:lang w:val="en-US"/>
        </w:rPr>
        <w:t xml:space="preserve">Improvement of the physical protection system </w:t>
      </w:r>
      <w:r w:rsidR="007F0B23" w:rsidRPr="007F0B23">
        <w:rPr>
          <w:lang w:val="en-US"/>
        </w:rPr>
        <w:t>of</w:t>
      </w:r>
      <w:r w:rsidRPr="007F0B23">
        <w:rPr>
          <w:lang w:val="en-US"/>
        </w:rPr>
        <w:t xml:space="preserve"> nuclear facilities</w:t>
      </w:r>
      <w:r w:rsidRPr="00C01170">
        <w:rPr>
          <w:lang w:val="en-US"/>
        </w:rPr>
        <w:t xml:space="preserve"> of </w:t>
      </w:r>
      <w:r w:rsidR="004C30F4">
        <w:rPr>
          <w:lang w:val="en-US"/>
        </w:rPr>
        <w:t>a</w:t>
      </w:r>
      <w:r w:rsidRPr="00C01170">
        <w:rPr>
          <w:lang w:val="en-US"/>
        </w:rPr>
        <w:t xml:space="preserve"> state. The task provides </w:t>
      </w:r>
      <w:r w:rsidR="007F0B23">
        <w:rPr>
          <w:lang w:val="en-US"/>
        </w:rPr>
        <w:t xml:space="preserve">funds </w:t>
      </w:r>
      <w:r w:rsidRPr="00C01170">
        <w:rPr>
          <w:lang w:val="en-US"/>
        </w:rPr>
        <w:t xml:space="preserve">for procurement of the required equipment, its delivery and installation </w:t>
      </w:r>
      <w:r w:rsidR="007F0B23">
        <w:rPr>
          <w:lang w:val="en-US"/>
        </w:rPr>
        <w:t>for</w:t>
      </w:r>
      <w:r w:rsidRPr="00C01170">
        <w:rPr>
          <w:lang w:val="en-US"/>
        </w:rPr>
        <w:t xml:space="preserve"> the </w:t>
      </w:r>
      <w:r w:rsidR="007F0B23">
        <w:rPr>
          <w:lang w:val="en-US"/>
        </w:rPr>
        <w:t>State</w:t>
      </w:r>
      <w:r w:rsidRPr="00C01170">
        <w:rPr>
          <w:lang w:val="en-US"/>
        </w:rPr>
        <w:t xml:space="preserve"> as well as training the facility personnel with regard to operation and maintenance of the installed physical protection devices.</w:t>
      </w:r>
    </w:p>
    <w:p w14:paraId="2E314756" w14:textId="79D0EF6E" w:rsidR="009102A0" w:rsidRPr="00C01170" w:rsidRDefault="00924831" w:rsidP="004C30F4">
      <w:pPr>
        <w:pStyle w:val="ListEmdash"/>
        <w:ind w:left="567"/>
        <w:rPr>
          <w:lang w:val="en-US"/>
        </w:rPr>
      </w:pPr>
      <w:r w:rsidRPr="00C01170">
        <w:rPr>
          <w:lang w:val="en-US"/>
        </w:rPr>
        <w:t xml:space="preserve">Assistance in reliable, safe and secure storage of radioisotope thermoelectric generators (RTGs) with expired service life. It is a large-scale project providing direct practical works in the </w:t>
      </w:r>
      <w:r w:rsidR="007F0B23">
        <w:rPr>
          <w:lang w:val="en-US"/>
        </w:rPr>
        <w:t>Member S</w:t>
      </w:r>
      <w:r w:rsidRPr="00C01170">
        <w:rPr>
          <w:lang w:val="en-US"/>
        </w:rPr>
        <w:t xml:space="preserve">tates </w:t>
      </w:r>
      <w:r w:rsidR="007F0B23">
        <w:rPr>
          <w:lang w:val="en-US"/>
        </w:rPr>
        <w:t>as well as</w:t>
      </w:r>
      <w:r w:rsidRPr="00C01170">
        <w:rPr>
          <w:lang w:val="en-US"/>
        </w:rPr>
        <w:t xml:space="preserve"> consolidation and publication of the information on the available experience, technologies and methods for reliable handling of RTGs.</w:t>
      </w:r>
    </w:p>
    <w:p w14:paraId="338A817D" w14:textId="109E03F5" w:rsidR="009102A0" w:rsidRPr="003F795D" w:rsidRDefault="0005139D" w:rsidP="004C30F4">
      <w:pPr>
        <w:pStyle w:val="ListEmdash"/>
        <w:ind w:left="567"/>
        <w:rPr>
          <w:lang w:val="en-US"/>
        </w:rPr>
      </w:pPr>
      <w:r>
        <w:rPr>
          <w:lang w:val="en-US"/>
        </w:rPr>
        <w:t>The Nuclear Security Fund</w:t>
      </w:r>
      <w:r w:rsidR="00BF7EEA">
        <w:rPr>
          <w:lang w:val="en-US"/>
        </w:rPr>
        <w:t xml:space="preserve"> contains</w:t>
      </w:r>
      <w:r>
        <w:rPr>
          <w:lang w:val="en-US"/>
        </w:rPr>
        <w:t xml:space="preserve"> allocated </w:t>
      </w:r>
      <w:r w:rsidR="00924831" w:rsidRPr="003F795D">
        <w:rPr>
          <w:lang w:val="en-US"/>
        </w:rPr>
        <w:t xml:space="preserve">funds for </w:t>
      </w:r>
      <w:r>
        <w:rPr>
          <w:lang w:val="en-US"/>
        </w:rPr>
        <w:t>establishment</w:t>
      </w:r>
      <w:r w:rsidR="00B82A20" w:rsidRPr="003F795D">
        <w:rPr>
          <w:lang w:val="en-US"/>
        </w:rPr>
        <w:t xml:space="preserve"> </w:t>
      </w:r>
      <w:r w:rsidR="00BF7EEA">
        <w:rPr>
          <w:lang w:val="en-US"/>
        </w:rPr>
        <w:t xml:space="preserve">the </w:t>
      </w:r>
      <w:r w:rsidR="00B82A20" w:rsidRPr="003F795D">
        <w:rPr>
          <w:lang w:val="en-US"/>
        </w:rPr>
        <w:t xml:space="preserve">Agency’s Nuclear Security Support Center </w:t>
      </w:r>
      <w:r w:rsidR="003F795D" w:rsidRPr="003F795D">
        <w:rPr>
          <w:lang w:val="en-US"/>
        </w:rPr>
        <w:t xml:space="preserve">for </w:t>
      </w:r>
      <w:r w:rsidR="00CB60D7">
        <w:rPr>
          <w:lang w:val="en-US"/>
        </w:rPr>
        <w:t>Member State</w:t>
      </w:r>
      <w:r w:rsidR="00B82A20" w:rsidRPr="003F795D">
        <w:rPr>
          <w:lang w:val="en-US"/>
        </w:rPr>
        <w:t xml:space="preserve"> upon its request. That includes procurement of required equipment and personnel training</w:t>
      </w:r>
      <w:r w:rsidR="00924831" w:rsidRPr="003F795D">
        <w:rPr>
          <w:lang w:val="en-US"/>
        </w:rPr>
        <w:t xml:space="preserve"> in order to develop </w:t>
      </w:r>
      <w:r w:rsidR="003F795D" w:rsidRPr="003F795D">
        <w:rPr>
          <w:lang w:val="en-US"/>
        </w:rPr>
        <w:t>competence and practical knowledge</w:t>
      </w:r>
      <w:r w:rsidR="00924831" w:rsidRPr="003F795D">
        <w:rPr>
          <w:lang w:val="en-US"/>
        </w:rPr>
        <w:t xml:space="preserve">. </w:t>
      </w:r>
    </w:p>
    <w:p w14:paraId="63966AAE" w14:textId="741B9457" w:rsidR="00076E7F" w:rsidRPr="00C01170" w:rsidRDefault="00BF7EEA" w:rsidP="004C30F4">
      <w:pPr>
        <w:pStyle w:val="ListEmdash"/>
        <w:ind w:left="567"/>
        <w:rPr>
          <w:lang w:val="en-US"/>
        </w:rPr>
      </w:pPr>
      <w:r>
        <w:rPr>
          <w:lang w:val="en-US"/>
        </w:rPr>
        <w:t>Russian Federation</w:t>
      </w:r>
      <w:r w:rsidR="00924831" w:rsidRPr="00C01170">
        <w:rPr>
          <w:lang w:val="en-US"/>
        </w:rPr>
        <w:t xml:space="preserve"> regularly provide</w:t>
      </w:r>
      <w:r>
        <w:rPr>
          <w:lang w:val="en-US"/>
        </w:rPr>
        <w:t>s</w:t>
      </w:r>
      <w:r w:rsidR="00924831" w:rsidRPr="00C01170">
        <w:rPr>
          <w:lang w:val="en-US"/>
        </w:rPr>
        <w:t xml:space="preserve"> the Agency with </w:t>
      </w:r>
      <w:r w:rsidR="00B82A20">
        <w:rPr>
          <w:lang w:val="en-US"/>
        </w:rPr>
        <w:t>venue in the</w:t>
      </w:r>
      <w:r w:rsidR="00924831" w:rsidRPr="00C01170">
        <w:rPr>
          <w:lang w:val="en-US"/>
        </w:rPr>
        <w:t xml:space="preserve"> Rosatom Technical Academy for the IAEA</w:t>
      </w:r>
      <w:r w:rsidR="003F795D">
        <w:rPr>
          <w:lang w:val="en-US"/>
        </w:rPr>
        <w:t xml:space="preserve"> events, including</w:t>
      </w:r>
      <w:r w:rsidR="00924831" w:rsidRPr="00C01170">
        <w:rPr>
          <w:lang w:val="en-US"/>
        </w:rPr>
        <w:t xml:space="preserve"> training courses and </w:t>
      </w:r>
      <w:r w:rsidR="00B82A20">
        <w:rPr>
          <w:lang w:val="en-US"/>
        </w:rPr>
        <w:t xml:space="preserve">workshops, which </w:t>
      </w:r>
      <w:proofErr w:type="gramStart"/>
      <w:r w:rsidR="00B82A20">
        <w:rPr>
          <w:lang w:val="en-US"/>
        </w:rPr>
        <w:t>are</w:t>
      </w:r>
      <w:r w:rsidR="00924831" w:rsidRPr="00C01170">
        <w:rPr>
          <w:lang w:val="en-US"/>
        </w:rPr>
        <w:t xml:space="preserve"> </w:t>
      </w:r>
      <w:r w:rsidR="00B82A20">
        <w:rPr>
          <w:lang w:val="en-US"/>
        </w:rPr>
        <w:t>dedicated</w:t>
      </w:r>
      <w:proofErr w:type="gramEnd"/>
      <w:r w:rsidR="00B82A20">
        <w:rPr>
          <w:lang w:val="en-US"/>
        </w:rPr>
        <w:t xml:space="preserve"> towards</w:t>
      </w:r>
      <w:r w:rsidR="00924831" w:rsidRPr="00C01170">
        <w:rPr>
          <w:lang w:val="en-US"/>
        </w:rPr>
        <w:t xml:space="preserve"> </w:t>
      </w:r>
      <w:r w:rsidR="003F795D" w:rsidRPr="00C01170">
        <w:rPr>
          <w:lang w:val="en-US"/>
        </w:rPr>
        <w:t xml:space="preserve">human resources </w:t>
      </w:r>
      <w:r w:rsidR="003F795D">
        <w:rPr>
          <w:lang w:val="en-US"/>
        </w:rPr>
        <w:t>development</w:t>
      </w:r>
      <w:r w:rsidR="00924831" w:rsidRPr="00C01170">
        <w:rPr>
          <w:lang w:val="en-US"/>
        </w:rPr>
        <w:t xml:space="preserve"> </w:t>
      </w:r>
      <w:r w:rsidR="003F795D">
        <w:rPr>
          <w:lang w:val="en-US"/>
        </w:rPr>
        <w:t>as well as</w:t>
      </w:r>
      <w:r w:rsidR="00B82A20">
        <w:rPr>
          <w:lang w:val="en-US"/>
        </w:rPr>
        <w:t xml:space="preserve"> </w:t>
      </w:r>
      <w:r w:rsidR="00B82A20" w:rsidRPr="00C01170">
        <w:rPr>
          <w:lang w:val="en-US"/>
        </w:rPr>
        <w:t>exchanging</w:t>
      </w:r>
      <w:r w:rsidR="00924831" w:rsidRPr="00C01170">
        <w:rPr>
          <w:lang w:val="en-US"/>
        </w:rPr>
        <w:t xml:space="preserve"> experience</w:t>
      </w:r>
      <w:r w:rsidR="00B82A20">
        <w:rPr>
          <w:lang w:val="en-US"/>
        </w:rPr>
        <w:t xml:space="preserve"> on</w:t>
      </w:r>
      <w:r w:rsidR="00924831" w:rsidRPr="00C01170">
        <w:rPr>
          <w:lang w:val="en-US"/>
        </w:rPr>
        <w:t xml:space="preserve"> </w:t>
      </w:r>
      <w:r w:rsidR="00B82A20" w:rsidRPr="00C01170">
        <w:rPr>
          <w:lang w:val="en-US"/>
        </w:rPr>
        <w:t>arrangement and maintenance</w:t>
      </w:r>
      <w:r w:rsidR="00B82A20">
        <w:rPr>
          <w:lang w:val="en-US"/>
        </w:rPr>
        <w:t xml:space="preserve"> of</w:t>
      </w:r>
      <w:r w:rsidR="00B82A20" w:rsidRPr="00C01170">
        <w:rPr>
          <w:lang w:val="en-US"/>
        </w:rPr>
        <w:t xml:space="preserve"> </w:t>
      </w:r>
      <w:r w:rsidR="00924831" w:rsidRPr="00C01170">
        <w:rPr>
          <w:lang w:val="en-US"/>
        </w:rPr>
        <w:t xml:space="preserve">nuclear security. These international and regional events </w:t>
      </w:r>
      <w:proofErr w:type="gramStart"/>
      <w:r w:rsidR="00924831" w:rsidRPr="00C01170">
        <w:rPr>
          <w:lang w:val="en-US"/>
        </w:rPr>
        <w:t>are intended</w:t>
      </w:r>
      <w:proofErr w:type="gramEnd"/>
      <w:r w:rsidR="00924831" w:rsidRPr="00C01170">
        <w:rPr>
          <w:lang w:val="en-US"/>
        </w:rPr>
        <w:t xml:space="preserve"> for wide and diverse audience: the management personnel, the professional staff and students. Many of these training</w:t>
      </w:r>
      <w:r w:rsidR="00B82A20">
        <w:rPr>
          <w:lang w:val="en-US"/>
        </w:rPr>
        <w:t>s</w:t>
      </w:r>
      <w:r w:rsidR="00924831" w:rsidRPr="00C01170">
        <w:rPr>
          <w:lang w:val="en-US"/>
        </w:rPr>
        <w:t xml:space="preserve"> </w:t>
      </w:r>
      <w:r w:rsidR="00B82A20">
        <w:rPr>
          <w:lang w:val="en-US"/>
        </w:rPr>
        <w:t>contain</w:t>
      </w:r>
      <w:r w:rsidR="003F795D">
        <w:rPr>
          <w:lang w:val="en-US"/>
        </w:rPr>
        <w:t xml:space="preserve"> practical classes, conducting on</w:t>
      </w:r>
      <w:r w:rsidR="003F795D" w:rsidRPr="003F795D">
        <w:rPr>
          <w:lang w:val="en-US"/>
        </w:rPr>
        <w:t xml:space="preserve"> </w:t>
      </w:r>
      <w:r w:rsidR="003F795D" w:rsidRPr="00C01170">
        <w:rPr>
          <w:lang w:val="en-US"/>
        </w:rPr>
        <w:t xml:space="preserve">training </w:t>
      </w:r>
      <w:r>
        <w:rPr>
          <w:lang w:val="en-US"/>
        </w:rPr>
        <w:t xml:space="preserve">site </w:t>
      </w:r>
      <w:r w:rsidR="003F795D">
        <w:rPr>
          <w:lang w:val="en-US"/>
        </w:rPr>
        <w:t>“Polygon”</w:t>
      </w:r>
      <w:r w:rsidR="003F795D" w:rsidRPr="00C01170">
        <w:rPr>
          <w:lang w:val="en-US"/>
        </w:rPr>
        <w:t xml:space="preserve"> in Obninsk</w:t>
      </w:r>
      <w:r w:rsidR="003F795D">
        <w:rPr>
          <w:lang w:val="en-US"/>
        </w:rPr>
        <w:t xml:space="preserve">, where participants are </w:t>
      </w:r>
      <w:r w:rsidR="00924831" w:rsidRPr="00C01170">
        <w:rPr>
          <w:lang w:val="en-US"/>
        </w:rPr>
        <w:t xml:space="preserve">working with various physical protection devices and measures. One of the essential principles of such </w:t>
      </w:r>
      <w:r w:rsidR="003F795D">
        <w:rPr>
          <w:lang w:val="en-US"/>
        </w:rPr>
        <w:t>activities</w:t>
      </w:r>
      <w:r w:rsidR="00924831" w:rsidRPr="00C01170">
        <w:rPr>
          <w:lang w:val="en-US"/>
        </w:rPr>
        <w:t xml:space="preserve"> is that </w:t>
      </w:r>
      <w:r>
        <w:rPr>
          <w:lang w:val="en-US"/>
        </w:rPr>
        <w:t>it does</w:t>
      </w:r>
      <w:r w:rsidR="00924831" w:rsidRPr="00C01170">
        <w:rPr>
          <w:lang w:val="en-US"/>
        </w:rPr>
        <w:t xml:space="preserve"> not </w:t>
      </w:r>
      <w:r w:rsidR="003F795D">
        <w:rPr>
          <w:lang w:val="en-US"/>
        </w:rPr>
        <w:t>promote</w:t>
      </w:r>
      <w:r w:rsidR="00924831" w:rsidRPr="00C01170">
        <w:rPr>
          <w:lang w:val="en-US"/>
        </w:rPr>
        <w:t xml:space="preserve"> any particular nuclear security </w:t>
      </w:r>
      <w:r w:rsidR="003F795D">
        <w:rPr>
          <w:lang w:val="en-US"/>
        </w:rPr>
        <w:t>measures</w:t>
      </w:r>
      <w:r w:rsidR="00924831" w:rsidRPr="00C01170">
        <w:rPr>
          <w:lang w:val="en-US"/>
        </w:rPr>
        <w:t xml:space="preserve"> (including physical protection) or any manufacturer of the equipment. </w:t>
      </w:r>
      <w:r w:rsidR="003F795D">
        <w:rPr>
          <w:lang w:val="en-US"/>
        </w:rPr>
        <w:t>“Polygon”</w:t>
      </w:r>
      <w:r>
        <w:rPr>
          <w:lang w:val="en-US"/>
        </w:rPr>
        <w:t xml:space="preserve"> is equipped with</w:t>
      </w:r>
      <w:r w:rsidR="003F795D">
        <w:rPr>
          <w:lang w:val="en-US"/>
        </w:rPr>
        <w:t xml:space="preserve"> immense variety of nuclear security </w:t>
      </w:r>
      <w:r w:rsidR="00924831" w:rsidRPr="00C01170">
        <w:rPr>
          <w:lang w:val="en-US"/>
        </w:rPr>
        <w:t xml:space="preserve">detection </w:t>
      </w:r>
      <w:r>
        <w:rPr>
          <w:lang w:val="en-US"/>
        </w:rPr>
        <w:t xml:space="preserve">devices, </w:t>
      </w:r>
      <w:r w:rsidR="00924831" w:rsidRPr="00C01170">
        <w:rPr>
          <w:lang w:val="en-US"/>
        </w:rPr>
        <w:t xml:space="preserve">the training </w:t>
      </w:r>
      <w:r w:rsidR="00924831" w:rsidRPr="00C01170">
        <w:rPr>
          <w:lang w:val="en-US"/>
        </w:rPr>
        <w:lastRenderedPageBreak/>
        <w:t xml:space="preserve">process </w:t>
      </w:r>
      <w:proofErr w:type="gramStart"/>
      <w:r w:rsidR="00924831" w:rsidRPr="00C01170">
        <w:rPr>
          <w:lang w:val="en-US"/>
        </w:rPr>
        <w:t>is organized</w:t>
      </w:r>
      <w:proofErr w:type="gramEnd"/>
      <w:r w:rsidR="00924831" w:rsidRPr="00C01170">
        <w:rPr>
          <w:lang w:val="en-US"/>
        </w:rPr>
        <w:t xml:space="preserve"> in a way to </w:t>
      </w:r>
      <w:r w:rsidR="00EB4694">
        <w:rPr>
          <w:lang w:val="en-US"/>
        </w:rPr>
        <w:t xml:space="preserve">provide participant with fundamentals of nuclear security system establishment and principles of its effective functioning. Thus, trainees are </w:t>
      </w:r>
      <w:r w:rsidR="00924831" w:rsidRPr="00C01170">
        <w:rPr>
          <w:lang w:val="en-US"/>
        </w:rPr>
        <w:t xml:space="preserve">able </w:t>
      </w:r>
      <w:proofErr w:type="gramStart"/>
      <w:r w:rsidR="00924831" w:rsidRPr="00C01170">
        <w:rPr>
          <w:lang w:val="en-US"/>
        </w:rPr>
        <w:t xml:space="preserve">to independently </w:t>
      </w:r>
      <w:r w:rsidR="00EB4694">
        <w:rPr>
          <w:lang w:val="en-US"/>
        </w:rPr>
        <w:t>identify</w:t>
      </w:r>
      <w:proofErr w:type="gramEnd"/>
      <w:r w:rsidR="00EB4694" w:rsidRPr="00C01170">
        <w:rPr>
          <w:lang w:val="en-US"/>
        </w:rPr>
        <w:t xml:space="preserve"> </w:t>
      </w:r>
      <w:r w:rsidR="00924831" w:rsidRPr="00C01170">
        <w:rPr>
          <w:lang w:val="en-US"/>
        </w:rPr>
        <w:t xml:space="preserve">the aspects suitable for their </w:t>
      </w:r>
      <w:r w:rsidR="00EB4694">
        <w:rPr>
          <w:lang w:val="en-US"/>
        </w:rPr>
        <w:t>own S</w:t>
      </w:r>
      <w:r w:rsidR="00924831" w:rsidRPr="00C01170">
        <w:rPr>
          <w:lang w:val="en-US"/>
        </w:rPr>
        <w:t>tate</w:t>
      </w:r>
      <w:r w:rsidR="00EB4694">
        <w:rPr>
          <w:lang w:val="en-US"/>
        </w:rPr>
        <w:t>’s demands</w:t>
      </w:r>
      <w:r w:rsidR="00924831" w:rsidRPr="00C01170">
        <w:rPr>
          <w:lang w:val="en-US"/>
        </w:rPr>
        <w:t xml:space="preserve"> </w:t>
      </w:r>
      <w:r w:rsidR="00EB4694">
        <w:rPr>
          <w:lang w:val="en-US"/>
        </w:rPr>
        <w:t>as well as</w:t>
      </w:r>
      <w:r w:rsidR="00924831" w:rsidRPr="00C01170">
        <w:rPr>
          <w:lang w:val="en-US"/>
        </w:rPr>
        <w:t xml:space="preserve"> specifically for the</w:t>
      </w:r>
      <w:r w:rsidR="00EB4694">
        <w:rPr>
          <w:lang w:val="en-US"/>
        </w:rPr>
        <w:t xml:space="preserve"> </w:t>
      </w:r>
      <w:r w:rsidR="00924831" w:rsidRPr="00C01170">
        <w:rPr>
          <w:lang w:val="en-US"/>
        </w:rPr>
        <w:t xml:space="preserve">facility. </w:t>
      </w:r>
    </w:p>
    <w:p w14:paraId="1C877FFC" w14:textId="18891899" w:rsidR="0055754F" w:rsidRPr="00C01170" w:rsidRDefault="00BF7EEA" w:rsidP="004C30F4">
      <w:pPr>
        <w:pStyle w:val="ListEmdash"/>
        <w:ind w:left="567"/>
        <w:rPr>
          <w:lang w:val="en-US"/>
        </w:rPr>
      </w:pPr>
      <w:r>
        <w:rPr>
          <w:lang w:val="en-US"/>
        </w:rPr>
        <w:t>Russian Federation</w:t>
      </w:r>
      <w:r w:rsidR="00924831" w:rsidRPr="00C01170">
        <w:rPr>
          <w:lang w:val="en-US"/>
        </w:rPr>
        <w:t xml:space="preserve"> support</w:t>
      </w:r>
      <w:r>
        <w:rPr>
          <w:lang w:val="en-US"/>
        </w:rPr>
        <w:t>s</w:t>
      </w:r>
      <w:r w:rsidR="00924831" w:rsidRPr="00C01170">
        <w:rPr>
          <w:lang w:val="en-US"/>
        </w:rPr>
        <w:t xml:space="preserve"> the IAEA in development of training materials and arrangement of training courses for the employees of higher educational institutions. The specific character of these activities is to share our experience and the best practices in usage of the available </w:t>
      </w:r>
      <w:r w:rsidR="00CB60D7">
        <w:rPr>
          <w:lang w:val="en-US"/>
        </w:rPr>
        <w:t>Member State</w:t>
      </w:r>
      <w:r w:rsidR="00AF6A1C">
        <w:rPr>
          <w:lang w:val="en-US"/>
        </w:rPr>
        <w:t xml:space="preserve">’s </w:t>
      </w:r>
      <w:r w:rsidR="00924831" w:rsidRPr="00C01170">
        <w:rPr>
          <w:lang w:val="en-US"/>
        </w:rPr>
        <w:t xml:space="preserve">nuclear facilities </w:t>
      </w:r>
      <w:r w:rsidR="00AF6A1C">
        <w:rPr>
          <w:lang w:val="en-US"/>
        </w:rPr>
        <w:t>for</w:t>
      </w:r>
      <w:r w:rsidR="00924831" w:rsidRPr="00C01170">
        <w:rPr>
          <w:lang w:val="en-US"/>
        </w:rPr>
        <w:t xml:space="preserve"> develop their own training </w:t>
      </w:r>
      <w:r w:rsidR="000F54D9">
        <w:rPr>
          <w:lang w:val="en-US"/>
        </w:rPr>
        <w:t>programme</w:t>
      </w:r>
      <w:r w:rsidR="00924831" w:rsidRPr="00C01170">
        <w:rPr>
          <w:lang w:val="en-US"/>
        </w:rPr>
        <w:t xml:space="preserve">s and independent </w:t>
      </w:r>
      <w:r w:rsidR="00AF6A1C">
        <w:rPr>
          <w:lang w:val="en-US"/>
        </w:rPr>
        <w:t>development of</w:t>
      </w:r>
      <w:r w:rsidR="00924831" w:rsidRPr="00C01170">
        <w:rPr>
          <w:lang w:val="en-US"/>
        </w:rPr>
        <w:t xml:space="preserve"> national human resources.</w:t>
      </w:r>
    </w:p>
    <w:p w14:paraId="1545BA2B" w14:textId="71D4B397" w:rsidR="00076E7F" w:rsidRPr="00AC77FA" w:rsidRDefault="00F643B2" w:rsidP="004C30F4">
      <w:pPr>
        <w:pStyle w:val="ListEmdash"/>
        <w:ind w:left="567"/>
        <w:rPr>
          <w:lang w:val="en-US"/>
        </w:rPr>
      </w:pPr>
      <w:r w:rsidRPr="00AC77FA">
        <w:rPr>
          <w:lang w:val="en-US"/>
        </w:rPr>
        <w:t xml:space="preserve">Russian Customs Academy </w:t>
      </w:r>
      <w:proofErr w:type="spellStart"/>
      <w:r w:rsidR="00924831" w:rsidRPr="00AC77FA">
        <w:rPr>
          <w:lang w:val="en-US"/>
        </w:rPr>
        <w:t>carry</w:t>
      </w:r>
      <w:r>
        <w:rPr>
          <w:lang w:val="en-US"/>
        </w:rPr>
        <w:t>s</w:t>
      </w:r>
      <w:proofErr w:type="spellEnd"/>
      <w:r w:rsidR="00924831" w:rsidRPr="00AC77FA">
        <w:rPr>
          <w:lang w:val="en-US"/>
        </w:rPr>
        <w:t xml:space="preserve"> out regional IAEA courses </w:t>
      </w:r>
      <w:r w:rsidR="00AC77FA" w:rsidRPr="00AC77FA">
        <w:rPr>
          <w:lang w:val="en-US"/>
        </w:rPr>
        <w:t>on</w:t>
      </w:r>
      <w:r w:rsidR="00924831" w:rsidRPr="00AC77FA">
        <w:rPr>
          <w:lang w:val="en-US"/>
        </w:rPr>
        <w:t xml:space="preserve"> radiation detection methods for the </w:t>
      </w:r>
      <w:r w:rsidR="00AC77FA" w:rsidRPr="00AC77FA">
        <w:rPr>
          <w:lang w:val="en-US"/>
        </w:rPr>
        <w:t>members</w:t>
      </w:r>
      <w:r w:rsidR="00924831" w:rsidRPr="00AC77FA">
        <w:rPr>
          <w:lang w:val="en-US"/>
        </w:rPr>
        <w:t xml:space="preserve"> of supervisory authorities from foreign countries responsible for counteracti</w:t>
      </w:r>
      <w:r w:rsidR="007C6214" w:rsidRPr="00AC77FA">
        <w:rPr>
          <w:lang w:val="en-US"/>
        </w:rPr>
        <w:t>ng</w:t>
      </w:r>
      <w:r w:rsidR="00924831" w:rsidRPr="00AC77FA">
        <w:rPr>
          <w:lang w:val="en-US"/>
        </w:rPr>
        <w:t xml:space="preserve"> </w:t>
      </w:r>
      <w:r w:rsidR="00AC77FA" w:rsidRPr="00AC77FA">
        <w:rPr>
          <w:lang w:val="en-US"/>
        </w:rPr>
        <w:t>illicit</w:t>
      </w:r>
      <w:r w:rsidR="00924831" w:rsidRPr="00AC77FA">
        <w:rPr>
          <w:lang w:val="en-US"/>
        </w:rPr>
        <w:t xml:space="preserve"> trafficking of nuclear and other radioactive materials</w:t>
      </w:r>
      <w:r w:rsidR="007C6214" w:rsidRPr="00AC77FA">
        <w:rPr>
          <w:lang w:val="en-US"/>
        </w:rPr>
        <w:t>.</w:t>
      </w:r>
      <w:r w:rsidR="00924831" w:rsidRPr="00AC77FA">
        <w:rPr>
          <w:lang w:val="en-US"/>
        </w:rPr>
        <w:t xml:space="preserve"> </w:t>
      </w:r>
      <w:r w:rsidR="00AC77FA" w:rsidRPr="00AC77FA">
        <w:rPr>
          <w:lang w:val="en-US"/>
        </w:rPr>
        <w:t xml:space="preserve">The courses </w:t>
      </w:r>
      <w:proofErr w:type="gramStart"/>
      <w:r w:rsidR="00AC77FA" w:rsidRPr="00AC77FA">
        <w:rPr>
          <w:lang w:val="en-US"/>
        </w:rPr>
        <w:t>are hosted</w:t>
      </w:r>
      <w:proofErr w:type="gramEnd"/>
      <w:r w:rsidR="00AC77FA" w:rsidRPr="00AC77FA">
        <w:rPr>
          <w:lang w:val="en-US"/>
        </w:rPr>
        <w:t xml:space="preserve"> by training centers for customs surveillance over fissile and radioactive materials at Vladivostok and St. Petersburg. T</w:t>
      </w:r>
      <w:r w:rsidR="00924831" w:rsidRPr="00AC77FA">
        <w:rPr>
          <w:lang w:val="en-US"/>
        </w:rPr>
        <w:t xml:space="preserve">hese courses </w:t>
      </w:r>
      <w:proofErr w:type="gramStart"/>
      <w:r w:rsidR="00924831" w:rsidRPr="00AC77FA">
        <w:rPr>
          <w:lang w:val="en-US"/>
        </w:rPr>
        <w:t>are aimed</w:t>
      </w:r>
      <w:proofErr w:type="gramEnd"/>
      <w:r w:rsidR="00924831" w:rsidRPr="00AC77FA">
        <w:rPr>
          <w:lang w:val="en-US"/>
        </w:rPr>
        <w:t xml:space="preserve"> to share the best practices with regard to prevention of </w:t>
      </w:r>
      <w:r w:rsidR="00AC77FA" w:rsidRPr="00AC77FA">
        <w:rPr>
          <w:lang w:val="en-US"/>
        </w:rPr>
        <w:t>illicit</w:t>
      </w:r>
      <w:r w:rsidR="00924831" w:rsidRPr="00AC77FA">
        <w:rPr>
          <w:lang w:val="en-US"/>
        </w:rPr>
        <w:t xml:space="preserve"> trafficking of radiation-hazardous items across the national </w:t>
      </w:r>
      <w:r w:rsidR="00AC77FA" w:rsidRPr="00AC77FA">
        <w:rPr>
          <w:lang w:val="en-US"/>
        </w:rPr>
        <w:t>borders</w:t>
      </w:r>
      <w:r w:rsidR="00924831" w:rsidRPr="00AC77FA">
        <w:rPr>
          <w:lang w:val="en-US"/>
        </w:rPr>
        <w:t xml:space="preserve">. The courses </w:t>
      </w:r>
      <w:proofErr w:type="gramStart"/>
      <w:r w:rsidR="00AC77FA" w:rsidRPr="00AC77FA">
        <w:rPr>
          <w:lang w:val="en-US"/>
        </w:rPr>
        <w:t>are focused</w:t>
      </w:r>
      <w:proofErr w:type="gramEnd"/>
      <w:r w:rsidR="00924831" w:rsidRPr="00AC77FA">
        <w:rPr>
          <w:lang w:val="en-US"/>
        </w:rPr>
        <w:t xml:space="preserve"> not only to enhance theoretical knowledge of the specialists but also to improve their practical skills. </w:t>
      </w:r>
      <w:r w:rsidR="00AC77FA" w:rsidRPr="00AC77FA">
        <w:rPr>
          <w:lang w:val="en-US"/>
        </w:rPr>
        <w:t>The participants work with actual</w:t>
      </w:r>
      <w:r w:rsidR="00924831" w:rsidRPr="00AC77FA">
        <w:rPr>
          <w:lang w:val="en-US"/>
        </w:rPr>
        <w:t xml:space="preserve"> radiation control equipment at the operating airport and </w:t>
      </w:r>
      <w:proofErr w:type="gramStart"/>
      <w:r w:rsidR="00924831" w:rsidRPr="00AC77FA">
        <w:rPr>
          <w:lang w:val="en-US"/>
        </w:rPr>
        <w:t>harbor bord</w:t>
      </w:r>
      <w:r w:rsidR="00AC77FA" w:rsidRPr="00AC77FA">
        <w:rPr>
          <w:lang w:val="en-US"/>
        </w:rPr>
        <w:t>er crossing points</w:t>
      </w:r>
      <w:proofErr w:type="gramEnd"/>
      <w:r w:rsidR="00AC77FA" w:rsidRPr="00AC77FA">
        <w:rPr>
          <w:lang w:val="en-US"/>
        </w:rPr>
        <w:t xml:space="preserve"> as well as exercise</w:t>
      </w:r>
      <w:r w:rsidR="00924831" w:rsidRPr="00AC77FA">
        <w:rPr>
          <w:lang w:val="en-US"/>
        </w:rPr>
        <w:t xml:space="preserve"> in the customs surveillance zone of the functioning temporary storage warehouses at the border of </w:t>
      </w:r>
      <w:r>
        <w:rPr>
          <w:lang w:val="en-US"/>
        </w:rPr>
        <w:t xml:space="preserve">the Russian Federation. In 2021, it </w:t>
      </w:r>
      <w:proofErr w:type="gramStart"/>
      <w:r>
        <w:rPr>
          <w:lang w:val="en-US"/>
        </w:rPr>
        <w:t>is planned</w:t>
      </w:r>
      <w:proofErr w:type="gramEnd"/>
      <w:r>
        <w:rPr>
          <w:lang w:val="en-US"/>
        </w:rPr>
        <w:t xml:space="preserve"> </w:t>
      </w:r>
      <w:r w:rsidR="00924831" w:rsidRPr="00AC77FA">
        <w:rPr>
          <w:lang w:val="en-US"/>
        </w:rPr>
        <w:t xml:space="preserve">to carry out the </w:t>
      </w:r>
      <w:r w:rsidR="00C01170" w:rsidRPr="00AC77FA">
        <w:rPr>
          <w:lang w:val="en-US"/>
        </w:rPr>
        <w:t>pilot IAEA</w:t>
      </w:r>
      <w:r w:rsidR="00924831" w:rsidRPr="00AC77FA">
        <w:rPr>
          <w:lang w:val="en-US"/>
        </w:rPr>
        <w:t xml:space="preserve"> drills in prevention of </w:t>
      </w:r>
      <w:r w:rsidR="00AC77FA" w:rsidRPr="00AC77FA">
        <w:rPr>
          <w:lang w:val="en-US"/>
        </w:rPr>
        <w:t>illicit</w:t>
      </w:r>
      <w:r w:rsidR="00924831" w:rsidRPr="00AC77FA">
        <w:rPr>
          <w:lang w:val="en-US"/>
        </w:rPr>
        <w:t xml:space="preserve"> trafficking of radioactive materials across the national </w:t>
      </w:r>
      <w:r w:rsidR="00AC77FA" w:rsidRPr="00AC77FA">
        <w:rPr>
          <w:lang w:val="en-US"/>
        </w:rPr>
        <w:t>borders</w:t>
      </w:r>
      <w:r w:rsidR="00924831" w:rsidRPr="00AC77FA">
        <w:rPr>
          <w:lang w:val="en-US"/>
        </w:rPr>
        <w:t>.</w:t>
      </w:r>
    </w:p>
    <w:p w14:paraId="2F03D25F" w14:textId="0C83094C" w:rsidR="00F01882" w:rsidRPr="00466E58" w:rsidRDefault="00F643B2" w:rsidP="004C30F4">
      <w:pPr>
        <w:pStyle w:val="ListEmdash"/>
        <w:ind w:left="567"/>
        <w:rPr>
          <w:lang w:val="en-US"/>
        </w:rPr>
      </w:pPr>
      <w:r>
        <w:rPr>
          <w:lang w:val="en-US"/>
        </w:rPr>
        <w:t>Russian Federation supports</w:t>
      </w:r>
      <w:r w:rsidRPr="00466E58">
        <w:rPr>
          <w:lang w:val="en-US"/>
        </w:rPr>
        <w:t xml:space="preserve"> </w:t>
      </w:r>
      <w:r w:rsidR="00924831" w:rsidRPr="00466E58">
        <w:rPr>
          <w:lang w:val="en-US"/>
        </w:rPr>
        <w:t xml:space="preserve">the Agency in development and </w:t>
      </w:r>
      <w:r w:rsidR="008270D2">
        <w:rPr>
          <w:lang w:val="en-US"/>
        </w:rPr>
        <w:t>conducting</w:t>
      </w:r>
      <w:r w:rsidR="00924831" w:rsidRPr="00466E58">
        <w:rPr>
          <w:lang w:val="en-US"/>
        </w:rPr>
        <w:t xml:space="preserve"> training courses for specialists of the competent authorities in charge of the nuclear security regulation. These courses are both for beginners and advanced specialists. The subject matter of these events also varies from physical protection of nuclear materials and nuclear facilities, accounting and control of nuclear materials to physical protection, accounting and control of radiation sources and radioactive substances. The Russian regulatory body also organized the </w:t>
      </w:r>
      <w:r w:rsidR="00A8158A" w:rsidRPr="00466E58">
        <w:rPr>
          <w:lang w:val="en-US"/>
        </w:rPr>
        <w:t>workshop</w:t>
      </w:r>
      <w:r w:rsidR="00924831" w:rsidRPr="00466E58">
        <w:rPr>
          <w:lang w:val="en-US"/>
        </w:rPr>
        <w:t xml:space="preserve"> on issues related to inspection of physical protection, accounting and control of radioactive substances and radiation sources</w:t>
      </w:r>
      <w:r w:rsidR="00466E58" w:rsidRPr="00466E58">
        <w:rPr>
          <w:lang w:val="en-US"/>
        </w:rPr>
        <w:t>.</w:t>
      </w:r>
      <w:r w:rsidR="00924831" w:rsidRPr="00466E58">
        <w:rPr>
          <w:lang w:val="en-US"/>
        </w:rPr>
        <w:t xml:space="preserve"> </w:t>
      </w:r>
      <w:r w:rsidR="00466E58" w:rsidRPr="00466E58">
        <w:rPr>
          <w:lang w:val="en-US"/>
        </w:rPr>
        <w:t>Another workshop</w:t>
      </w:r>
      <w:r w:rsidR="00924831" w:rsidRPr="00466E58">
        <w:rPr>
          <w:lang w:val="en-US"/>
        </w:rPr>
        <w:t xml:space="preserve"> </w:t>
      </w:r>
      <w:proofErr w:type="gramStart"/>
      <w:r w:rsidR="00924831" w:rsidRPr="00466E58">
        <w:rPr>
          <w:lang w:val="en-US"/>
        </w:rPr>
        <w:t>is planned</w:t>
      </w:r>
      <w:proofErr w:type="gramEnd"/>
      <w:r w:rsidR="00924831" w:rsidRPr="00466E58">
        <w:rPr>
          <w:lang w:val="en-US"/>
        </w:rPr>
        <w:t xml:space="preserve"> for 2021.</w:t>
      </w:r>
    </w:p>
    <w:p w14:paraId="40AA5CAE" w14:textId="0FC02456" w:rsidR="007E7868" w:rsidRPr="0001669B" w:rsidRDefault="00924831" w:rsidP="004C30F4">
      <w:pPr>
        <w:pStyle w:val="ListEmdash"/>
        <w:ind w:left="567"/>
        <w:rPr>
          <w:lang w:val="en-US"/>
        </w:rPr>
      </w:pPr>
      <w:r w:rsidRPr="0001669B">
        <w:rPr>
          <w:lang w:val="en-US"/>
        </w:rPr>
        <w:t xml:space="preserve">Some joint projects of Russia and the IAEA </w:t>
      </w:r>
      <w:proofErr w:type="gramStart"/>
      <w:r w:rsidRPr="0001669B">
        <w:rPr>
          <w:lang w:val="en-US"/>
        </w:rPr>
        <w:t>are aimed</w:t>
      </w:r>
      <w:proofErr w:type="gramEnd"/>
      <w:r w:rsidRPr="0001669B">
        <w:rPr>
          <w:lang w:val="en-US"/>
        </w:rPr>
        <w:t xml:space="preserve"> to enhance competence in the area of responding to incidents with nuclear and other radioactive materials </w:t>
      </w:r>
      <w:r w:rsidR="008270D2">
        <w:rPr>
          <w:lang w:val="en-US"/>
        </w:rPr>
        <w:t>out of</w:t>
      </w:r>
      <w:r w:rsidRPr="0001669B">
        <w:rPr>
          <w:lang w:val="en-US"/>
        </w:rPr>
        <w:t xml:space="preserve"> the regulatory control. In particular, scientific </w:t>
      </w:r>
      <w:r w:rsidR="00F643B2">
        <w:rPr>
          <w:lang w:val="en-US"/>
        </w:rPr>
        <w:t xml:space="preserve">and </w:t>
      </w:r>
      <w:proofErr w:type="gramStart"/>
      <w:r w:rsidRPr="0001669B">
        <w:rPr>
          <w:lang w:val="en-US"/>
        </w:rPr>
        <w:t>research</w:t>
      </w:r>
      <w:proofErr w:type="gramEnd"/>
      <w:r w:rsidRPr="0001669B">
        <w:rPr>
          <w:lang w:val="en-US"/>
        </w:rPr>
        <w:t xml:space="preserve"> wo</w:t>
      </w:r>
      <w:r w:rsidR="0001669B" w:rsidRPr="0001669B">
        <w:rPr>
          <w:lang w:val="en-US"/>
        </w:rPr>
        <w:t>rk</w:t>
      </w:r>
      <w:r w:rsidR="00F643B2">
        <w:rPr>
          <w:lang w:val="en-US"/>
        </w:rPr>
        <w:t xml:space="preserve"> is carried out</w:t>
      </w:r>
      <w:r w:rsidRPr="0001669B">
        <w:rPr>
          <w:lang w:val="en-US"/>
        </w:rPr>
        <w:t xml:space="preserve"> in the area</w:t>
      </w:r>
      <w:r w:rsidR="0001669B" w:rsidRPr="0001669B">
        <w:rPr>
          <w:lang w:val="en-US"/>
        </w:rPr>
        <w:t xml:space="preserve"> of nuclear forensic analysis. The results of </w:t>
      </w:r>
      <w:r w:rsidR="008270D2">
        <w:rPr>
          <w:lang w:val="en-US"/>
        </w:rPr>
        <w:t>the</w:t>
      </w:r>
      <w:r w:rsidR="0001669B" w:rsidRPr="0001669B">
        <w:rPr>
          <w:lang w:val="en-US"/>
        </w:rPr>
        <w:t xml:space="preserve"> work</w:t>
      </w:r>
      <w:r w:rsidRPr="0001669B">
        <w:rPr>
          <w:lang w:val="en-US"/>
        </w:rPr>
        <w:t xml:space="preserve"> will be available for the IAEA and all </w:t>
      </w:r>
      <w:r w:rsidR="00CB60D7">
        <w:rPr>
          <w:lang w:val="en-US"/>
        </w:rPr>
        <w:t>Member State</w:t>
      </w:r>
      <w:r w:rsidRPr="0001669B">
        <w:rPr>
          <w:lang w:val="en-US"/>
        </w:rPr>
        <w:t xml:space="preserve">s. </w:t>
      </w:r>
      <w:r w:rsidR="00F643B2">
        <w:rPr>
          <w:lang w:val="en-US"/>
        </w:rPr>
        <w:t>There are</w:t>
      </w:r>
      <w:r w:rsidRPr="0001669B">
        <w:rPr>
          <w:lang w:val="en-US"/>
        </w:rPr>
        <w:t xml:space="preserve"> </w:t>
      </w:r>
      <w:r w:rsidR="0001669B" w:rsidRPr="0001669B">
        <w:rPr>
          <w:lang w:val="en-US"/>
        </w:rPr>
        <w:t xml:space="preserve">also various events </w:t>
      </w:r>
      <w:r w:rsidR="00F643B2" w:rsidRPr="0001669B">
        <w:rPr>
          <w:lang w:val="en-US"/>
        </w:rPr>
        <w:t>arrange</w:t>
      </w:r>
      <w:r w:rsidR="00F643B2">
        <w:rPr>
          <w:lang w:val="en-US"/>
        </w:rPr>
        <w:t>d</w:t>
      </w:r>
      <w:r w:rsidR="00F643B2" w:rsidRPr="0001669B">
        <w:rPr>
          <w:lang w:val="en-US"/>
        </w:rPr>
        <w:t xml:space="preserve"> </w:t>
      </w:r>
      <w:r w:rsidR="0001669B" w:rsidRPr="0001669B">
        <w:rPr>
          <w:lang w:val="en-US"/>
        </w:rPr>
        <w:t>for</w:t>
      </w:r>
      <w:r w:rsidRPr="0001669B">
        <w:rPr>
          <w:lang w:val="en-US"/>
        </w:rPr>
        <w:t xml:space="preserve"> experience </w:t>
      </w:r>
      <w:r w:rsidR="0001669B" w:rsidRPr="0001669B">
        <w:rPr>
          <w:lang w:val="en-US"/>
        </w:rPr>
        <w:t xml:space="preserve">exchange </w:t>
      </w:r>
      <w:r w:rsidRPr="0001669B">
        <w:rPr>
          <w:lang w:val="en-US"/>
        </w:rPr>
        <w:t xml:space="preserve">and discussion of the best practices in identification of radioactive materials outside the regulatory control. </w:t>
      </w:r>
      <w:r w:rsidR="0001669B" w:rsidRPr="0001669B">
        <w:rPr>
          <w:lang w:val="en-US"/>
        </w:rPr>
        <w:t>Thus,</w:t>
      </w:r>
      <w:r w:rsidRPr="0001669B">
        <w:rPr>
          <w:lang w:val="en-US"/>
        </w:rPr>
        <w:t xml:space="preserve"> three regional IAEA seminars on nuclear forensic analysis have </w:t>
      </w:r>
      <w:r w:rsidR="000663AB">
        <w:rPr>
          <w:lang w:val="en-US"/>
        </w:rPr>
        <w:t xml:space="preserve">been </w:t>
      </w:r>
      <w:r w:rsidR="0001669B" w:rsidRPr="0001669B">
        <w:rPr>
          <w:lang w:val="en-US"/>
        </w:rPr>
        <w:t>conducted</w:t>
      </w:r>
      <w:r w:rsidRPr="0001669B">
        <w:rPr>
          <w:lang w:val="en-US"/>
        </w:rPr>
        <w:t xml:space="preserve"> in R</w:t>
      </w:r>
      <w:r w:rsidR="0001669B" w:rsidRPr="0001669B">
        <w:rPr>
          <w:lang w:val="en-US"/>
        </w:rPr>
        <w:t>ussia and Kazakhstan since 2017, and</w:t>
      </w:r>
      <w:r w:rsidRPr="0001669B">
        <w:rPr>
          <w:lang w:val="en-US"/>
        </w:rPr>
        <w:t xml:space="preserve"> </w:t>
      </w:r>
      <w:r w:rsidR="0001669B" w:rsidRPr="0001669B">
        <w:rPr>
          <w:lang w:val="en-US"/>
        </w:rPr>
        <w:t xml:space="preserve">this </w:t>
      </w:r>
      <w:r w:rsidR="000663AB" w:rsidRPr="0001669B">
        <w:rPr>
          <w:lang w:val="en-US"/>
        </w:rPr>
        <w:t>practice</w:t>
      </w:r>
      <w:r w:rsidR="0001669B" w:rsidRPr="0001669B">
        <w:rPr>
          <w:lang w:val="en-US"/>
        </w:rPr>
        <w:t xml:space="preserve"> </w:t>
      </w:r>
      <w:r w:rsidR="008270D2">
        <w:rPr>
          <w:lang w:val="en-US"/>
        </w:rPr>
        <w:t>is expected</w:t>
      </w:r>
      <w:r w:rsidR="0001669B" w:rsidRPr="0001669B">
        <w:rPr>
          <w:lang w:val="en-US"/>
        </w:rPr>
        <w:t xml:space="preserve"> prevail</w:t>
      </w:r>
      <w:r w:rsidRPr="0001669B">
        <w:rPr>
          <w:lang w:val="en-US"/>
        </w:rPr>
        <w:t xml:space="preserve">. The foreign specialists </w:t>
      </w:r>
      <w:r w:rsidR="0001669B" w:rsidRPr="0001669B">
        <w:rPr>
          <w:lang w:val="en-US"/>
        </w:rPr>
        <w:t>are able</w:t>
      </w:r>
      <w:r w:rsidRPr="0001669B">
        <w:rPr>
          <w:lang w:val="en-US"/>
        </w:rPr>
        <w:t xml:space="preserve"> </w:t>
      </w:r>
      <w:r w:rsidR="0001669B" w:rsidRPr="0001669B">
        <w:rPr>
          <w:lang w:val="en-US"/>
        </w:rPr>
        <w:t>attend</w:t>
      </w:r>
      <w:r w:rsidRPr="0001669B">
        <w:rPr>
          <w:lang w:val="en-US"/>
        </w:rPr>
        <w:t xml:space="preserve"> the classes in one of the Russian laboratories</w:t>
      </w:r>
      <w:r w:rsidR="008270D2">
        <w:rPr>
          <w:lang w:val="en-US"/>
        </w:rPr>
        <w:t xml:space="preserve">. </w:t>
      </w:r>
      <w:r w:rsidR="00F643B2">
        <w:rPr>
          <w:lang w:val="en-US"/>
        </w:rPr>
        <w:t>Russian Federation</w:t>
      </w:r>
      <w:r w:rsidR="008270D2">
        <w:rPr>
          <w:lang w:val="en-US"/>
        </w:rPr>
        <w:t xml:space="preserve"> also continue the </w:t>
      </w:r>
      <w:r w:rsidR="0001669B" w:rsidRPr="0001669B">
        <w:rPr>
          <w:lang w:val="en-US"/>
        </w:rPr>
        <w:t>research with IAEA on</w:t>
      </w:r>
      <w:r w:rsidRPr="0001669B">
        <w:rPr>
          <w:lang w:val="en-US"/>
        </w:rPr>
        <w:t xml:space="preserve"> peculiarities of nuclear forensic </w:t>
      </w:r>
      <w:r w:rsidR="00C01170" w:rsidRPr="0001669B">
        <w:rPr>
          <w:lang w:val="en-US"/>
        </w:rPr>
        <w:t>analysis in</w:t>
      </w:r>
      <w:r w:rsidRPr="0001669B">
        <w:rPr>
          <w:lang w:val="en-US"/>
        </w:rPr>
        <w:t xml:space="preserve"> investigation of biological samples. </w:t>
      </w:r>
      <w:r w:rsidR="0001669B" w:rsidRPr="0001669B">
        <w:rPr>
          <w:lang w:val="en-US"/>
        </w:rPr>
        <w:t xml:space="preserve">Attending the drill on forensic analysis </w:t>
      </w:r>
      <w:r w:rsidRPr="0001669B">
        <w:rPr>
          <w:lang w:val="en-US"/>
        </w:rPr>
        <w:t>of radioactive materials may be interesting for</w:t>
      </w:r>
      <w:r w:rsidR="0001669B">
        <w:rPr>
          <w:lang w:val="en-US"/>
        </w:rPr>
        <w:t xml:space="preserve"> many</w:t>
      </w:r>
      <w:r w:rsidRPr="0001669B">
        <w:rPr>
          <w:lang w:val="en-US"/>
        </w:rPr>
        <w:t xml:space="preserve"> </w:t>
      </w:r>
      <w:r w:rsidR="00CB60D7">
        <w:rPr>
          <w:lang w:val="en-US"/>
        </w:rPr>
        <w:t>Member State</w:t>
      </w:r>
      <w:r w:rsidR="0001669B">
        <w:rPr>
          <w:lang w:val="en-US"/>
        </w:rPr>
        <w:t>s</w:t>
      </w:r>
      <w:r w:rsidRPr="0001669B">
        <w:rPr>
          <w:lang w:val="en-US"/>
        </w:rPr>
        <w:t>.</w:t>
      </w:r>
    </w:p>
    <w:p w14:paraId="62B254B4" w14:textId="77777777" w:rsidR="000D37D8" w:rsidRPr="00C01170" w:rsidRDefault="00924831" w:rsidP="006D7DFF">
      <w:pPr>
        <w:pStyle w:val="3"/>
        <w:jc w:val="both"/>
        <w:rPr>
          <w:lang w:val="en-US"/>
        </w:rPr>
      </w:pPr>
      <w:r w:rsidRPr="00C01170">
        <w:rPr>
          <w:lang w:val="en-US"/>
        </w:rPr>
        <w:t>Information on technical assistance and help provided to the partner states by the Russian Federation in the area of nuclear security</w:t>
      </w:r>
    </w:p>
    <w:p w14:paraId="6E6860E5" w14:textId="3FD8E932" w:rsidR="006605BB" w:rsidRPr="00C01170" w:rsidRDefault="00F643B2" w:rsidP="006D7DFF">
      <w:pPr>
        <w:pStyle w:val="a1"/>
        <w:rPr>
          <w:lang w:val="en-US"/>
        </w:rPr>
      </w:pPr>
      <w:r>
        <w:rPr>
          <w:lang w:val="en-US"/>
        </w:rPr>
        <w:t>Russian Federation</w:t>
      </w:r>
      <w:r w:rsidR="00924831" w:rsidRPr="00C01170">
        <w:rPr>
          <w:lang w:val="en-US"/>
        </w:rPr>
        <w:t xml:space="preserve"> provide assistance to </w:t>
      </w:r>
      <w:r>
        <w:rPr>
          <w:lang w:val="en-US"/>
        </w:rPr>
        <w:t>the</w:t>
      </w:r>
      <w:r w:rsidR="00924831" w:rsidRPr="00C01170">
        <w:rPr>
          <w:lang w:val="en-US"/>
        </w:rPr>
        <w:t xml:space="preserve"> partners in development their national </w:t>
      </w:r>
      <w:r w:rsidR="002E0D0B">
        <w:rPr>
          <w:lang w:val="en-US"/>
        </w:rPr>
        <w:t>capacity building</w:t>
      </w:r>
      <w:r w:rsidR="00924831" w:rsidRPr="00C01170">
        <w:rPr>
          <w:lang w:val="en-US"/>
        </w:rPr>
        <w:t xml:space="preserve"> not only via IAEA activities but also directly. </w:t>
      </w:r>
      <w:r w:rsidR="006B6DCA">
        <w:rPr>
          <w:lang w:val="en-US"/>
        </w:rPr>
        <w:t xml:space="preserve">Primer example of bilateral aid is </w:t>
      </w:r>
      <w:r w:rsidR="002E0D0B">
        <w:rPr>
          <w:lang w:val="en-US"/>
        </w:rPr>
        <w:t>collaborative w</w:t>
      </w:r>
      <w:r w:rsidR="00924831" w:rsidRPr="00C01170">
        <w:rPr>
          <w:lang w:val="en-US"/>
        </w:rPr>
        <w:t xml:space="preserve">orks within the framework of the projects for </w:t>
      </w:r>
      <w:r w:rsidR="002E0D0B">
        <w:rPr>
          <w:lang w:val="en-US"/>
        </w:rPr>
        <w:t>establishment of</w:t>
      </w:r>
      <w:r w:rsidR="00924831" w:rsidRPr="00C01170">
        <w:rPr>
          <w:lang w:val="en-US"/>
        </w:rPr>
        <w:t xml:space="preserve"> </w:t>
      </w:r>
      <w:r w:rsidR="002E0D0B">
        <w:rPr>
          <w:lang w:val="en-US"/>
        </w:rPr>
        <w:t>N</w:t>
      </w:r>
      <w:r w:rsidR="00924831" w:rsidRPr="00C01170">
        <w:rPr>
          <w:lang w:val="en-US"/>
        </w:rPr>
        <w:t xml:space="preserve">uclear </w:t>
      </w:r>
      <w:r w:rsidR="002E0D0B">
        <w:rPr>
          <w:lang w:val="en-US"/>
        </w:rPr>
        <w:t>S</w:t>
      </w:r>
      <w:r w:rsidR="00924831" w:rsidRPr="00C01170">
        <w:rPr>
          <w:lang w:val="en-US"/>
        </w:rPr>
        <w:t xml:space="preserve">cience and </w:t>
      </w:r>
      <w:r w:rsidR="002E0D0B">
        <w:rPr>
          <w:lang w:val="en-US"/>
        </w:rPr>
        <w:t>T</w:t>
      </w:r>
      <w:r w:rsidR="00924831" w:rsidRPr="00C01170">
        <w:rPr>
          <w:lang w:val="en-US"/>
        </w:rPr>
        <w:t xml:space="preserve">echnology </w:t>
      </w:r>
      <w:r w:rsidR="002E0D0B">
        <w:rPr>
          <w:lang w:val="en-US"/>
        </w:rPr>
        <w:t>Cent</w:t>
      </w:r>
      <w:r w:rsidR="00924831" w:rsidRPr="00C01170">
        <w:rPr>
          <w:lang w:val="en-US"/>
        </w:rPr>
        <w:t>r</w:t>
      </w:r>
      <w:r w:rsidR="002E0D0B">
        <w:rPr>
          <w:lang w:val="en-US"/>
        </w:rPr>
        <w:t>e</w:t>
      </w:r>
      <w:r w:rsidR="00924831" w:rsidRPr="00C01170">
        <w:rPr>
          <w:lang w:val="en-US"/>
        </w:rPr>
        <w:t xml:space="preserve">s. In 2016 and </w:t>
      </w:r>
      <w:proofErr w:type="gramStart"/>
      <w:r w:rsidR="00924831" w:rsidRPr="00C01170">
        <w:rPr>
          <w:lang w:val="en-US"/>
        </w:rPr>
        <w:t>2018</w:t>
      </w:r>
      <w:proofErr w:type="gramEnd"/>
      <w:r w:rsidR="00924831" w:rsidRPr="00C01170">
        <w:rPr>
          <w:lang w:val="en-US"/>
        </w:rPr>
        <w:t xml:space="preserve"> our partner</w:t>
      </w:r>
      <w:r w:rsidR="002E0D0B">
        <w:rPr>
          <w:lang w:val="en-US"/>
        </w:rPr>
        <w:t>s</w:t>
      </w:r>
      <w:r w:rsidR="00924831" w:rsidRPr="00C01170">
        <w:rPr>
          <w:lang w:val="en-US"/>
        </w:rPr>
        <w:t xml:space="preserve"> hosted several technical visits of Russian experts </w:t>
      </w:r>
      <w:r w:rsidR="002E0D0B">
        <w:rPr>
          <w:lang w:val="en-US"/>
        </w:rPr>
        <w:t>in order</w:t>
      </w:r>
      <w:r w:rsidR="00924831" w:rsidRPr="00C01170">
        <w:rPr>
          <w:lang w:val="en-US"/>
        </w:rPr>
        <w:t xml:space="preserve"> to assess the </w:t>
      </w:r>
      <w:r w:rsidR="002E0D0B" w:rsidRPr="00C01170">
        <w:rPr>
          <w:lang w:val="en-US"/>
        </w:rPr>
        <w:t>development level</w:t>
      </w:r>
      <w:r w:rsidR="002E0D0B">
        <w:rPr>
          <w:lang w:val="en-US"/>
        </w:rPr>
        <w:t xml:space="preserve"> of</w:t>
      </w:r>
      <w:r w:rsidR="002E0D0B" w:rsidRPr="00C01170">
        <w:rPr>
          <w:lang w:val="en-US"/>
        </w:rPr>
        <w:t xml:space="preserve"> </w:t>
      </w:r>
      <w:r w:rsidR="00924831" w:rsidRPr="00C01170">
        <w:rPr>
          <w:lang w:val="en-US"/>
        </w:rPr>
        <w:t>existing nuclear infrastructure, incl</w:t>
      </w:r>
      <w:r w:rsidR="002E0D0B">
        <w:rPr>
          <w:lang w:val="en-US"/>
        </w:rPr>
        <w:t xml:space="preserve">uding </w:t>
      </w:r>
      <w:r w:rsidR="00924831" w:rsidRPr="00C01170">
        <w:rPr>
          <w:lang w:val="en-US"/>
        </w:rPr>
        <w:t xml:space="preserve">nuclear security. </w:t>
      </w:r>
      <w:r w:rsidR="002E0D0B">
        <w:rPr>
          <w:lang w:val="en-US"/>
        </w:rPr>
        <w:t xml:space="preserve">As the result of each visit, States </w:t>
      </w:r>
      <w:r w:rsidR="000956C6">
        <w:rPr>
          <w:lang w:val="en-US"/>
        </w:rPr>
        <w:t>received specific</w:t>
      </w:r>
      <w:r w:rsidR="00924831" w:rsidRPr="00C01170">
        <w:rPr>
          <w:lang w:val="en-US"/>
        </w:rPr>
        <w:t xml:space="preserve"> recommendations. These works </w:t>
      </w:r>
      <w:proofErr w:type="gramStart"/>
      <w:r w:rsidR="00924831" w:rsidRPr="00C01170">
        <w:rPr>
          <w:lang w:val="en-US"/>
        </w:rPr>
        <w:t>were carried out</w:t>
      </w:r>
      <w:proofErr w:type="gramEnd"/>
      <w:r w:rsidR="00924831" w:rsidRPr="00C01170">
        <w:rPr>
          <w:lang w:val="en-US"/>
        </w:rPr>
        <w:t xml:space="preserve"> in full accordance with the IAEA </w:t>
      </w:r>
      <w:r w:rsidR="008270D2">
        <w:rPr>
          <w:lang w:val="en-US"/>
        </w:rPr>
        <w:t>standards and recommendations</w:t>
      </w:r>
      <w:r w:rsidR="00924831" w:rsidRPr="00C01170">
        <w:rPr>
          <w:lang w:val="en-US"/>
        </w:rPr>
        <w:t>.</w:t>
      </w:r>
    </w:p>
    <w:p w14:paraId="355A136C" w14:textId="2323D99D" w:rsidR="00AE3417" w:rsidRDefault="00C27003" w:rsidP="006D7DFF">
      <w:pPr>
        <w:pStyle w:val="a1"/>
        <w:rPr>
          <w:lang w:val="en-US"/>
        </w:rPr>
      </w:pPr>
      <w:r>
        <w:rPr>
          <w:lang w:val="en-US"/>
        </w:rPr>
        <w:t>Rosatom State Corporation</w:t>
      </w:r>
      <w:r w:rsidR="003F4E3E">
        <w:rPr>
          <w:lang w:val="en-US"/>
        </w:rPr>
        <w:t xml:space="preserve"> developed</w:t>
      </w:r>
      <w:r w:rsidR="00F52675">
        <w:rPr>
          <w:lang w:val="en-US"/>
        </w:rPr>
        <w:t xml:space="preserve"> the</w:t>
      </w:r>
      <w:r w:rsidR="003F4E3E">
        <w:rPr>
          <w:lang w:val="en-US"/>
        </w:rPr>
        <w:t xml:space="preserve"> B</w:t>
      </w:r>
      <w:r w:rsidR="00924831" w:rsidRPr="00C01170">
        <w:rPr>
          <w:lang w:val="en-US"/>
        </w:rPr>
        <w:t xml:space="preserve">asic proposal for </w:t>
      </w:r>
      <w:r>
        <w:rPr>
          <w:lang w:val="en-US"/>
        </w:rPr>
        <w:t>establishment</w:t>
      </w:r>
      <w:r w:rsidR="00924831" w:rsidRPr="00C01170">
        <w:rPr>
          <w:lang w:val="en-US"/>
        </w:rPr>
        <w:t xml:space="preserve"> physical protection system for any nuclear facility</w:t>
      </w:r>
      <w:r>
        <w:rPr>
          <w:lang w:val="en-US"/>
        </w:rPr>
        <w:t>, applicable to</w:t>
      </w:r>
      <w:r w:rsidR="00924831" w:rsidRPr="00C01170">
        <w:rPr>
          <w:lang w:val="en-US"/>
        </w:rPr>
        <w:t xml:space="preserve"> </w:t>
      </w:r>
      <w:r w:rsidR="008270D2">
        <w:rPr>
          <w:lang w:val="en-US"/>
        </w:rPr>
        <w:t>regular</w:t>
      </w:r>
      <w:r w:rsidR="00924831" w:rsidRPr="00C01170">
        <w:rPr>
          <w:lang w:val="en-US"/>
        </w:rPr>
        <w:t xml:space="preserve"> and </w:t>
      </w:r>
      <w:r>
        <w:rPr>
          <w:lang w:val="en-US"/>
        </w:rPr>
        <w:t>small</w:t>
      </w:r>
      <w:r w:rsidR="00924831" w:rsidRPr="00C01170">
        <w:rPr>
          <w:lang w:val="en-US"/>
        </w:rPr>
        <w:t xml:space="preserve"> NPPs as well as to the </w:t>
      </w:r>
      <w:r>
        <w:rPr>
          <w:lang w:val="en-US"/>
        </w:rPr>
        <w:t>Cent</w:t>
      </w:r>
      <w:r w:rsidRPr="00C01170">
        <w:rPr>
          <w:lang w:val="en-US"/>
        </w:rPr>
        <w:t>r</w:t>
      </w:r>
      <w:r>
        <w:rPr>
          <w:lang w:val="en-US"/>
        </w:rPr>
        <w:t>e for</w:t>
      </w:r>
      <w:r w:rsidRPr="00C01170">
        <w:rPr>
          <w:lang w:val="en-US"/>
        </w:rPr>
        <w:t xml:space="preserve"> </w:t>
      </w:r>
      <w:r w:rsidR="00924831" w:rsidRPr="00C01170">
        <w:rPr>
          <w:lang w:val="en-US"/>
        </w:rPr>
        <w:t xml:space="preserve">Nuclear Science and Technology. The </w:t>
      </w:r>
      <w:r w:rsidR="00F52675">
        <w:rPr>
          <w:lang w:val="en-US"/>
        </w:rPr>
        <w:t xml:space="preserve">Basic </w:t>
      </w:r>
      <w:r w:rsidR="00924831" w:rsidRPr="00C01170">
        <w:rPr>
          <w:lang w:val="en-US"/>
        </w:rPr>
        <w:t xml:space="preserve">proposal </w:t>
      </w:r>
      <w:proofErr w:type="gramStart"/>
      <w:r w:rsidR="00924831" w:rsidRPr="008270D2">
        <w:rPr>
          <w:lang w:val="en-US"/>
        </w:rPr>
        <w:t xml:space="preserve">is </w:t>
      </w:r>
      <w:r w:rsidR="008270D2">
        <w:rPr>
          <w:lang w:val="en-US"/>
        </w:rPr>
        <w:t>based</w:t>
      </w:r>
      <w:proofErr w:type="gramEnd"/>
      <w:r w:rsidR="00924831" w:rsidRPr="00C01170">
        <w:rPr>
          <w:lang w:val="en-US"/>
        </w:rPr>
        <w:t xml:space="preserve"> on the fundamental principles of the Convention on Physical Protection of Nuclear Material and N</w:t>
      </w:r>
      <w:r w:rsidR="00F52675">
        <w:rPr>
          <w:lang w:val="en-US"/>
        </w:rPr>
        <w:t>uclear Facilities and the IAEA R</w:t>
      </w:r>
      <w:r w:rsidR="00924831" w:rsidRPr="00C01170">
        <w:rPr>
          <w:lang w:val="en-US"/>
        </w:rPr>
        <w:t>ecommendations on nuclear security. The proposal</w:t>
      </w:r>
      <w:r w:rsidR="00A870B0">
        <w:rPr>
          <w:lang w:val="en-US"/>
        </w:rPr>
        <w:t xml:space="preserve"> </w:t>
      </w:r>
      <w:proofErr w:type="gramStart"/>
      <w:r w:rsidR="00A870B0">
        <w:rPr>
          <w:lang w:val="en-US"/>
        </w:rPr>
        <w:t>could be</w:t>
      </w:r>
      <w:r w:rsidR="00924831" w:rsidRPr="00C01170">
        <w:rPr>
          <w:lang w:val="en-US"/>
        </w:rPr>
        <w:t xml:space="preserve"> elaborated and adjusted in accordance with </w:t>
      </w:r>
      <w:r w:rsidR="00F52675">
        <w:rPr>
          <w:lang w:val="en-US"/>
        </w:rPr>
        <w:t>individual</w:t>
      </w:r>
      <w:r w:rsidR="00924831" w:rsidRPr="00C01170">
        <w:rPr>
          <w:lang w:val="en-US"/>
        </w:rPr>
        <w:t xml:space="preserve"> </w:t>
      </w:r>
      <w:r w:rsidR="00F52675">
        <w:rPr>
          <w:lang w:val="en-US"/>
        </w:rPr>
        <w:t>demands</w:t>
      </w:r>
      <w:r w:rsidR="00A870B0">
        <w:rPr>
          <w:lang w:val="en-US"/>
        </w:rPr>
        <w:t xml:space="preserve"> of the customer, </w:t>
      </w:r>
      <w:r w:rsidR="00924831" w:rsidRPr="00C01170">
        <w:rPr>
          <w:lang w:val="en-US"/>
        </w:rPr>
        <w:t>present</w:t>
      </w:r>
      <w:r w:rsidR="00A870B0">
        <w:rPr>
          <w:lang w:val="en-US"/>
        </w:rPr>
        <w:t>ing</w:t>
      </w:r>
      <w:r w:rsidR="00924831" w:rsidRPr="00C01170">
        <w:rPr>
          <w:lang w:val="en-US"/>
        </w:rPr>
        <w:t xml:space="preserve"> the </w:t>
      </w:r>
      <w:r w:rsidR="00F52675">
        <w:rPr>
          <w:lang w:val="en-US"/>
        </w:rPr>
        <w:t>comprehensive</w:t>
      </w:r>
      <w:r w:rsidR="00924831" w:rsidRPr="00C01170">
        <w:rPr>
          <w:lang w:val="en-US"/>
        </w:rPr>
        <w:t xml:space="preserve"> solution for </w:t>
      </w:r>
      <w:r w:rsidR="00F52675">
        <w:rPr>
          <w:lang w:val="en-US"/>
        </w:rPr>
        <w:t>establishment</w:t>
      </w:r>
      <w:r w:rsidR="00924831" w:rsidRPr="00C01170">
        <w:rPr>
          <w:lang w:val="en-US"/>
        </w:rPr>
        <w:t xml:space="preserve"> </w:t>
      </w:r>
      <w:r w:rsidR="00A870B0">
        <w:rPr>
          <w:lang w:val="en-US"/>
        </w:rPr>
        <w:t xml:space="preserve">of </w:t>
      </w:r>
      <w:r w:rsidR="00924831" w:rsidRPr="00C01170">
        <w:rPr>
          <w:lang w:val="en-US"/>
        </w:rPr>
        <w:t>physical protection system</w:t>
      </w:r>
      <w:proofErr w:type="gramEnd"/>
      <w:r w:rsidR="00924831" w:rsidRPr="00C01170">
        <w:rPr>
          <w:lang w:val="en-US"/>
        </w:rPr>
        <w:t>.</w:t>
      </w:r>
    </w:p>
    <w:p w14:paraId="5BA7F52B" w14:textId="77777777" w:rsidR="00AE3417" w:rsidRDefault="00AE3417">
      <w:pPr>
        <w:overflowPunct/>
        <w:autoSpaceDE/>
        <w:autoSpaceDN/>
        <w:adjustRightInd/>
        <w:textAlignment w:val="auto"/>
        <w:rPr>
          <w:sz w:val="20"/>
          <w:lang w:val="en-US"/>
        </w:rPr>
      </w:pPr>
      <w:r>
        <w:rPr>
          <w:lang w:val="en-US"/>
        </w:rPr>
        <w:br w:type="page"/>
      </w:r>
    </w:p>
    <w:p w14:paraId="557551C7" w14:textId="77777777" w:rsidR="001A733E" w:rsidRPr="0057259F" w:rsidRDefault="00924831" w:rsidP="006D7DFF">
      <w:pPr>
        <w:pStyle w:val="2"/>
        <w:jc w:val="both"/>
        <w:rPr>
          <w:b/>
          <w:lang w:val="ru-RU"/>
        </w:rPr>
      </w:pPr>
      <w:r w:rsidRPr="0057259F">
        <w:rPr>
          <w:b/>
          <w:lang w:val="ru-RU"/>
        </w:rPr>
        <w:lastRenderedPageBreak/>
        <w:t>CONCLUSION</w:t>
      </w:r>
    </w:p>
    <w:p w14:paraId="10CF335C" w14:textId="443CFA3B" w:rsidR="001A733E" w:rsidRPr="00C01170" w:rsidRDefault="00924831" w:rsidP="00AE3417">
      <w:pPr>
        <w:pStyle w:val="a1"/>
        <w:rPr>
          <w:lang w:val="en-US"/>
        </w:rPr>
      </w:pPr>
      <w:r w:rsidRPr="00C01170">
        <w:rPr>
          <w:lang w:val="en-US"/>
        </w:rPr>
        <w:t xml:space="preserve">In </w:t>
      </w:r>
      <w:r w:rsidR="00B4461C" w:rsidRPr="00C01170">
        <w:rPr>
          <w:lang w:val="en-US"/>
        </w:rPr>
        <w:t>conclusion,</w:t>
      </w:r>
      <w:r w:rsidRPr="00C01170">
        <w:rPr>
          <w:lang w:val="en-US"/>
        </w:rPr>
        <w:t xml:space="preserve"> the following</w:t>
      </w:r>
      <w:r w:rsidR="00365E2D">
        <w:rPr>
          <w:lang w:val="en-US"/>
        </w:rPr>
        <w:t xml:space="preserve"> has to </w:t>
      </w:r>
      <w:proofErr w:type="gramStart"/>
      <w:r w:rsidR="00365E2D">
        <w:rPr>
          <w:lang w:val="en-US"/>
        </w:rPr>
        <w:t>be highlighted</w:t>
      </w:r>
      <w:proofErr w:type="gramEnd"/>
      <w:r w:rsidRPr="00C01170">
        <w:rPr>
          <w:lang w:val="en-US"/>
        </w:rPr>
        <w:t xml:space="preserve">: </w:t>
      </w:r>
      <w:r w:rsidR="00B4461C" w:rsidRPr="00C01170">
        <w:rPr>
          <w:lang w:val="en-US"/>
        </w:rPr>
        <w:t xml:space="preserve">due to the balanced and elaborate approach, </w:t>
      </w:r>
      <w:r w:rsidRPr="00C01170">
        <w:rPr>
          <w:lang w:val="en-US"/>
        </w:rPr>
        <w:t>unauthorize</w:t>
      </w:r>
      <w:r w:rsidR="00B4461C">
        <w:rPr>
          <w:lang w:val="en-US"/>
        </w:rPr>
        <w:t>d actions with nuclear material</w:t>
      </w:r>
      <w:r w:rsidRPr="00C01170">
        <w:rPr>
          <w:lang w:val="en-US"/>
        </w:rPr>
        <w:t xml:space="preserve"> have never resulted in any catastrophic consequences. It lies in our power to </w:t>
      </w:r>
      <w:r w:rsidR="00B4461C">
        <w:rPr>
          <w:lang w:val="en-US"/>
        </w:rPr>
        <w:t>uphold</w:t>
      </w:r>
      <w:r w:rsidRPr="00C01170">
        <w:rPr>
          <w:lang w:val="en-US"/>
        </w:rPr>
        <w:t xml:space="preserve"> this in the future. </w:t>
      </w:r>
    </w:p>
    <w:p w14:paraId="77F211C2" w14:textId="1BFFFDE3" w:rsidR="001A733E" w:rsidRPr="00C01170" w:rsidRDefault="00365E2D" w:rsidP="006D7DFF">
      <w:pPr>
        <w:pStyle w:val="a1"/>
        <w:rPr>
          <w:lang w:val="en-US"/>
        </w:rPr>
      </w:pPr>
      <w:r>
        <w:rPr>
          <w:lang w:val="en-US"/>
        </w:rPr>
        <w:t>Russian Federation is</w:t>
      </w:r>
      <w:r w:rsidR="00924831" w:rsidRPr="00C01170">
        <w:rPr>
          <w:lang w:val="en-US"/>
        </w:rPr>
        <w:t xml:space="preserve"> op</w:t>
      </w:r>
      <w:r>
        <w:rPr>
          <w:lang w:val="en-US"/>
        </w:rPr>
        <w:t>en to international cooperation</w:t>
      </w:r>
      <w:r w:rsidR="00924831" w:rsidRPr="00C01170">
        <w:rPr>
          <w:lang w:val="en-US"/>
        </w:rPr>
        <w:t xml:space="preserve"> </w:t>
      </w:r>
      <w:r>
        <w:rPr>
          <w:lang w:val="en-US"/>
        </w:rPr>
        <w:t>and</w:t>
      </w:r>
      <w:r w:rsidR="00924831" w:rsidRPr="00C01170">
        <w:rPr>
          <w:lang w:val="en-US"/>
        </w:rPr>
        <w:t xml:space="preserve"> ready </w:t>
      </w:r>
      <w:proofErr w:type="gramStart"/>
      <w:r w:rsidR="00924831" w:rsidRPr="00C01170">
        <w:rPr>
          <w:lang w:val="en-US"/>
        </w:rPr>
        <w:t>not only to</w:t>
      </w:r>
      <w:proofErr w:type="gramEnd"/>
      <w:r w:rsidR="00924831" w:rsidRPr="00C01170">
        <w:rPr>
          <w:lang w:val="en-US"/>
        </w:rPr>
        <w:t xml:space="preserve"> facilitate exchange of the advanced experience within the framework of standard events and training courses but also adapt any of them to the needs of the particular concerned state. </w:t>
      </w:r>
      <w:r w:rsidR="00F643B2">
        <w:rPr>
          <w:lang w:val="en-US"/>
        </w:rPr>
        <w:t xml:space="preserve">It </w:t>
      </w:r>
      <w:proofErr w:type="gramStart"/>
      <w:r w:rsidR="00F643B2">
        <w:rPr>
          <w:lang w:val="en-US"/>
        </w:rPr>
        <w:t>is</w:t>
      </w:r>
      <w:r w:rsidR="00924831" w:rsidRPr="00C01170">
        <w:rPr>
          <w:lang w:val="en-US"/>
        </w:rPr>
        <w:t xml:space="preserve"> also consider</w:t>
      </w:r>
      <w:r w:rsidR="00F643B2">
        <w:rPr>
          <w:lang w:val="en-US"/>
        </w:rPr>
        <w:t>ed</w:t>
      </w:r>
      <w:proofErr w:type="gramEnd"/>
      <w:r w:rsidR="00924831" w:rsidRPr="00C01170">
        <w:rPr>
          <w:lang w:val="en-US"/>
        </w:rPr>
        <w:t xml:space="preserve"> to train the specialists in accordance with the principle "train the trainers". </w:t>
      </w:r>
      <w:r w:rsidR="00F643B2">
        <w:rPr>
          <w:lang w:val="en-US"/>
        </w:rPr>
        <w:t>Russia is</w:t>
      </w:r>
      <w:r w:rsidR="00924831" w:rsidRPr="00C01170">
        <w:rPr>
          <w:lang w:val="en-US"/>
        </w:rPr>
        <w:t xml:space="preserve"> ready to assist </w:t>
      </w:r>
      <w:r w:rsidR="00F643B2">
        <w:rPr>
          <w:lang w:val="en-US"/>
        </w:rPr>
        <w:t>the</w:t>
      </w:r>
      <w:r w:rsidR="00924831" w:rsidRPr="00C01170">
        <w:rPr>
          <w:lang w:val="en-US"/>
        </w:rPr>
        <w:t xml:space="preserve"> partners in arrangement of </w:t>
      </w:r>
      <w:r w:rsidR="00F643B2">
        <w:rPr>
          <w:lang w:val="en-US"/>
        </w:rPr>
        <w:t xml:space="preserve">their </w:t>
      </w:r>
      <w:r w:rsidR="00924831" w:rsidRPr="00C01170">
        <w:rPr>
          <w:lang w:val="en-US"/>
        </w:rPr>
        <w:t>national infrastructure and organization of physical protection at particular facilities</w:t>
      </w:r>
      <w:r w:rsidR="00F643B2">
        <w:rPr>
          <w:lang w:val="en-US"/>
        </w:rPr>
        <w:t>,</w:t>
      </w:r>
      <w:r w:rsidR="00924831" w:rsidRPr="00C01170">
        <w:rPr>
          <w:lang w:val="en-US"/>
        </w:rPr>
        <w:t xml:space="preserve"> if the state is interested in this. </w:t>
      </w:r>
      <w:r w:rsidR="00022A53">
        <w:rPr>
          <w:lang w:val="en-US"/>
        </w:rPr>
        <w:t>Russian Federation</w:t>
      </w:r>
      <w:r w:rsidR="00924831" w:rsidRPr="00C01170">
        <w:rPr>
          <w:lang w:val="en-US"/>
        </w:rPr>
        <w:t xml:space="preserve"> </w:t>
      </w:r>
      <w:r w:rsidR="00022A53">
        <w:rPr>
          <w:lang w:val="en-US"/>
        </w:rPr>
        <w:t>is</w:t>
      </w:r>
      <w:r w:rsidR="00924831" w:rsidRPr="00C01170">
        <w:rPr>
          <w:lang w:val="en-US"/>
        </w:rPr>
        <w:t xml:space="preserve"> open to conversation with the IAEA Secretariat and the </w:t>
      </w:r>
      <w:r w:rsidR="00CB60D7">
        <w:rPr>
          <w:lang w:val="en-US"/>
        </w:rPr>
        <w:t>Member State</w:t>
      </w:r>
      <w:r w:rsidR="00924831" w:rsidRPr="00C01170">
        <w:rPr>
          <w:lang w:val="en-US"/>
        </w:rPr>
        <w:t xml:space="preserve">s and ready to assist </w:t>
      </w:r>
      <w:r w:rsidR="00022A53">
        <w:rPr>
          <w:lang w:val="en-US"/>
        </w:rPr>
        <w:t>the</w:t>
      </w:r>
      <w:r w:rsidR="00924831" w:rsidRPr="00C01170">
        <w:rPr>
          <w:lang w:val="en-US"/>
        </w:rPr>
        <w:t xml:space="preserve"> partners.</w:t>
      </w:r>
    </w:p>
    <w:p w14:paraId="1CA0284E" w14:textId="77777777" w:rsidR="00D26ADA" w:rsidRPr="00285755" w:rsidRDefault="00924831" w:rsidP="006D7DFF">
      <w:pPr>
        <w:pStyle w:val="Otherunnumberedheadings"/>
        <w:jc w:val="both"/>
      </w:pPr>
      <w:r>
        <w:t>References</w:t>
      </w:r>
    </w:p>
    <w:p w14:paraId="4736F04F" w14:textId="77777777" w:rsidR="00BC0A90" w:rsidRPr="00B4461C" w:rsidRDefault="00924831" w:rsidP="006D7DFF">
      <w:pPr>
        <w:pStyle w:val="Referencelist"/>
        <w:numPr>
          <w:ilvl w:val="0"/>
          <w:numId w:val="0"/>
        </w:numPr>
        <w:ind w:hanging="360"/>
        <w:rPr>
          <w:lang w:val="en-US"/>
        </w:rPr>
      </w:pPr>
      <w:r w:rsidRPr="00B4461C">
        <w:rPr>
          <w:lang w:val="en-US"/>
        </w:rPr>
        <w:t xml:space="preserve"> [1]</w:t>
      </w:r>
      <w:r w:rsidRPr="00B4461C">
        <w:rPr>
          <w:lang w:val="en-US"/>
        </w:rPr>
        <w:tab/>
        <w:t>Nuclear Security. Resolution adopted on 19</w:t>
      </w:r>
      <w:r w:rsidR="00BF3710" w:rsidRPr="00B4461C">
        <w:rPr>
          <w:vertAlign w:val="superscript"/>
          <w:lang w:val="en-US"/>
        </w:rPr>
        <w:t>th</w:t>
      </w:r>
      <w:r w:rsidR="00BF3710" w:rsidRPr="00B4461C">
        <w:rPr>
          <w:lang w:val="en-US"/>
        </w:rPr>
        <w:t xml:space="preserve"> of</w:t>
      </w:r>
      <w:r w:rsidRPr="00B4461C">
        <w:rPr>
          <w:lang w:val="en-US"/>
        </w:rPr>
        <w:t xml:space="preserve"> September</w:t>
      </w:r>
      <w:r w:rsidR="00BF3710" w:rsidRPr="00B4461C">
        <w:rPr>
          <w:lang w:val="en-US"/>
        </w:rPr>
        <w:t>,</w:t>
      </w:r>
      <w:r w:rsidRPr="00B4461C">
        <w:rPr>
          <w:lang w:val="en-US"/>
        </w:rPr>
        <w:t xml:space="preserve"> 2019 during the seventh plenary meeting, </w:t>
      </w:r>
      <w:proofErr w:type="gramStart"/>
      <w:r w:rsidRPr="00B4461C">
        <w:rPr>
          <w:lang w:val="en-US"/>
        </w:rPr>
        <w:t>GC(</w:t>
      </w:r>
      <w:proofErr w:type="gramEnd"/>
      <w:r w:rsidRPr="00B4461C">
        <w:rPr>
          <w:lang w:val="en-US"/>
        </w:rPr>
        <w:t xml:space="preserve">63)/RES/8, IAEA, Vienna (2019), </w:t>
      </w:r>
      <w:hyperlink r:id="rId14" w:history="1">
        <w:r w:rsidRPr="00B4461C">
          <w:rPr>
            <w:rStyle w:val="af1"/>
            <w:lang w:val="en-US"/>
          </w:rPr>
          <w:t>https://www.iaea.org/sites/default/files/gc/gc63-res8.pdf</w:t>
        </w:r>
      </w:hyperlink>
      <w:r w:rsidRPr="00B4461C">
        <w:rPr>
          <w:lang w:val="en-US"/>
        </w:rPr>
        <w:t xml:space="preserve"> </w:t>
      </w:r>
    </w:p>
    <w:p w14:paraId="21ADD47A" w14:textId="77777777" w:rsidR="003728E6" w:rsidRPr="00C01170" w:rsidRDefault="00924831" w:rsidP="006D7DFF">
      <w:pPr>
        <w:pStyle w:val="Referencelist"/>
        <w:numPr>
          <w:ilvl w:val="0"/>
          <w:numId w:val="0"/>
        </w:numPr>
        <w:ind w:hanging="360"/>
        <w:rPr>
          <w:lang w:val="en-US"/>
        </w:rPr>
      </w:pPr>
      <w:r w:rsidRPr="00B4461C">
        <w:rPr>
          <w:lang w:val="en-US"/>
        </w:rPr>
        <w:t>[2]</w:t>
      </w:r>
      <w:r w:rsidR="00B4461C">
        <w:rPr>
          <w:lang w:val="en-US"/>
        </w:rPr>
        <w:tab/>
      </w:r>
      <w:proofErr w:type="spellStart"/>
      <w:r w:rsidR="00B4461C">
        <w:rPr>
          <w:lang w:val="en-US"/>
        </w:rPr>
        <w:t>A.</w:t>
      </w:r>
      <w:r w:rsidRPr="00C01170">
        <w:rPr>
          <w:lang w:val="en-US"/>
        </w:rPr>
        <w:t>Ye</w:t>
      </w:r>
      <w:proofErr w:type="spellEnd"/>
      <w:r w:rsidRPr="00C01170">
        <w:rPr>
          <w:lang w:val="en-US"/>
        </w:rPr>
        <w:t xml:space="preserve">. LIKHACHEV, Speech of </w:t>
      </w:r>
      <w:proofErr w:type="spellStart"/>
      <w:r w:rsidRPr="00C01170">
        <w:rPr>
          <w:lang w:val="en-US"/>
        </w:rPr>
        <w:t>A.Ye</w:t>
      </w:r>
      <w:proofErr w:type="spellEnd"/>
      <w:r w:rsidRPr="00C01170">
        <w:rPr>
          <w:lang w:val="en-US"/>
        </w:rPr>
        <w:t xml:space="preserve">. </w:t>
      </w:r>
      <w:proofErr w:type="spellStart"/>
      <w:r w:rsidRPr="00C01170">
        <w:rPr>
          <w:lang w:val="en-US"/>
        </w:rPr>
        <w:t>Likhachev</w:t>
      </w:r>
      <w:proofErr w:type="spellEnd"/>
      <w:r w:rsidRPr="00C01170">
        <w:rPr>
          <w:lang w:val="en-US"/>
        </w:rPr>
        <w:t>, Director General of Rosatom State Corporation,  at</w:t>
      </w:r>
      <w:r w:rsidR="00BF3710">
        <w:rPr>
          <w:lang w:val="en-US"/>
        </w:rPr>
        <w:t xml:space="preserve"> the plenary assembly of the 63</w:t>
      </w:r>
      <w:r w:rsidRPr="00BF3710">
        <w:rPr>
          <w:vertAlign w:val="superscript"/>
          <w:lang w:val="en-US"/>
        </w:rPr>
        <w:t>rd</w:t>
      </w:r>
      <w:r w:rsidRPr="00C01170">
        <w:rPr>
          <w:lang w:val="en-US"/>
        </w:rPr>
        <w:t xml:space="preserve"> session of </w:t>
      </w:r>
      <w:r w:rsidR="00BF3710">
        <w:rPr>
          <w:lang w:val="en-US"/>
        </w:rPr>
        <w:t>the General IAEA Conference, 63</w:t>
      </w:r>
      <w:r w:rsidRPr="00BF3710">
        <w:rPr>
          <w:vertAlign w:val="superscript"/>
          <w:lang w:val="en-US"/>
        </w:rPr>
        <w:t>rd</w:t>
      </w:r>
      <w:r w:rsidRPr="00C01170">
        <w:rPr>
          <w:lang w:val="en-US"/>
        </w:rPr>
        <w:t xml:space="preserve"> session of the General IAEA Conference (Vienna, Austria, 2019), </w:t>
      </w:r>
      <w:hyperlink r:id="rId15" w:history="1">
        <w:r w:rsidRPr="00414CE9">
          <w:rPr>
            <w:rStyle w:val="af1"/>
          </w:rPr>
          <w:t>https</w:t>
        </w:r>
        <w:r w:rsidRPr="00C01170">
          <w:rPr>
            <w:rStyle w:val="af1"/>
            <w:lang w:val="en-US"/>
          </w:rPr>
          <w:t>://</w:t>
        </w:r>
        <w:r w:rsidRPr="00414CE9">
          <w:rPr>
            <w:rStyle w:val="af1"/>
          </w:rPr>
          <w:t>www</w:t>
        </w:r>
        <w:r w:rsidRPr="00C01170">
          <w:rPr>
            <w:rStyle w:val="af1"/>
            <w:lang w:val="en-US"/>
          </w:rPr>
          <w:t>.</w:t>
        </w:r>
        <w:proofErr w:type="spellStart"/>
        <w:r w:rsidRPr="00414CE9">
          <w:rPr>
            <w:rStyle w:val="af1"/>
          </w:rPr>
          <w:t>iaea</w:t>
        </w:r>
        <w:proofErr w:type="spellEnd"/>
        <w:r w:rsidRPr="00C01170">
          <w:rPr>
            <w:rStyle w:val="af1"/>
            <w:lang w:val="en-US"/>
          </w:rPr>
          <w:t>.</w:t>
        </w:r>
        <w:r w:rsidRPr="00414CE9">
          <w:rPr>
            <w:rStyle w:val="af1"/>
          </w:rPr>
          <w:t>org</w:t>
        </w:r>
        <w:r w:rsidRPr="00C01170">
          <w:rPr>
            <w:rStyle w:val="af1"/>
            <w:lang w:val="en-US"/>
          </w:rPr>
          <w:t>/</w:t>
        </w:r>
        <w:r w:rsidRPr="00414CE9">
          <w:rPr>
            <w:rStyle w:val="af1"/>
          </w:rPr>
          <w:t>sites</w:t>
        </w:r>
        <w:r w:rsidRPr="00C01170">
          <w:rPr>
            <w:rStyle w:val="af1"/>
            <w:lang w:val="en-US"/>
          </w:rPr>
          <w:t>/</w:t>
        </w:r>
        <w:r w:rsidRPr="00414CE9">
          <w:rPr>
            <w:rStyle w:val="af1"/>
          </w:rPr>
          <w:t>default</w:t>
        </w:r>
        <w:r w:rsidRPr="00C01170">
          <w:rPr>
            <w:rStyle w:val="af1"/>
            <w:lang w:val="en-US"/>
          </w:rPr>
          <w:t>/</w:t>
        </w:r>
        <w:r w:rsidRPr="00414CE9">
          <w:rPr>
            <w:rStyle w:val="af1"/>
          </w:rPr>
          <w:t>files</w:t>
        </w:r>
        <w:r w:rsidRPr="00C01170">
          <w:rPr>
            <w:rStyle w:val="af1"/>
            <w:lang w:val="en-US"/>
          </w:rPr>
          <w:t>/19/09/</w:t>
        </w:r>
        <w:proofErr w:type="spellStart"/>
        <w:r w:rsidRPr="00414CE9">
          <w:rPr>
            <w:rStyle w:val="af1"/>
          </w:rPr>
          <w:t>gc</w:t>
        </w:r>
        <w:proofErr w:type="spellEnd"/>
        <w:r w:rsidRPr="00C01170">
          <w:rPr>
            <w:rStyle w:val="af1"/>
            <w:lang w:val="en-US"/>
          </w:rPr>
          <w:t>63-</w:t>
        </w:r>
        <w:proofErr w:type="spellStart"/>
        <w:r w:rsidRPr="00414CE9">
          <w:rPr>
            <w:rStyle w:val="af1"/>
          </w:rPr>
          <w:t>russia</w:t>
        </w:r>
        <w:proofErr w:type="spellEnd"/>
        <w:r w:rsidRPr="00C01170">
          <w:rPr>
            <w:rStyle w:val="af1"/>
            <w:lang w:val="en-US"/>
          </w:rPr>
          <w:t>_</w:t>
        </w:r>
        <w:proofErr w:type="spellStart"/>
        <w:r w:rsidRPr="00414CE9">
          <w:rPr>
            <w:rStyle w:val="af1"/>
          </w:rPr>
          <w:t>rus</w:t>
        </w:r>
        <w:proofErr w:type="spellEnd"/>
        <w:r w:rsidRPr="00C01170">
          <w:rPr>
            <w:rStyle w:val="af1"/>
            <w:lang w:val="en-US"/>
          </w:rPr>
          <w:t>.</w:t>
        </w:r>
        <w:r w:rsidRPr="00414CE9">
          <w:rPr>
            <w:rStyle w:val="af1"/>
          </w:rPr>
          <w:t>pdf</w:t>
        </w:r>
      </w:hyperlink>
      <w:r w:rsidRPr="00C01170">
        <w:rPr>
          <w:lang w:val="en-US"/>
        </w:rPr>
        <w:t>.</w:t>
      </w:r>
    </w:p>
    <w:p w14:paraId="24BD14A1" w14:textId="7F81FF45" w:rsidR="00D654F3" w:rsidRPr="002A3666" w:rsidRDefault="00924831" w:rsidP="006D7DFF">
      <w:pPr>
        <w:pStyle w:val="Referencelist"/>
        <w:numPr>
          <w:ilvl w:val="0"/>
          <w:numId w:val="0"/>
        </w:numPr>
        <w:ind w:hanging="360"/>
        <w:rPr>
          <w:lang w:val="en-US"/>
        </w:rPr>
      </w:pPr>
      <w:r>
        <w:rPr>
          <w:lang w:val="en-US"/>
        </w:rPr>
        <w:t>[3]</w:t>
      </w:r>
      <w:r>
        <w:rPr>
          <w:lang w:val="en-US"/>
        </w:rPr>
        <w:tab/>
        <w:t>CPPN</w:t>
      </w:r>
      <w:r w:rsidR="00365E2D">
        <w:rPr>
          <w:lang w:val="en-US"/>
        </w:rPr>
        <w:t>M unofficial consolidated text</w:t>
      </w:r>
      <w:proofErr w:type="gramStart"/>
      <w:r w:rsidR="00365E2D">
        <w:rPr>
          <w:lang w:val="en-US"/>
        </w:rPr>
        <w:t>,</w:t>
      </w:r>
      <w:proofErr w:type="gramEnd"/>
      <w:r>
        <w:rPr>
          <w:lang w:val="en-US"/>
        </w:rPr>
        <w:br/>
      </w:r>
      <w:hyperlink r:id="rId16" w:history="1">
        <w:r w:rsidRPr="00354D07">
          <w:rPr>
            <w:rStyle w:val="af1"/>
            <w:lang w:val="en-US"/>
          </w:rPr>
          <w:t>https://www.iaea.org/sites/default/files/18/08/accpnm-unofficial-consolidated-text.pdf</w:t>
        </w:r>
      </w:hyperlink>
      <w:r>
        <w:rPr>
          <w:lang w:val="en-US"/>
        </w:rPr>
        <w:t xml:space="preserve"> </w:t>
      </w:r>
    </w:p>
    <w:p w14:paraId="04CD22D5" w14:textId="77777777" w:rsidR="00A30FB0" w:rsidRPr="0021266E" w:rsidRDefault="00924831" w:rsidP="006D7DFF">
      <w:pPr>
        <w:pStyle w:val="Referencelist"/>
        <w:numPr>
          <w:ilvl w:val="0"/>
          <w:numId w:val="0"/>
        </w:numPr>
        <w:ind w:hanging="360"/>
        <w:rPr>
          <w:lang w:val="en-US"/>
        </w:rPr>
      </w:pPr>
      <w:r>
        <w:rPr>
          <w:lang w:val="en-US"/>
        </w:rPr>
        <w:t>[4]</w:t>
      </w:r>
      <w:r>
        <w:rPr>
          <w:lang w:val="en-US"/>
        </w:rPr>
        <w:tab/>
        <w:t xml:space="preserve">The Annual Report for 2018, IAEA, GOV/2019/15, </w:t>
      </w:r>
      <w:r>
        <w:rPr>
          <w:rFonts w:ascii="TimesNewRomanPSMT" w:hAnsi="TimesNewRomanPSMT" w:cs="TimesNewRomanPSMT"/>
          <w:lang w:val="en-US" w:eastAsia="en-GB"/>
        </w:rPr>
        <w:t>Date: 26</w:t>
      </w:r>
      <w:r w:rsidR="00BF3710" w:rsidRPr="00BF3710">
        <w:rPr>
          <w:rFonts w:ascii="TimesNewRomanPSMT" w:hAnsi="TimesNewRomanPSMT" w:cs="TimesNewRomanPSMT"/>
          <w:vertAlign w:val="superscript"/>
          <w:lang w:val="en-US" w:eastAsia="en-GB"/>
        </w:rPr>
        <w:t>th</w:t>
      </w:r>
      <w:r w:rsidR="00BF3710">
        <w:rPr>
          <w:rFonts w:ascii="TimesNewRomanPSMT" w:hAnsi="TimesNewRomanPSMT" w:cs="TimesNewRomanPSMT"/>
          <w:lang w:val="en-US" w:eastAsia="en-GB"/>
        </w:rPr>
        <w:t xml:space="preserve"> of </w:t>
      </w:r>
      <w:proofErr w:type="gramStart"/>
      <w:r w:rsidR="00BF3710">
        <w:rPr>
          <w:rFonts w:ascii="TimesNewRomanPSMT" w:hAnsi="TimesNewRomanPSMT" w:cs="TimesNewRomanPSMT"/>
          <w:lang w:val="en-US" w:eastAsia="en-GB"/>
        </w:rPr>
        <w:t>April,</w:t>
      </w:r>
      <w:proofErr w:type="gramEnd"/>
      <w:r w:rsidR="00BF3710">
        <w:rPr>
          <w:rFonts w:ascii="TimesNewRomanPSMT" w:hAnsi="TimesNewRomanPSMT" w:cs="TimesNewRomanPSMT"/>
          <w:lang w:val="en-US" w:eastAsia="en-GB"/>
        </w:rPr>
        <w:t xml:space="preserve"> </w:t>
      </w:r>
      <w:r>
        <w:rPr>
          <w:rFonts w:ascii="TimesNewRomanPSMT" w:hAnsi="TimesNewRomanPSMT" w:cs="TimesNewRomanPSMT"/>
          <w:lang w:val="en-US" w:eastAsia="en-GB"/>
        </w:rPr>
        <w:t>2019,</w:t>
      </w:r>
      <w:r>
        <w:rPr>
          <w:lang w:val="en-US"/>
        </w:rPr>
        <w:t xml:space="preserve"> </w:t>
      </w:r>
      <w:hyperlink r:id="rId17" w:history="1">
        <w:r w:rsidRPr="00354D07">
          <w:rPr>
            <w:rStyle w:val="af1"/>
            <w:rFonts w:ascii="TimesNewRomanPSMT" w:hAnsi="TimesNewRomanPSMT" w:cs="TimesNewRomanPSMT"/>
            <w:lang w:val="en-US" w:eastAsia="en-GB"/>
          </w:rPr>
          <w:t>https://www.iaea.org/opic/annual-report-2018</w:t>
        </w:r>
      </w:hyperlink>
      <w:r>
        <w:rPr>
          <w:rFonts w:ascii="TimesNewRomanPSMT" w:hAnsi="TimesNewRomanPSMT" w:cs="TimesNewRomanPSMT"/>
          <w:lang w:val="en-US" w:eastAsia="en-GB"/>
        </w:rPr>
        <w:t>;</w:t>
      </w:r>
    </w:p>
    <w:p w14:paraId="4CBDFDA6" w14:textId="77777777" w:rsidR="00D654F3" w:rsidRPr="00C01170" w:rsidRDefault="00924831" w:rsidP="006D7DFF">
      <w:pPr>
        <w:pStyle w:val="Referencelist"/>
        <w:numPr>
          <w:ilvl w:val="0"/>
          <w:numId w:val="0"/>
        </w:numPr>
        <w:ind w:hanging="360"/>
        <w:rPr>
          <w:color w:val="9BBB59" w:themeColor="accent3"/>
          <w:lang w:val="en-US"/>
        </w:rPr>
      </w:pPr>
      <w:r w:rsidRPr="00C01170">
        <w:rPr>
          <w:lang w:val="en-US"/>
        </w:rPr>
        <w:t>[5]</w:t>
      </w:r>
      <w:r w:rsidRPr="00C01170">
        <w:rPr>
          <w:lang w:val="en-US"/>
        </w:rPr>
        <w:tab/>
        <w:t xml:space="preserve">Nuclear Security Plan for 2018-2021, Report of Director General, </w:t>
      </w:r>
      <w:hyperlink r:id="rId18" w:history="1">
        <w:r w:rsidR="00B4461C" w:rsidRPr="006124B6">
          <w:rPr>
            <w:rStyle w:val="af1"/>
            <w:lang w:val="en-US"/>
          </w:rPr>
          <w:t>https://www-legacy.iaea.org/About/Policy/GC/GC61/GC61Documents/English/gc61-24_en.pdf</w:t>
        </w:r>
      </w:hyperlink>
      <w:r w:rsidR="00B4461C">
        <w:rPr>
          <w:color w:val="9BBB59" w:themeColor="accent3"/>
          <w:lang w:val="en-US"/>
        </w:rPr>
        <w:t xml:space="preserve"> </w:t>
      </w:r>
    </w:p>
    <w:p w14:paraId="2FB8B2F4" w14:textId="77777777" w:rsidR="00D654F3" w:rsidRPr="00A411AE" w:rsidRDefault="00924831" w:rsidP="006D7DFF">
      <w:pPr>
        <w:pStyle w:val="Referencelist"/>
        <w:numPr>
          <w:ilvl w:val="0"/>
          <w:numId w:val="0"/>
        </w:numPr>
        <w:ind w:hanging="360"/>
        <w:rPr>
          <w:lang w:val="en-US"/>
        </w:rPr>
      </w:pPr>
      <w:r w:rsidRPr="00A411AE">
        <w:rPr>
          <w:lang w:val="en-US"/>
        </w:rPr>
        <w:t>[5]</w:t>
      </w:r>
      <w:r w:rsidRPr="00A411AE">
        <w:rPr>
          <w:lang w:val="en-US"/>
        </w:rPr>
        <w:tab/>
        <w:t>Ministerial declaration on the International Conference on Nuclear Security: Commitments and Actions, 5</w:t>
      </w:r>
      <w:r w:rsidR="00BF3710" w:rsidRPr="00BF3710">
        <w:rPr>
          <w:vertAlign w:val="superscript"/>
          <w:lang w:val="en-US"/>
        </w:rPr>
        <w:t>th</w:t>
      </w:r>
      <w:r w:rsidRPr="00A411AE">
        <w:rPr>
          <w:lang w:val="en-US"/>
        </w:rPr>
        <w:t>-9</w:t>
      </w:r>
      <w:r w:rsidR="00BF3710" w:rsidRPr="00BF3710">
        <w:rPr>
          <w:vertAlign w:val="superscript"/>
          <w:lang w:val="en-US"/>
        </w:rPr>
        <w:t>th</w:t>
      </w:r>
      <w:r w:rsidRPr="00A411AE">
        <w:rPr>
          <w:lang w:val="en-US"/>
        </w:rPr>
        <w:t xml:space="preserve"> </w:t>
      </w:r>
      <w:r w:rsidR="00BF3710">
        <w:rPr>
          <w:lang w:val="en-US"/>
        </w:rPr>
        <w:t xml:space="preserve">of </w:t>
      </w:r>
      <w:proofErr w:type="gramStart"/>
      <w:r w:rsidRPr="00A411AE">
        <w:rPr>
          <w:lang w:val="en-US"/>
        </w:rPr>
        <w:t>December</w:t>
      </w:r>
      <w:r w:rsidR="00BF3710">
        <w:rPr>
          <w:lang w:val="en-US"/>
        </w:rPr>
        <w:t>,</w:t>
      </w:r>
      <w:proofErr w:type="gramEnd"/>
      <w:r w:rsidRPr="00A411AE">
        <w:rPr>
          <w:lang w:val="en-US"/>
        </w:rPr>
        <w:t xml:space="preserve"> 2016, </w:t>
      </w:r>
      <w:hyperlink r:id="rId19" w:history="1">
        <w:r w:rsidRPr="00A411AE">
          <w:rPr>
            <w:rStyle w:val="af1"/>
            <w:rFonts w:ascii="TimesNewRomanPSMT" w:hAnsi="TimesNewRomanPSMT" w:cs="TimesNewRomanPSMT"/>
            <w:lang w:val="en-US" w:eastAsia="en-GB"/>
          </w:rPr>
          <w:t>https://www.iaea.org/sites/default/files/16/12/english_ministerial_declaration.pdf</w:t>
        </w:r>
      </w:hyperlink>
      <w:r w:rsidRPr="00A411AE">
        <w:rPr>
          <w:rFonts w:ascii="TimesNewRomanPSMT" w:hAnsi="TimesNewRomanPSMT" w:cs="TimesNewRomanPSMT"/>
          <w:lang w:val="en-US" w:eastAsia="en-GB"/>
        </w:rPr>
        <w:t xml:space="preserve">. </w:t>
      </w:r>
    </w:p>
    <w:p w14:paraId="5BB618D3" w14:textId="77777777" w:rsidR="00B05A13" w:rsidRPr="001A10EE" w:rsidRDefault="00015B45" w:rsidP="006D7DFF">
      <w:pPr>
        <w:pStyle w:val="a1"/>
        <w:ind w:firstLine="0"/>
        <w:rPr>
          <w:lang w:val="en-US"/>
        </w:rPr>
      </w:pPr>
    </w:p>
    <w:sectPr w:rsidR="00B05A13" w:rsidRPr="001A10EE" w:rsidSect="00AE3417">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134" w:right="567" w:bottom="993" w:left="1418"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6CBF1" w14:textId="77777777" w:rsidR="00734481" w:rsidRDefault="00734481">
      <w:r>
        <w:separator/>
      </w:r>
    </w:p>
  </w:endnote>
  <w:endnote w:type="continuationSeparator" w:id="0">
    <w:p w14:paraId="697B2B47" w14:textId="77777777" w:rsidR="00734481" w:rsidRDefault="0073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PMingLiU"/>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4959" w14:textId="77777777" w:rsidR="00E20E70" w:rsidRDefault="00924831">
    <w:pPr>
      <w:pStyle w:val="zyxClassification1"/>
    </w:pPr>
    <w:r>
      <w:fldChar w:fldCharType="begin"/>
    </w:r>
    <w:r>
      <w:instrText xml:space="preserve"> DOCPROPERTY "IaeaClassification"  \* MERGEFORMAT </w:instrText>
    </w:r>
    <w:r>
      <w:fldChar w:fldCharType="end"/>
    </w:r>
  </w:p>
  <w:p w14:paraId="54E5D012" w14:textId="77777777" w:rsidR="00E20E70" w:rsidRDefault="00924831">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3C72B" w14:textId="77777777" w:rsidR="00E20E70" w:rsidRDefault="00924831">
    <w:pPr>
      <w:pStyle w:val="zyxClassification1"/>
    </w:pPr>
    <w:r>
      <w:fldChar w:fldCharType="begin"/>
    </w:r>
    <w:r>
      <w:instrText xml:space="preserve"> DOCPROPERTY "IaeaClassification"  \* MERGEFORMAT </w:instrText>
    </w:r>
    <w:r>
      <w:fldChar w:fldCharType="end"/>
    </w:r>
  </w:p>
  <w:p w14:paraId="777C9E40" w14:textId="6589787B" w:rsidR="00E20E70" w:rsidRPr="00037321" w:rsidRDefault="0092483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15B45">
      <w:rPr>
        <w:rFonts w:ascii="Times New Roman" w:hAnsi="Times New Roman" w:cs="Times New Roman"/>
        <w:noProof/>
        <w:sz w:val="20"/>
      </w:rPr>
      <w:t>5</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8B2D16" w14:paraId="61D35F42" w14:textId="77777777">
      <w:trPr>
        <w:cantSplit/>
      </w:trPr>
      <w:tc>
        <w:tcPr>
          <w:tcW w:w="4644" w:type="dxa"/>
        </w:tcPr>
        <w:p w14:paraId="2C681CA1" w14:textId="77777777" w:rsidR="00E20E70" w:rsidRDefault="00924831">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11F1BFD" w14:textId="77777777" w:rsidR="00E20E70" w:rsidRDefault="00924831">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1181880A" w14:textId="77777777" w:rsidR="00E20E70" w:rsidRDefault="0092483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314C93EB" w14:textId="77777777" w:rsidR="00E20E70" w:rsidRDefault="00924831">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04FA4C5C" w14:textId="77777777" w:rsidR="00E20E70" w:rsidRPr="00FD0E7A" w:rsidRDefault="00924831">
    <w:pPr>
      <w:rPr>
        <w:lang w:val="ru-RU"/>
      </w:rPr>
    </w:pPr>
    <w:r>
      <w:rPr>
        <w:sz w:val="16"/>
      </w:rPr>
      <w:fldChar w:fldCharType="begin"/>
    </w:r>
    <w:r w:rsidRPr="00FD0E7A">
      <w:rPr>
        <w:sz w:val="16"/>
        <w:lang w:val="ru-RU"/>
      </w:rPr>
      <w:instrText xml:space="preserve"> </w:instrText>
    </w:r>
    <w:r>
      <w:rPr>
        <w:sz w:val="16"/>
      </w:rPr>
      <w:instrText>FILENAME</w:instrText>
    </w:r>
    <w:r w:rsidRPr="00FD0E7A">
      <w:rPr>
        <w:sz w:val="16"/>
        <w:lang w:val="ru-RU"/>
      </w:rPr>
      <w:instrText xml:space="preserve"> \* </w:instrText>
    </w:r>
    <w:r>
      <w:rPr>
        <w:sz w:val="16"/>
      </w:rPr>
      <w:instrText>MERGEFORMAT</w:instrText>
    </w:r>
    <w:r w:rsidRPr="00FD0E7A">
      <w:rPr>
        <w:sz w:val="16"/>
        <w:lang w:val="ru-RU"/>
      </w:rPr>
      <w:instrText xml:space="preserve"> </w:instrText>
    </w:r>
    <w:r>
      <w:rPr>
        <w:sz w:val="16"/>
      </w:rPr>
      <w:fldChar w:fldCharType="separate"/>
    </w:r>
    <w:r w:rsidR="00C16A29">
      <w:rPr>
        <w:noProof/>
        <w:sz w:val="16"/>
      </w:rPr>
      <w:t>CN278_доклад_2020-01-29</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74DA" w14:textId="77777777" w:rsidR="00734481" w:rsidRDefault="00734481">
      <w:r>
        <w:separator/>
      </w:r>
    </w:p>
  </w:footnote>
  <w:footnote w:type="continuationSeparator" w:id="0">
    <w:p w14:paraId="4326EF79" w14:textId="77777777" w:rsidR="00734481" w:rsidRDefault="00734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82EDA" w14:textId="77777777" w:rsidR="00CF7AF3" w:rsidRDefault="00924831" w:rsidP="00CF7AF3">
    <w:pPr>
      <w:pStyle w:val="Runninghead"/>
    </w:pPr>
    <w:r>
      <w:tab/>
    </w:r>
    <w:r w:rsidR="00AE3417">
      <w:t>IAEA CN 278</w:t>
    </w:r>
  </w:p>
  <w:p w14:paraId="570A4AB1" w14:textId="77777777" w:rsidR="00CF7AF3" w:rsidRPr="009E1558" w:rsidRDefault="00924831" w:rsidP="00CF7AF3">
    <w:pPr>
      <w:jc w:val="center"/>
      <w:rPr>
        <w:color w:val="BFBFBF" w:themeColor="background1" w:themeShade="BF"/>
        <w:sz w:val="16"/>
        <w:szCs w:val="16"/>
      </w:rPr>
    </w:pPr>
    <w:r w:rsidRPr="00AC5A3A">
      <w:rPr>
        <w:color w:val="BFBFBF" w:themeColor="background1" w:themeShade="BF"/>
        <w:sz w:val="16"/>
        <w:szCs w:val="16"/>
      </w:rPr>
      <w:t>[Right hand page running head is the paper number in Times New Roman 8 point bold capitals, centred]</w:t>
    </w:r>
  </w:p>
  <w:p w14:paraId="40E05EEA" w14:textId="77777777" w:rsidR="00E20E70" w:rsidRDefault="00924831"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14:paraId="7AA5FF16" w14:textId="77777777" w:rsidR="00E20E70" w:rsidRDefault="00924831">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F43D" w14:textId="77777777" w:rsidR="00E20E70" w:rsidRDefault="00924831" w:rsidP="00B82FA5">
    <w:pPr>
      <w:pStyle w:val="Runninghead"/>
      <w:rPr>
        <w:lang w:val="en-US"/>
      </w:rPr>
    </w:pPr>
    <w:r w:rsidRPr="00C01170">
      <w:rPr>
        <w:lang w:val="en-US"/>
      </w:rPr>
      <w:t>N.</w:t>
    </w:r>
    <w:r w:rsidR="00C470BC">
      <w:rPr>
        <w:lang w:val="en-US"/>
      </w:rPr>
      <w:t xml:space="preserve"> KOZLOVA,</w:t>
    </w:r>
    <w:r w:rsidRPr="00C01170">
      <w:rPr>
        <w:lang w:val="en-US"/>
      </w:rPr>
      <w:t xml:space="preserve"> D. ULANOV</w:t>
    </w:r>
    <w:r w:rsidR="00C470BC">
      <w:rPr>
        <w:lang w:val="en-US"/>
      </w:rPr>
      <w:t>, G. LEBEDEV</w:t>
    </w:r>
  </w:p>
  <w:p w14:paraId="79CCB7A6" w14:textId="77777777" w:rsidR="00C01170" w:rsidRPr="00C01170" w:rsidRDefault="00C01170" w:rsidP="00B82FA5">
    <w:pPr>
      <w:pStyle w:val="Runninghea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8B2D16" w14:paraId="7EF2BEE4" w14:textId="77777777">
      <w:trPr>
        <w:cantSplit/>
        <w:trHeight w:val="716"/>
      </w:trPr>
      <w:tc>
        <w:tcPr>
          <w:tcW w:w="979" w:type="dxa"/>
          <w:vMerge w:val="restart"/>
        </w:tcPr>
        <w:p w14:paraId="7E60D24C" w14:textId="77777777" w:rsidR="00E20E70" w:rsidRDefault="00015B45">
          <w:pPr>
            <w:spacing w:before="180"/>
            <w:ind w:left="17"/>
          </w:pPr>
        </w:p>
      </w:tc>
      <w:tc>
        <w:tcPr>
          <w:tcW w:w="3638" w:type="dxa"/>
          <w:vAlign w:val="bottom"/>
        </w:tcPr>
        <w:p w14:paraId="6370B0BC" w14:textId="77777777" w:rsidR="00E20E70" w:rsidRDefault="00015B45">
          <w:pPr>
            <w:spacing w:after="20"/>
          </w:pPr>
        </w:p>
      </w:tc>
      <w:bookmarkStart w:id="1" w:name="DOC_bkmClassification1"/>
      <w:tc>
        <w:tcPr>
          <w:tcW w:w="5702" w:type="dxa"/>
          <w:vMerge w:val="restart"/>
          <w:tcMar>
            <w:right w:w="193" w:type="dxa"/>
          </w:tcMar>
        </w:tcPr>
        <w:p w14:paraId="75390844" w14:textId="77777777" w:rsidR="00E20E70" w:rsidRDefault="00924831">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FF0F17" w14:textId="77777777" w:rsidR="00E20E70" w:rsidRDefault="00924831">
          <w:pPr>
            <w:pStyle w:val="zyxConfid2Red"/>
          </w:pPr>
          <w:r>
            <w:fldChar w:fldCharType="begin"/>
          </w:r>
          <w:r>
            <w:instrText>DOCPROPERTY "IaeaClassification2"  \* MERGEFORMAT</w:instrText>
          </w:r>
          <w:r>
            <w:fldChar w:fldCharType="end"/>
          </w:r>
        </w:p>
      </w:tc>
    </w:tr>
    <w:tr w:rsidR="008B2D16" w14:paraId="60B8FAD2" w14:textId="77777777">
      <w:trPr>
        <w:cantSplit/>
        <w:trHeight w:val="167"/>
      </w:trPr>
      <w:tc>
        <w:tcPr>
          <w:tcW w:w="979" w:type="dxa"/>
          <w:vMerge/>
        </w:tcPr>
        <w:p w14:paraId="4192335A" w14:textId="77777777" w:rsidR="00E20E70" w:rsidRDefault="00015B45">
          <w:pPr>
            <w:spacing w:before="57"/>
          </w:pPr>
        </w:p>
      </w:tc>
      <w:tc>
        <w:tcPr>
          <w:tcW w:w="3638" w:type="dxa"/>
          <w:vAlign w:val="bottom"/>
        </w:tcPr>
        <w:p w14:paraId="20C8EDB9" w14:textId="77777777" w:rsidR="00E20E70" w:rsidRDefault="00015B45">
          <w:pPr>
            <w:pStyle w:val="9"/>
            <w:spacing w:before="0" w:after="10"/>
          </w:pPr>
        </w:p>
      </w:tc>
      <w:tc>
        <w:tcPr>
          <w:tcW w:w="5702" w:type="dxa"/>
          <w:vMerge/>
          <w:vAlign w:val="bottom"/>
        </w:tcPr>
        <w:p w14:paraId="57548682" w14:textId="77777777" w:rsidR="00E20E70" w:rsidRDefault="00015B45">
          <w:pPr>
            <w:pStyle w:val="9"/>
            <w:spacing w:before="0" w:after="10"/>
          </w:pPr>
        </w:p>
      </w:tc>
    </w:tr>
  </w:tbl>
  <w:p w14:paraId="337B4313" w14:textId="77777777" w:rsidR="00E20E70" w:rsidRDefault="00015B4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4FEC7298">
      <w:start w:val="1"/>
      <w:numFmt w:val="bullet"/>
      <w:pStyle w:val="ListEmdash"/>
      <w:lvlText w:val="—"/>
      <w:lvlJc w:val="left"/>
      <w:pPr>
        <w:ind w:left="1287" w:hanging="360"/>
      </w:pPr>
      <w:rPr>
        <w:rFonts w:ascii="Times New Roman" w:hAnsi="Times New Roman" w:cs="Times New Roman" w:hint="default"/>
      </w:rPr>
    </w:lvl>
    <w:lvl w:ilvl="1" w:tplc="C94AD704" w:tentative="1">
      <w:start w:val="1"/>
      <w:numFmt w:val="bullet"/>
      <w:lvlText w:val="o"/>
      <w:lvlJc w:val="left"/>
      <w:pPr>
        <w:ind w:left="2007" w:hanging="360"/>
      </w:pPr>
      <w:rPr>
        <w:rFonts w:ascii="Courier New" w:hAnsi="Courier New" w:cs="Courier New" w:hint="default"/>
      </w:rPr>
    </w:lvl>
    <w:lvl w:ilvl="2" w:tplc="551C638E" w:tentative="1">
      <w:start w:val="1"/>
      <w:numFmt w:val="bullet"/>
      <w:lvlText w:val=""/>
      <w:lvlJc w:val="left"/>
      <w:pPr>
        <w:ind w:left="2727" w:hanging="360"/>
      </w:pPr>
      <w:rPr>
        <w:rFonts w:ascii="Wingdings" w:hAnsi="Wingdings" w:hint="default"/>
      </w:rPr>
    </w:lvl>
    <w:lvl w:ilvl="3" w:tplc="A838FEE8">
      <w:start w:val="1"/>
      <w:numFmt w:val="bullet"/>
      <w:lvlText w:val=""/>
      <w:lvlJc w:val="left"/>
      <w:pPr>
        <w:ind w:left="3447" w:hanging="360"/>
      </w:pPr>
      <w:rPr>
        <w:rFonts w:ascii="Symbol" w:hAnsi="Symbol" w:hint="default"/>
      </w:rPr>
    </w:lvl>
    <w:lvl w:ilvl="4" w:tplc="B2E48826" w:tentative="1">
      <w:start w:val="1"/>
      <w:numFmt w:val="bullet"/>
      <w:lvlText w:val="o"/>
      <w:lvlJc w:val="left"/>
      <w:pPr>
        <w:ind w:left="4167" w:hanging="360"/>
      </w:pPr>
      <w:rPr>
        <w:rFonts w:ascii="Courier New" w:hAnsi="Courier New" w:cs="Courier New" w:hint="default"/>
      </w:rPr>
    </w:lvl>
    <w:lvl w:ilvl="5" w:tplc="B0620A9C" w:tentative="1">
      <w:start w:val="1"/>
      <w:numFmt w:val="bullet"/>
      <w:lvlText w:val=""/>
      <w:lvlJc w:val="left"/>
      <w:pPr>
        <w:ind w:left="4887" w:hanging="360"/>
      </w:pPr>
      <w:rPr>
        <w:rFonts w:ascii="Wingdings" w:hAnsi="Wingdings" w:hint="default"/>
      </w:rPr>
    </w:lvl>
    <w:lvl w:ilvl="6" w:tplc="4A88C7FC" w:tentative="1">
      <w:start w:val="1"/>
      <w:numFmt w:val="bullet"/>
      <w:lvlText w:val=""/>
      <w:lvlJc w:val="left"/>
      <w:pPr>
        <w:ind w:left="5607" w:hanging="360"/>
      </w:pPr>
      <w:rPr>
        <w:rFonts w:ascii="Symbol" w:hAnsi="Symbol" w:hint="default"/>
      </w:rPr>
    </w:lvl>
    <w:lvl w:ilvl="7" w:tplc="BA68C4BE" w:tentative="1">
      <w:start w:val="1"/>
      <w:numFmt w:val="bullet"/>
      <w:lvlText w:val="o"/>
      <w:lvlJc w:val="left"/>
      <w:pPr>
        <w:ind w:left="6327" w:hanging="360"/>
      </w:pPr>
      <w:rPr>
        <w:rFonts w:ascii="Courier New" w:hAnsi="Courier New" w:cs="Courier New" w:hint="default"/>
      </w:rPr>
    </w:lvl>
    <w:lvl w:ilvl="8" w:tplc="2F948556"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F54E7026">
      <w:start w:val="1"/>
      <w:numFmt w:val="lowerLetter"/>
      <w:pStyle w:val="ListNumbered"/>
      <w:lvlText w:val="(%1)"/>
      <w:lvlJc w:val="left"/>
      <w:pPr>
        <w:ind w:left="720" w:hanging="360"/>
      </w:pPr>
      <w:rPr>
        <w:rFonts w:hint="default"/>
      </w:rPr>
    </w:lvl>
    <w:lvl w:ilvl="1" w:tplc="F69A0B14" w:tentative="1">
      <w:start w:val="1"/>
      <w:numFmt w:val="lowerLetter"/>
      <w:lvlText w:val="%2."/>
      <w:lvlJc w:val="left"/>
      <w:pPr>
        <w:ind w:left="1440" w:hanging="360"/>
      </w:pPr>
    </w:lvl>
    <w:lvl w:ilvl="2" w:tplc="3BB879A4">
      <w:start w:val="1"/>
      <w:numFmt w:val="lowerRoman"/>
      <w:lvlText w:val="%3."/>
      <w:lvlJc w:val="right"/>
      <w:pPr>
        <w:ind w:left="2160" w:hanging="180"/>
      </w:pPr>
    </w:lvl>
    <w:lvl w:ilvl="3" w:tplc="095A2AB0">
      <w:start w:val="1"/>
      <w:numFmt w:val="decimal"/>
      <w:lvlText w:val="%4."/>
      <w:lvlJc w:val="left"/>
      <w:pPr>
        <w:ind w:left="2880" w:hanging="360"/>
      </w:pPr>
    </w:lvl>
    <w:lvl w:ilvl="4" w:tplc="30A0E250" w:tentative="1">
      <w:start w:val="1"/>
      <w:numFmt w:val="lowerLetter"/>
      <w:lvlText w:val="%5."/>
      <w:lvlJc w:val="left"/>
      <w:pPr>
        <w:ind w:left="3600" w:hanging="360"/>
      </w:pPr>
    </w:lvl>
    <w:lvl w:ilvl="5" w:tplc="C53E523C" w:tentative="1">
      <w:start w:val="1"/>
      <w:numFmt w:val="lowerRoman"/>
      <w:lvlText w:val="%6."/>
      <w:lvlJc w:val="right"/>
      <w:pPr>
        <w:ind w:left="4320" w:hanging="180"/>
      </w:pPr>
    </w:lvl>
    <w:lvl w:ilvl="6" w:tplc="4000BABA" w:tentative="1">
      <w:start w:val="1"/>
      <w:numFmt w:val="decimal"/>
      <w:lvlText w:val="%7."/>
      <w:lvlJc w:val="left"/>
      <w:pPr>
        <w:ind w:left="5040" w:hanging="360"/>
      </w:pPr>
    </w:lvl>
    <w:lvl w:ilvl="7" w:tplc="E4DC7C44" w:tentative="1">
      <w:start w:val="1"/>
      <w:numFmt w:val="lowerLetter"/>
      <w:lvlText w:val="%8."/>
      <w:lvlJc w:val="left"/>
      <w:pPr>
        <w:ind w:left="5760" w:hanging="360"/>
      </w:pPr>
    </w:lvl>
    <w:lvl w:ilvl="8" w:tplc="BEF2F334"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93E2E8C2">
      <w:start w:val="1"/>
      <w:numFmt w:val="bullet"/>
      <w:pStyle w:val="BodyTextSummary"/>
      <w:lvlText w:val=""/>
      <w:lvlJc w:val="left"/>
      <w:pPr>
        <w:tabs>
          <w:tab w:val="num" w:pos="720"/>
        </w:tabs>
        <w:ind w:left="720" w:hanging="360"/>
      </w:pPr>
      <w:rPr>
        <w:rFonts w:ascii="Symbol" w:hAnsi="Symbol" w:hint="default"/>
      </w:rPr>
    </w:lvl>
    <w:lvl w:ilvl="1" w:tplc="EF1CB650" w:tentative="1">
      <w:start w:val="1"/>
      <w:numFmt w:val="bullet"/>
      <w:lvlText w:val="o"/>
      <w:lvlJc w:val="left"/>
      <w:pPr>
        <w:tabs>
          <w:tab w:val="num" w:pos="1440"/>
        </w:tabs>
        <w:ind w:left="1440" w:hanging="360"/>
      </w:pPr>
      <w:rPr>
        <w:rFonts w:ascii="Courier New" w:hAnsi="Courier New" w:hint="default"/>
      </w:rPr>
    </w:lvl>
    <w:lvl w:ilvl="2" w:tplc="D1C89054" w:tentative="1">
      <w:start w:val="1"/>
      <w:numFmt w:val="bullet"/>
      <w:lvlText w:val=""/>
      <w:lvlJc w:val="left"/>
      <w:pPr>
        <w:tabs>
          <w:tab w:val="num" w:pos="2160"/>
        </w:tabs>
        <w:ind w:left="2160" w:hanging="360"/>
      </w:pPr>
      <w:rPr>
        <w:rFonts w:ascii="Wingdings" w:hAnsi="Wingdings" w:hint="default"/>
      </w:rPr>
    </w:lvl>
    <w:lvl w:ilvl="3" w:tplc="63EE28B0" w:tentative="1">
      <w:start w:val="1"/>
      <w:numFmt w:val="bullet"/>
      <w:lvlText w:val=""/>
      <w:lvlJc w:val="left"/>
      <w:pPr>
        <w:tabs>
          <w:tab w:val="num" w:pos="2880"/>
        </w:tabs>
        <w:ind w:left="2880" w:hanging="360"/>
      </w:pPr>
      <w:rPr>
        <w:rFonts w:ascii="Symbol" w:hAnsi="Symbol" w:hint="default"/>
      </w:rPr>
    </w:lvl>
    <w:lvl w:ilvl="4" w:tplc="501A81F2" w:tentative="1">
      <w:start w:val="1"/>
      <w:numFmt w:val="bullet"/>
      <w:lvlText w:val="o"/>
      <w:lvlJc w:val="left"/>
      <w:pPr>
        <w:tabs>
          <w:tab w:val="num" w:pos="3600"/>
        </w:tabs>
        <w:ind w:left="3600" w:hanging="360"/>
      </w:pPr>
      <w:rPr>
        <w:rFonts w:ascii="Courier New" w:hAnsi="Courier New" w:hint="default"/>
      </w:rPr>
    </w:lvl>
    <w:lvl w:ilvl="5" w:tplc="A30EE5B2" w:tentative="1">
      <w:start w:val="1"/>
      <w:numFmt w:val="bullet"/>
      <w:lvlText w:val=""/>
      <w:lvlJc w:val="left"/>
      <w:pPr>
        <w:tabs>
          <w:tab w:val="num" w:pos="4320"/>
        </w:tabs>
        <w:ind w:left="4320" w:hanging="360"/>
      </w:pPr>
      <w:rPr>
        <w:rFonts w:ascii="Wingdings" w:hAnsi="Wingdings" w:hint="default"/>
      </w:rPr>
    </w:lvl>
    <w:lvl w:ilvl="6" w:tplc="8EA61A2A" w:tentative="1">
      <w:start w:val="1"/>
      <w:numFmt w:val="bullet"/>
      <w:lvlText w:val=""/>
      <w:lvlJc w:val="left"/>
      <w:pPr>
        <w:tabs>
          <w:tab w:val="num" w:pos="5040"/>
        </w:tabs>
        <w:ind w:left="5040" w:hanging="360"/>
      </w:pPr>
      <w:rPr>
        <w:rFonts w:ascii="Symbol" w:hAnsi="Symbol" w:hint="default"/>
      </w:rPr>
    </w:lvl>
    <w:lvl w:ilvl="7" w:tplc="3D4ABE36" w:tentative="1">
      <w:start w:val="1"/>
      <w:numFmt w:val="bullet"/>
      <w:lvlText w:val="o"/>
      <w:lvlJc w:val="left"/>
      <w:pPr>
        <w:tabs>
          <w:tab w:val="num" w:pos="5760"/>
        </w:tabs>
        <w:ind w:left="5760" w:hanging="360"/>
      </w:pPr>
      <w:rPr>
        <w:rFonts w:ascii="Courier New" w:hAnsi="Courier New" w:hint="default"/>
      </w:rPr>
    </w:lvl>
    <w:lvl w:ilvl="8" w:tplc="A1EA26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827ADF90">
      <w:start w:val="1"/>
      <w:numFmt w:val="bullet"/>
      <w:pStyle w:val="ListBulleted"/>
      <w:lvlText w:val=""/>
      <w:lvlJc w:val="left"/>
      <w:pPr>
        <w:tabs>
          <w:tab w:val="num" w:pos="1179"/>
        </w:tabs>
        <w:ind w:left="1179" w:hanging="360"/>
      </w:pPr>
      <w:rPr>
        <w:rFonts w:ascii="Symbol" w:hAnsi="Symbol" w:hint="default"/>
      </w:rPr>
    </w:lvl>
    <w:lvl w:ilvl="1" w:tplc="433CE8EE" w:tentative="1">
      <w:start w:val="1"/>
      <w:numFmt w:val="bullet"/>
      <w:lvlText w:val="o"/>
      <w:lvlJc w:val="left"/>
      <w:pPr>
        <w:tabs>
          <w:tab w:val="num" w:pos="1899"/>
        </w:tabs>
        <w:ind w:left="1899" w:hanging="360"/>
      </w:pPr>
      <w:rPr>
        <w:rFonts w:ascii="Courier New" w:hAnsi="Courier New" w:hint="default"/>
      </w:rPr>
    </w:lvl>
    <w:lvl w:ilvl="2" w:tplc="B9602FD4" w:tentative="1">
      <w:start w:val="1"/>
      <w:numFmt w:val="bullet"/>
      <w:lvlText w:val=""/>
      <w:lvlJc w:val="left"/>
      <w:pPr>
        <w:tabs>
          <w:tab w:val="num" w:pos="2619"/>
        </w:tabs>
        <w:ind w:left="2619" w:hanging="360"/>
      </w:pPr>
      <w:rPr>
        <w:rFonts w:ascii="Wingdings" w:hAnsi="Wingdings" w:hint="default"/>
      </w:rPr>
    </w:lvl>
    <w:lvl w:ilvl="3" w:tplc="59E8B460" w:tentative="1">
      <w:start w:val="1"/>
      <w:numFmt w:val="bullet"/>
      <w:lvlText w:val=""/>
      <w:lvlJc w:val="left"/>
      <w:pPr>
        <w:tabs>
          <w:tab w:val="num" w:pos="3339"/>
        </w:tabs>
        <w:ind w:left="3339" w:hanging="360"/>
      </w:pPr>
      <w:rPr>
        <w:rFonts w:ascii="Symbol" w:hAnsi="Symbol" w:hint="default"/>
      </w:rPr>
    </w:lvl>
    <w:lvl w:ilvl="4" w:tplc="76983644" w:tentative="1">
      <w:start w:val="1"/>
      <w:numFmt w:val="bullet"/>
      <w:lvlText w:val="o"/>
      <w:lvlJc w:val="left"/>
      <w:pPr>
        <w:tabs>
          <w:tab w:val="num" w:pos="4059"/>
        </w:tabs>
        <w:ind w:left="4059" w:hanging="360"/>
      </w:pPr>
      <w:rPr>
        <w:rFonts w:ascii="Courier New" w:hAnsi="Courier New" w:hint="default"/>
      </w:rPr>
    </w:lvl>
    <w:lvl w:ilvl="5" w:tplc="47C49D4A" w:tentative="1">
      <w:start w:val="1"/>
      <w:numFmt w:val="bullet"/>
      <w:lvlText w:val=""/>
      <w:lvlJc w:val="left"/>
      <w:pPr>
        <w:tabs>
          <w:tab w:val="num" w:pos="4779"/>
        </w:tabs>
        <w:ind w:left="4779" w:hanging="360"/>
      </w:pPr>
      <w:rPr>
        <w:rFonts w:ascii="Wingdings" w:hAnsi="Wingdings" w:hint="default"/>
      </w:rPr>
    </w:lvl>
    <w:lvl w:ilvl="6" w:tplc="BE52CAA4" w:tentative="1">
      <w:start w:val="1"/>
      <w:numFmt w:val="bullet"/>
      <w:lvlText w:val=""/>
      <w:lvlJc w:val="left"/>
      <w:pPr>
        <w:tabs>
          <w:tab w:val="num" w:pos="5499"/>
        </w:tabs>
        <w:ind w:left="5499" w:hanging="360"/>
      </w:pPr>
      <w:rPr>
        <w:rFonts w:ascii="Symbol" w:hAnsi="Symbol" w:hint="default"/>
      </w:rPr>
    </w:lvl>
    <w:lvl w:ilvl="7" w:tplc="B3C0660C" w:tentative="1">
      <w:start w:val="1"/>
      <w:numFmt w:val="bullet"/>
      <w:lvlText w:val="o"/>
      <w:lvlJc w:val="left"/>
      <w:pPr>
        <w:tabs>
          <w:tab w:val="num" w:pos="6219"/>
        </w:tabs>
        <w:ind w:left="6219" w:hanging="360"/>
      </w:pPr>
      <w:rPr>
        <w:rFonts w:ascii="Courier New" w:hAnsi="Courier New" w:hint="default"/>
      </w:rPr>
    </w:lvl>
    <w:lvl w:ilvl="8" w:tplc="515C8E4E"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472247B2">
      <w:start w:val="1"/>
      <w:numFmt w:val="decimal"/>
      <w:pStyle w:val="Referencelist"/>
      <w:lvlText w:val="[%1]"/>
      <w:lvlJc w:val="left"/>
      <w:pPr>
        <w:ind w:left="720" w:hanging="360"/>
      </w:pPr>
    </w:lvl>
    <w:lvl w:ilvl="1" w:tplc="044A0DB6" w:tentative="1">
      <w:start w:val="1"/>
      <w:numFmt w:val="lowerLetter"/>
      <w:lvlText w:val="%2."/>
      <w:lvlJc w:val="left"/>
      <w:pPr>
        <w:ind w:left="1440" w:hanging="360"/>
      </w:pPr>
    </w:lvl>
    <w:lvl w:ilvl="2" w:tplc="644C2B60" w:tentative="1">
      <w:start w:val="1"/>
      <w:numFmt w:val="lowerRoman"/>
      <w:lvlText w:val="%3."/>
      <w:lvlJc w:val="right"/>
      <w:pPr>
        <w:ind w:left="2160" w:hanging="180"/>
      </w:pPr>
    </w:lvl>
    <w:lvl w:ilvl="3" w:tplc="52447DFC" w:tentative="1">
      <w:start w:val="1"/>
      <w:numFmt w:val="decimal"/>
      <w:lvlText w:val="%4."/>
      <w:lvlJc w:val="left"/>
      <w:pPr>
        <w:ind w:left="2880" w:hanging="360"/>
      </w:pPr>
    </w:lvl>
    <w:lvl w:ilvl="4" w:tplc="8FE6F12C" w:tentative="1">
      <w:start w:val="1"/>
      <w:numFmt w:val="lowerLetter"/>
      <w:lvlText w:val="%5."/>
      <w:lvlJc w:val="left"/>
      <w:pPr>
        <w:ind w:left="3600" w:hanging="360"/>
      </w:pPr>
    </w:lvl>
    <w:lvl w:ilvl="5" w:tplc="E32CD09C" w:tentative="1">
      <w:start w:val="1"/>
      <w:numFmt w:val="lowerRoman"/>
      <w:lvlText w:val="%6."/>
      <w:lvlJc w:val="right"/>
      <w:pPr>
        <w:ind w:left="4320" w:hanging="180"/>
      </w:pPr>
    </w:lvl>
    <w:lvl w:ilvl="6" w:tplc="68E8EE7E" w:tentative="1">
      <w:start w:val="1"/>
      <w:numFmt w:val="decimal"/>
      <w:lvlText w:val="%7."/>
      <w:lvlJc w:val="left"/>
      <w:pPr>
        <w:ind w:left="5040" w:hanging="360"/>
      </w:pPr>
    </w:lvl>
    <w:lvl w:ilvl="7" w:tplc="06564BD4" w:tentative="1">
      <w:start w:val="1"/>
      <w:numFmt w:val="lowerLetter"/>
      <w:lvlText w:val="%8."/>
      <w:lvlJc w:val="left"/>
      <w:pPr>
        <w:ind w:left="5760" w:hanging="360"/>
      </w:pPr>
    </w:lvl>
    <w:lvl w:ilvl="8" w:tplc="6B40D57C"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B8204F1A">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504C16" w:tentative="1">
      <w:start w:val="1"/>
      <w:numFmt w:val="bullet"/>
      <w:lvlText w:val="o"/>
      <w:lvlJc w:val="left"/>
      <w:pPr>
        <w:tabs>
          <w:tab w:val="num" w:pos="1440"/>
        </w:tabs>
        <w:ind w:left="1440" w:hanging="360"/>
      </w:pPr>
      <w:rPr>
        <w:rFonts w:ascii="Courier New" w:hAnsi="Courier New" w:hint="default"/>
      </w:rPr>
    </w:lvl>
    <w:lvl w:ilvl="2" w:tplc="5B42844E" w:tentative="1">
      <w:start w:val="1"/>
      <w:numFmt w:val="bullet"/>
      <w:lvlText w:val=""/>
      <w:lvlJc w:val="left"/>
      <w:pPr>
        <w:tabs>
          <w:tab w:val="num" w:pos="2160"/>
        </w:tabs>
        <w:ind w:left="2160" w:hanging="360"/>
      </w:pPr>
      <w:rPr>
        <w:rFonts w:ascii="Wingdings" w:hAnsi="Wingdings" w:hint="default"/>
      </w:rPr>
    </w:lvl>
    <w:lvl w:ilvl="3" w:tplc="1376F2EA" w:tentative="1">
      <w:start w:val="1"/>
      <w:numFmt w:val="bullet"/>
      <w:lvlText w:val=""/>
      <w:lvlJc w:val="left"/>
      <w:pPr>
        <w:tabs>
          <w:tab w:val="num" w:pos="2880"/>
        </w:tabs>
        <w:ind w:left="2880" w:hanging="360"/>
      </w:pPr>
      <w:rPr>
        <w:rFonts w:ascii="Symbol" w:hAnsi="Symbol" w:hint="default"/>
      </w:rPr>
    </w:lvl>
    <w:lvl w:ilvl="4" w:tplc="A01AA746" w:tentative="1">
      <w:start w:val="1"/>
      <w:numFmt w:val="bullet"/>
      <w:lvlText w:val="o"/>
      <w:lvlJc w:val="left"/>
      <w:pPr>
        <w:tabs>
          <w:tab w:val="num" w:pos="3600"/>
        </w:tabs>
        <w:ind w:left="3600" w:hanging="360"/>
      </w:pPr>
      <w:rPr>
        <w:rFonts w:ascii="Courier New" w:hAnsi="Courier New" w:hint="default"/>
      </w:rPr>
    </w:lvl>
    <w:lvl w:ilvl="5" w:tplc="CFA0C86E" w:tentative="1">
      <w:start w:val="1"/>
      <w:numFmt w:val="bullet"/>
      <w:lvlText w:val=""/>
      <w:lvlJc w:val="left"/>
      <w:pPr>
        <w:tabs>
          <w:tab w:val="num" w:pos="4320"/>
        </w:tabs>
        <w:ind w:left="4320" w:hanging="360"/>
      </w:pPr>
      <w:rPr>
        <w:rFonts w:ascii="Wingdings" w:hAnsi="Wingdings" w:hint="default"/>
      </w:rPr>
    </w:lvl>
    <w:lvl w:ilvl="6" w:tplc="C986B470" w:tentative="1">
      <w:start w:val="1"/>
      <w:numFmt w:val="bullet"/>
      <w:lvlText w:val=""/>
      <w:lvlJc w:val="left"/>
      <w:pPr>
        <w:tabs>
          <w:tab w:val="num" w:pos="5040"/>
        </w:tabs>
        <w:ind w:left="5040" w:hanging="360"/>
      </w:pPr>
      <w:rPr>
        <w:rFonts w:ascii="Symbol" w:hAnsi="Symbol" w:hint="default"/>
      </w:rPr>
    </w:lvl>
    <w:lvl w:ilvl="7" w:tplc="AB8A3CF8" w:tentative="1">
      <w:start w:val="1"/>
      <w:numFmt w:val="bullet"/>
      <w:lvlText w:val="o"/>
      <w:lvlJc w:val="left"/>
      <w:pPr>
        <w:tabs>
          <w:tab w:val="num" w:pos="5760"/>
        </w:tabs>
        <w:ind w:left="5760" w:hanging="360"/>
      </w:pPr>
      <w:rPr>
        <w:rFonts w:ascii="Courier New" w:hAnsi="Courier New" w:hint="default"/>
      </w:rPr>
    </w:lvl>
    <w:lvl w:ilvl="8" w:tplc="76A894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77DCAA34">
      <w:start w:val="1"/>
      <w:numFmt w:val="lowerRoman"/>
      <w:lvlText w:val="(%1)"/>
      <w:lvlJc w:val="left"/>
      <w:pPr>
        <w:ind w:left="1080" w:hanging="720"/>
      </w:pPr>
      <w:rPr>
        <w:rFonts w:hint="default"/>
      </w:rPr>
    </w:lvl>
    <w:lvl w:ilvl="1" w:tplc="39280E22" w:tentative="1">
      <w:start w:val="1"/>
      <w:numFmt w:val="lowerLetter"/>
      <w:lvlText w:val="%2."/>
      <w:lvlJc w:val="left"/>
      <w:pPr>
        <w:ind w:left="1440" w:hanging="360"/>
      </w:pPr>
    </w:lvl>
    <w:lvl w:ilvl="2" w:tplc="76AE558C" w:tentative="1">
      <w:start w:val="1"/>
      <w:numFmt w:val="lowerRoman"/>
      <w:lvlText w:val="%3."/>
      <w:lvlJc w:val="right"/>
      <w:pPr>
        <w:ind w:left="2160" w:hanging="180"/>
      </w:pPr>
    </w:lvl>
    <w:lvl w:ilvl="3" w:tplc="47B69120" w:tentative="1">
      <w:start w:val="1"/>
      <w:numFmt w:val="decimal"/>
      <w:lvlText w:val="%4."/>
      <w:lvlJc w:val="left"/>
      <w:pPr>
        <w:ind w:left="2880" w:hanging="360"/>
      </w:pPr>
    </w:lvl>
    <w:lvl w:ilvl="4" w:tplc="E68880EE" w:tentative="1">
      <w:start w:val="1"/>
      <w:numFmt w:val="lowerLetter"/>
      <w:lvlText w:val="%5."/>
      <w:lvlJc w:val="left"/>
      <w:pPr>
        <w:ind w:left="3600" w:hanging="360"/>
      </w:pPr>
    </w:lvl>
    <w:lvl w:ilvl="5" w:tplc="B88698B4" w:tentative="1">
      <w:start w:val="1"/>
      <w:numFmt w:val="lowerRoman"/>
      <w:lvlText w:val="%6."/>
      <w:lvlJc w:val="right"/>
      <w:pPr>
        <w:ind w:left="4320" w:hanging="180"/>
      </w:pPr>
    </w:lvl>
    <w:lvl w:ilvl="6" w:tplc="B2947760" w:tentative="1">
      <w:start w:val="1"/>
      <w:numFmt w:val="decimal"/>
      <w:lvlText w:val="%7."/>
      <w:lvlJc w:val="left"/>
      <w:pPr>
        <w:ind w:left="5040" w:hanging="360"/>
      </w:pPr>
    </w:lvl>
    <w:lvl w:ilvl="7" w:tplc="43161FCC" w:tentative="1">
      <w:start w:val="1"/>
      <w:numFmt w:val="lowerLetter"/>
      <w:lvlText w:val="%8."/>
      <w:lvlJc w:val="left"/>
      <w:pPr>
        <w:ind w:left="5760" w:hanging="360"/>
      </w:pPr>
    </w:lvl>
    <w:lvl w:ilvl="8" w:tplc="2B328D9E" w:tentative="1">
      <w:start w:val="1"/>
      <w:numFmt w:val="lowerRoman"/>
      <w:lvlText w:val="%9."/>
      <w:lvlJc w:val="right"/>
      <w:pPr>
        <w:ind w:left="6480" w:hanging="180"/>
      </w:pPr>
    </w:lvl>
  </w:abstractNum>
  <w:abstractNum w:abstractNumId="10" w15:restartNumberingAfterBreak="0">
    <w:nsid w:val="6FD51093"/>
    <w:multiLevelType w:val="multilevel"/>
    <w:tmpl w:val="0CFC9484"/>
    <w:name w:val="HeadingTemplate"/>
    <w:lvl w:ilvl="0">
      <w:start w:val="1"/>
      <w:numFmt w:val="none"/>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lang w:val="en-US"/>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3BFEEDD8">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16CE562A">
      <w:start w:val="1"/>
      <w:numFmt w:val="lowerLetter"/>
      <w:lvlText w:val="%2."/>
      <w:lvlJc w:val="left"/>
      <w:pPr>
        <w:tabs>
          <w:tab w:val="num" w:pos="1440"/>
        </w:tabs>
        <w:ind w:left="1440" w:hanging="360"/>
      </w:pPr>
    </w:lvl>
    <w:lvl w:ilvl="2" w:tplc="1AF44162">
      <w:start w:val="1"/>
      <w:numFmt w:val="lowerRoman"/>
      <w:lvlText w:val="%3."/>
      <w:lvlJc w:val="right"/>
      <w:pPr>
        <w:tabs>
          <w:tab w:val="num" w:pos="2160"/>
        </w:tabs>
        <w:ind w:left="2160" w:hanging="180"/>
      </w:pPr>
    </w:lvl>
    <w:lvl w:ilvl="3" w:tplc="E0A0E0B6">
      <w:start w:val="1"/>
      <w:numFmt w:val="decimal"/>
      <w:lvlText w:val="%4."/>
      <w:lvlJc w:val="left"/>
      <w:pPr>
        <w:tabs>
          <w:tab w:val="num" w:pos="2880"/>
        </w:tabs>
        <w:ind w:left="2880" w:hanging="360"/>
      </w:pPr>
    </w:lvl>
    <w:lvl w:ilvl="4" w:tplc="29D2D97A">
      <w:start w:val="1"/>
      <w:numFmt w:val="lowerLetter"/>
      <w:lvlText w:val="%5."/>
      <w:lvlJc w:val="left"/>
      <w:pPr>
        <w:tabs>
          <w:tab w:val="num" w:pos="3600"/>
        </w:tabs>
        <w:ind w:left="3600" w:hanging="360"/>
      </w:pPr>
    </w:lvl>
    <w:lvl w:ilvl="5" w:tplc="C492B792">
      <w:start w:val="1"/>
      <w:numFmt w:val="lowerRoman"/>
      <w:lvlText w:val="%6."/>
      <w:lvlJc w:val="right"/>
      <w:pPr>
        <w:tabs>
          <w:tab w:val="num" w:pos="4320"/>
        </w:tabs>
        <w:ind w:left="4320" w:hanging="180"/>
      </w:pPr>
    </w:lvl>
    <w:lvl w:ilvl="6" w:tplc="02062388">
      <w:start w:val="1"/>
      <w:numFmt w:val="decimal"/>
      <w:lvlText w:val="%7."/>
      <w:lvlJc w:val="left"/>
      <w:pPr>
        <w:tabs>
          <w:tab w:val="num" w:pos="5040"/>
        </w:tabs>
        <w:ind w:left="5040" w:hanging="360"/>
      </w:pPr>
    </w:lvl>
    <w:lvl w:ilvl="7" w:tplc="767CE830">
      <w:start w:val="1"/>
      <w:numFmt w:val="lowerLetter"/>
      <w:lvlText w:val="%8."/>
      <w:lvlJc w:val="left"/>
      <w:pPr>
        <w:tabs>
          <w:tab w:val="num" w:pos="5760"/>
        </w:tabs>
        <w:ind w:left="5760" w:hanging="360"/>
      </w:pPr>
    </w:lvl>
    <w:lvl w:ilvl="8" w:tplc="31B2D19E">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8B2D16"/>
    <w:rsid w:val="00000147"/>
    <w:rsid w:val="00015B45"/>
    <w:rsid w:val="0001669B"/>
    <w:rsid w:val="00022A53"/>
    <w:rsid w:val="00035754"/>
    <w:rsid w:val="0005139D"/>
    <w:rsid w:val="000663AB"/>
    <w:rsid w:val="00077ADD"/>
    <w:rsid w:val="000935A4"/>
    <w:rsid w:val="000956C6"/>
    <w:rsid w:val="000B158E"/>
    <w:rsid w:val="000F0B9D"/>
    <w:rsid w:val="000F54D9"/>
    <w:rsid w:val="00127D96"/>
    <w:rsid w:val="0013306F"/>
    <w:rsid w:val="00160BF1"/>
    <w:rsid w:val="00173642"/>
    <w:rsid w:val="00176042"/>
    <w:rsid w:val="001D40B1"/>
    <w:rsid w:val="0022446D"/>
    <w:rsid w:val="00292FCF"/>
    <w:rsid w:val="002E0D0B"/>
    <w:rsid w:val="002F1A84"/>
    <w:rsid w:val="003379BD"/>
    <w:rsid w:val="00365E2D"/>
    <w:rsid w:val="00383CAE"/>
    <w:rsid w:val="003B1703"/>
    <w:rsid w:val="003C0FF5"/>
    <w:rsid w:val="003F4E3E"/>
    <w:rsid w:val="003F795D"/>
    <w:rsid w:val="00402997"/>
    <w:rsid w:val="00430A97"/>
    <w:rsid w:val="00466E58"/>
    <w:rsid w:val="004B523C"/>
    <w:rsid w:val="004C30F4"/>
    <w:rsid w:val="004C54BC"/>
    <w:rsid w:val="00530530"/>
    <w:rsid w:val="00553E19"/>
    <w:rsid w:val="00567266"/>
    <w:rsid w:val="00580570"/>
    <w:rsid w:val="005A51D0"/>
    <w:rsid w:val="005E3C8E"/>
    <w:rsid w:val="005E5DA7"/>
    <w:rsid w:val="005F7E96"/>
    <w:rsid w:val="006333AF"/>
    <w:rsid w:val="006348BE"/>
    <w:rsid w:val="006747CF"/>
    <w:rsid w:val="006B6DCA"/>
    <w:rsid w:val="006F026A"/>
    <w:rsid w:val="006F573F"/>
    <w:rsid w:val="00707CEE"/>
    <w:rsid w:val="00734481"/>
    <w:rsid w:val="00752930"/>
    <w:rsid w:val="00752A40"/>
    <w:rsid w:val="0077279E"/>
    <w:rsid w:val="00785A2C"/>
    <w:rsid w:val="007C6214"/>
    <w:rsid w:val="007F0B23"/>
    <w:rsid w:val="00822275"/>
    <w:rsid w:val="008270D2"/>
    <w:rsid w:val="008B2D16"/>
    <w:rsid w:val="00924831"/>
    <w:rsid w:val="00924AD6"/>
    <w:rsid w:val="00974E0B"/>
    <w:rsid w:val="00996169"/>
    <w:rsid w:val="009A56FF"/>
    <w:rsid w:val="009B3C84"/>
    <w:rsid w:val="00A0196A"/>
    <w:rsid w:val="00A33EC4"/>
    <w:rsid w:val="00A47015"/>
    <w:rsid w:val="00A8158A"/>
    <w:rsid w:val="00A84485"/>
    <w:rsid w:val="00A870B0"/>
    <w:rsid w:val="00AC77FA"/>
    <w:rsid w:val="00AD3C15"/>
    <w:rsid w:val="00AE3417"/>
    <w:rsid w:val="00AF6A1C"/>
    <w:rsid w:val="00B12E14"/>
    <w:rsid w:val="00B4461C"/>
    <w:rsid w:val="00B82A20"/>
    <w:rsid w:val="00BA551D"/>
    <w:rsid w:val="00BF3710"/>
    <w:rsid w:val="00BF7EEA"/>
    <w:rsid w:val="00C01170"/>
    <w:rsid w:val="00C16A29"/>
    <w:rsid w:val="00C27003"/>
    <w:rsid w:val="00C40145"/>
    <w:rsid w:val="00C470BC"/>
    <w:rsid w:val="00C54EFD"/>
    <w:rsid w:val="00C7659D"/>
    <w:rsid w:val="00C76770"/>
    <w:rsid w:val="00CB60D7"/>
    <w:rsid w:val="00D04307"/>
    <w:rsid w:val="00D2621A"/>
    <w:rsid w:val="00D6115D"/>
    <w:rsid w:val="00D61383"/>
    <w:rsid w:val="00D97A00"/>
    <w:rsid w:val="00DE240A"/>
    <w:rsid w:val="00DE554D"/>
    <w:rsid w:val="00E27EC6"/>
    <w:rsid w:val="00E4241A"/>
    <w:rsid w:val="00E73880"/>
    <w:rsid w:val="00EB4694"/>
    <w:rsid w:val="00EC6B0A"/>
    <w:rsid w:val="00EC7E95"/>
    <w:rsid w:val="00EE3841"/>
    <w:rsid w:val="00F2437B"/>
    <w:rsid w:val="00F432BE"/>
    <w:rsid w:val="00F52675"/>
    <w:rsid w:val="00F643B2"/>
    <w:rsid w:val="00F8082A"/>
    <w:rsid w:val="00F92BFC"/>
    <w:rsid w:val="00FF2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8DF26"/>
  <w15:docId w15:val="{7E611AE1-9345-4C1C-ADFE-C5B94A96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99" w:unhideWhenUsed="1" w:qFormat="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99"/>
    <w:qFormat/>
    <w:locked/>
    <w:rsid w:val="005F00A0"/>
    <w:rPr>
      <w:rFonts w:ascii="Tahoma" w:hAnsi="Tahoma" w:cs="Tahoma"/>
      <w:sz w:val="16"/>
      <w:szCs w:val="16"/>
    </w:rPr>
  </w:style>
  <w:style w:type="character" w:customStyle="1" w:styleId="af0">
    <w:name w:val="Текст выноски Знак"/>
    <w:basedOn w:val="a2"/>
    <w:link w:val="af"/>
    <w:uiPriority w:val="99"/>
    <w:qFormat/>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Hyperlink"/>
    <w:basedOn w:val="a2"/>
    <w:uiPriority w:val="49"/>
    <w:unhideWhenUsed/>
    <w:locked/>
    <w:rsid w:val="00752FB8"/>
    <w:rPr>
      <w:color w:val="0000FF" w:themeColor="hyperlink"/>
      <w:u w:val="single"/>
    </w:rPr>
  </w:style>
  <w:style w:type="character" w:styleId="af2">
    <w:name w:val="annotation reference"/>
    <w:basedOn w:val="a2"/>
    <w:uiPriority w:val="49"/>
    <w:semiHidden/>
    <w:unhideWhenUsed/>
    <w:locked/>
    <w:rsid w:val="00B05A13"/>
    <w:rPr>
      <w:sz w:val="16"/>
      <w:szCs w:val="16"/>
    </w:rPr>
  </w:style>
  <w:style w:type="paragraph" w:styleId="af3">
    <w:name w:val="annotation text"/>
    <w:basedOn w:val="a"/>
    <w:link w:val="af4"/>
    <w:uiPriority w:val="49"/>
    <w:semiHidden/>
    <w:unhideWhenUsed/>
    <w:locked/>
    <w:rsid w:val="00B05A13"/>
    <w:rPr>
      <w:sz w:val="20"/>
    </w:rPr>
  </w:style>
  <w:style w:type="character" w:customStyle="1" w:styleId="af4">
    <w:name w:val="Текст примечания Знак"/>
    <w:basedOn w:val="a2"/>
    <w:link w:val="af3"/>
    <w:uiPriority w:val="49"/>
    <w:semiHidden/>
    <w:rsid w:val="00B05A13"/>
    <w:rPr>
      <w:lang w:eastAsia="en-US"/>
    </w:rPr>
  </w:style>
  <w:style w:type="paragraph" w:styleId="af5">
    <w:name w:val="annotation subject"/>
    <w:basedOn w:val="af3"/>
    <w:next w:val="af3"/>
    <w:link w:val="af6"/>
    <w:uiPriority w:val="49"/>
    <w:semiHidden/>
    <w:unhideWhenUsed/>
    <w:locked/>
    <w:rsid w:val="00B05A13"/>
    <w:rPr>
      <w:b/>
      <w:bCs/>
    </w:rPr>
  </w:style>
  <w:style w:type="character" w:customStyle="1" w:styleId="af6">
    <w:name w:val="Тема примечания Знак"/>
    <w:basedOn w:val="af4"/>
    <w:link w:val="af5"/>
    <w:uiPriority w:val="49"/>
    <w:semiHidden/>
    <w:rsid w:val="00B05A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ALebedev@rosatom.ru" TargetMode="External"/><Relationship Id="rId18" Type="http://schemas.openxmlformats.org/officeDocument/2006/relationships/hyperlink" Target="https://www-legacy.iaea.org/About/Policy/GC/GC61/GC61Documents/English/gc61-24_en.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NVKozlova@rosatom.ru" TargetMode="External"/><Relationship Id="rId17" Type="http://schemas.openxmlformats.org/officeDocument/2006/relationships/hyperlink" Target="https://www.iaea.org/opic/annual-report-201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aea.org/sites/default/files/18/08/accpnm-unofficial-consolidated-text.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iaea.org/sites/default/files/19/09/gc63-russia_rus.pdf"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iaea.org/sites/default/files/16/12/english_ministerial_declaratio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aea.org/sites/default/files/gc/gc63-res8.pdf"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3.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5.xml><?xml version="1.0" encoding="utf-8"?>
<ds:datastoreItem xmlns:ds="http://schemas.openxmlformats.org/officeDocument/2006/customXml" ds:itemID="{2DEDD957-89BB-47C3-8360-6DA627B72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139</TotalTime>
  <Pages>5</Pages>
  <Words>3265</Words>
  <Characters>19910</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Лебедев Глеб Алексеевич</cp:lastModifiedBy>
  <cp:revision>25</cp:revision>
  <cp:lastPrinted>2020-01-29T15:46:00Z</cp:lastPrinted>
  <dcterms:created xsi:type="dcterms:W3CDTF">2020-02-04T12:02:00Z</dcterms:created>
  <dcterms:modified xsi:type="dcterms:W3CDTF">2020-02-05T14:04:00Z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0x010100D90D72D8323497419D0B0D490876AA9F</vt:lpwstr>
  </property>
  <property fmtid="{D5CDD505-2E9C-101B-9397-08002B2CF9AE}" pid="3" name="IaeaClassification">
    <vt:lpwstr/>
  </property>
  <property fmtid="{D5CDD505-2E9C-101B-9397-08002B2CF9AE}" pid="4" name="IaeaClassification2">
    <vt:lpwstr/>
  </property>
  <property fmtid="{D5CDD505-2E9C-101B-9397-08002B2CF9AE}" pid="5" name="IaeaClassificationDate">
    <vt:lpwstr/>
  </property>
  <property fmtid="{D5CDD505-2E9C-101B-9397-08002B2CF9AE}" pid="6" name="IaeaConfidentialAttachments">
    <vt:lpwstr/>
  </property>
  <property fmtid="{D5CDD505-2E9C-101B-9397-08002B2CF9AE}" pid="7" name="IaeaDistribution">
    <vt:lpwstr/>
  </property>
  <property fmtid="{D5CDD505-2E9C-101B-9397-08002B2CF9AE}" pid="8" name="IaeaSecurityClassifier">
    <vt:lpwstr/>
  </property>
  <property fmtid="{D5CDD505-2E9C-101B-9397-08002B2CF9AE}" pid="9" name="IaeaSensitivity">
    <vt:lpwstr/>
  </property>
  <property fmtid="{D5CDD505-2E9C-101B-9397-08002B2CF9AE}" pid="10" name="IaeaTransmission">
    <vt:lpwstr/>
  </property>
  <property fmtid="{D5CDD505-2E9C-101B-9397-08002B2CF9AE}" pid="11" name="Typist">
    <vt:lpwstr>Initials-Ext</vt:lpwstr>
  </property>
  <property fmtid="{D5CDD505-2E9C-101B-9397-08002B2CF9AE}" pid="12" name="_dlc_DocIdItemGuid">
    <vt:lpwstr>624d8e63-e3f6-4681-83c2-57c583c02431</vt:lpwstr>
  </property>
</Properties>
</file>