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3486B" w14:textId="7114DCAF" w:rsidR="005843A7" w:rsidRPr="005843A7" w:rsidRDefault="00205797" w:rsidP="005843A7">
      <w:pPr>
        <w:pStyle w:val="Date"/>
        <w:rPr>
          <w:rFonts w:ascii="Arial" w:hAnsi="Arial"/>
        </w:rPr>
      </w:pPr>
      <w:r>
        <w:rPr>
          <w:rFonts w:ascii="Arial" w:hAnsi="Arial"/>
        </w:rPr>
        <w:t xml:space="preserve">29 </w:t>
      </w:r>
      <w:r w:rsidR="00C970B5">
        <w:rPr>
          <w:rFonts w:ascii="Arial" w:hAnsi="Arial"/>
        </w:rPr>
        <w:t>November</w:t>
      </w:r>
      <w:bookmarkStart w:id="0" w:name="_GoBack"/>
      <w:bookmarkEnd w:id="0"/>
      <w:r>
        <w:rPr>
          <w:rFonts w:ascii="Arial" w:hAnsi="Arial"/>
        </w:rPr>
        <w:t xml:space="preserve"> 2019</w:t>
      </w:r>
    </w:p>
    <w:p w14:paraId="001E1787" w14:textId="77777777" w:rsidR="003E17B6" w:rsidRPr="00205797" w:rsidRDefault="00205797">
      <w:pPr>
        <w:pStyle w:val="Title"/>
        <w:rPr>
          <w:rFonts w:ascii="Arial" w:hAnsi="Arial"/>
        </w:rPr>
      </w:pPr>
      <w:r>
        <w:rPr>
          <w:rFonts w:ascii="Arial" w:hAnsi="Arial"/>
        </w:rPr>
        <w:t>A co-ordinated responsE to nuclear security events – Challenges and opportunities</w:t>
      </w:r>
    </w:p>
    <w:p w14:paraId="1D7943AD" w14:textId="77777777" w:rsidR="003E17B6" w:rsidRPr="00205797" w:rsidRDefault="00205797">
      <w:pPr>
        <w:pStyle w:val="Heading1"/>
        <w:rPr>
          <w:rFonts w:ascii="Arial" w:hAnsi="Arial"/>
        </w:rPr>
      </w:pPr>
      <w:r>
        <w:rPr>
          <w:rFonts w:ascii="Arial" w:hAnsi="Arial"/>
        </w:rPr>
        <w:t>Summary</w:t>
      </w:r>
    </w:p>
    <w:p w14:paraId="50260F14" w14:textId="4180DF41" w:rsidR="003E17B6" w:rsidRPr="00205797" w:rsidRDefault="00205797">
      <w:pPr>
        <w:rPr>
          <w:rFonts w:ascii="Arial" w:hAnsi="Arial"/>
        </w:rPr>
      </w:pPr>
      <w:r>
        <w:rPr>
          <w:rFonts w:ascii="Arial" w:hAnsi="Arial"/>
        </w:rPr>
        <w:t xml:space="preserve">Nuclear Security Events (NSEs) represent serious risks to the </w:t>
      </w:r>
      <w:r w:rsidR="00D04A3A">
        <w:rPr>
          <w:rFonts w:ascii="Arial" w:hAnsi="Arial"/>
        </w:rPr>
        <w:t xml:space="preserve">public and </w:t>
      </w:r>
      <w:r>
        <w:rPr>
          <w:rFonts w:ascii="Arial" w:hAnsi="Arial"/>
        </w:rPr>
        <w:t xml:space="preserve">responding services </w:t>
      </w:r>
      <w:r w:rsidR="00D04A3A">
        <w:rPr>
          <w:rFonts w:ascii="Arial" w:hAnsi="Arial"/>
        </w:rPr>
        <w:t xml:space="preserve">alike </w:t>
      </w:r>
      <w:r>
        <w:rPr>
          <w:rFonts w:ascii="Arial" w:hAnsi="Arial"/>
        </w:rPr>
        <w:t xml:space="preserve">and are </w:t>
      </w:r>
      <w:r w:rsidR="00D04A3A">
        <w:rPr>
          <w:rFonts w:ascii="Arial" w:hAnsi="Arial"/>
        </w:rPr>
        <w:t xml:space="preserve">extremely </w:t>
      </w:r>
      <w:r>
        <w:rPr>
          <w:rFonts w:ascii="Arial" w:hAnsi="Arial"/>
        </w:rPr>
        <w:t xml:space="preserve">complex situations to resolve. It is essential therefore that </w:t>
      </w:r>
      <w:r w:rsidR="00D04A3A">
        <w:rPr>
          <w:rFonts w:ascii="Arial" w:hAnsi="Arial"/>
        </w:rPr>
        <w:t xml:space="preserve">States have </w:t>
      </w:r>
      <w:r>
        <w:rPr>
          <w:rFonts w:ascii="Arial" w:hAnsi="Arial"/>
        </w:rPr>
        <w:t xml:space="preserve">a clear </w:t>
      </w:r>
      <w:r w:rsidR="00F36240">
        <w:rPr>
          <w:rFonts w:ascii="Arial" w:hAnsi="Arial"/>
        </w:rPr>
        <w:t>framework</w:t>
      </w:r>
      <w:r>
        <w:rPr>
          <w:rFonts w:ascii="Arial" w:hAnsi="Arial"/>
        </w:rPr>
        <w:t xml:space="preserve"> </w:t>
      </w:r>
      <w:r w:rsidR="00D04A3A">
        <w:rPr>
          <w:rFonts w:ascii="Arial" w:hAnsi="Arial"/>
        </w:rPr>
        <w:t xml:space="preserve">to </w:t>
      </w:r>
      <w:r>
        <w:rPr>
          <w:rFonts w:ascii="Arial" w:hAnsi="Arial"/>
        </w:rPr>
        <w:t xml:space="preserve">deal with all aspects of those risks and that </w:t>
      </w:r>
      <w:r w:rsidR="00F36240">
        <w:rPr>
          <w:rFonts w:ascii="Arial" w:hAnsi="Arial"/>
        </w:rPr>
        <w:t>supporting</w:t>
      </w:r>
      <w:r>
        <w:rPr>
          <w:rFonts w:ascii="Arial" w:hAnsi="Arial"/>
        </w:rPr>
        <w:t xml:space="preserve"> plan</w:t>
      </w:r>
      <w:r w:rsidR="00F36240">
        <w:rPr>
          <w:rFonts w:ascii="Arial" w:hAnsi="Arial"/>
        </w:rPr>
        <w:t>s</w:t>
      </w:r>
      <w:r>
        <w:rPr>
          <w:rFonts w:ascii="Arial" w:hAnsi="Arial"/>
        </w:rPr>
        <w:t xml:space="preserve"> facilitate the effective joint-working of multiple-agencies. The IAEA will publish formal guidance </w:t>
      </w:r>
      <w:r w:rsidR="00EB1691">
        <w:rPr>
          <w:rFonts w:ascii="Arial" w:hAnsi="Arial"/>
        </w:rPr>
        <w:t xml:space="preserve">on this issue </w:t>
      </w:r>
      <w:r>
        <w:rPr>
          <w:rFonts w:ascii="Arial" w:hAnsi="Arial"/>
        </w:rPr>
        <w:t>shortly. This paper is intended to share experiences gained so far</w:t>
      </w:r>
      <w:r w:rsidR="00F36240">
        <w:rPr>
          <w:rFonts w:ascii="Arial" w:hAnsi="Arial"/>
        </w:rPr>
        <w:t xml:space="preserve"> during the development of that guidance</w:t>
      </w:r>
      <w:r>
        <w:rPr>
          <w:rFonts w:ascii="Arial" w:hAnsi="Arial"/>
        </w:rPr>
        <w:t xml:space="preserve"> in designing, delivering and sustaining capabilities required to provide an effective multi-agency response to NSE’s.</w:t>
      </w:r>
    </w:p>
    <w:p w14:paraId="5F1D4236" w14:textId="77777777" w:rsidR="003E17B6" w:rsidRPr="00205797" w:rsidRDefault="003E17B6" w:rsidP="00205797">
      <w:pPr>
        <w:pStyle w:val="Heading3"/>
        <w:numPr>
          <w:ilvl w:val="0"/>
          <w:numId w:val="0"/>
        </w:numPr>
        <w:rPr>
          <w:rFonts w:ascii="Arial" w:hAnsi="Arial"/>
        </w:rPr>
      </w:pPr>
    </w:p>
    <w:p w14:paraId="00820A8E" w14:textId="77777777" w:rsidR="003E17B6" w:rsidRPr="00F36240" w:rsidRDefault="00F36240" w:rsidP="00F36240">
      <w:pPr>
        <w:pStyle w:val="Heading1"/>
        <w:rPr>
          <w:rFonts w:ascii="Arial" w:hAnsi="Arial" w:cs="Arial"/>
        </w:rPr>
      </w:pPr>
      <w:r w:rsidRPr="00F36240">
        <w:rPr>
          <w:rFonts w:ascii="Arial" w:hAnsi="Arial" w:cs="Arial"/>
        </w:rPr>
        <w:t>challenges</w:t>
      </w:r>
    </w:p>
    <w:p w14:paraId="17DBA382" w14:textId="08018613" w:rsidR="003E17B6" w:rsidRDefault="00F36240" w:rsidP="00F36240">
      <w:pPr>
        <w:rPr>
          <w:rFonts w:ascii="Arial" w:hAnsi="Arial"/>
        </w:rPr>
      </w:pPr>
      <w:r>
        <w:rPr>
          <w:rFonts w:ascii="Arial" w:hAnsi="Arial"/>
        </w:rPr>
        <w:t xml:space="preserve">Several workshops at national, regional and international level have been delivered to Member States </w:t>
      </w:r>
      <w:r w:rsidR="00EB1691">
        <w:rPr>
          <w:rFonts w:ascii="Arial" w:hAnsi="Arial"/>
        </w:rPr>
        <w:t xml:space="preserve">(MS) </w:t>
      </w:r>
      <w:r>
        <w:rPr>
          <w:rFonts w:ascii="Arial" w:hAnsi="Arial"/>
        </w:rPr>
        <w:t xml:space="preserve">during the development of the </w:t>
      </w:r>
      <w:r w:rsidR="00EB1691">
        <w:rPr>
          <w:rFonts w:ascii="Arial" w:hAnsi="Arial"/>
        </w:rPr>
        <w:t>National F</w:t>
      </w:r>
      <w:r>
        <w:rPr>
          <w:rFonts w:ascii="Arial" w:hAnsi="Arial"/>
        </w:rPr>
        <w:t xml:space="preserve">ramework guidance. Without exception, </w:t>
      </w:r>
      <w:proofErr w:type="gramStart"/>
      <w:r>
        <w:rPr>
          <w:rFonts w:ascii="Arial" w:hAnsi="Arial"/>
        </w:rPr>
        <w:t>those MS</w:t>
      </w:r>
      <w:proofErr w:type="gramEnd"/>
      <w:r>
        <w:rPr>
          <w:rFonts w:ascii="Arial" w:hAnsi="Arial"/>
        </w:rPr>
        <w:t xml:space="preserve"> which have received the workshops have comment</w:t>
      </w:r>
      <w:r w:rsidR="00EB1691">
        <w:rPr>
          <w:rFonts w:ascii="Arial" w:hAnsi="Arial"/>
        </w:rPr>
        <w:t>ed</w:t>
      </w:r>
      <w:r>
        <w:rPr>
          <w:rFonts w:ascii="Arial" w:hAnsi="Arial"/>
        </w:rPr>
        <w:t xml:space="preserve"> positively on the added value provided by </w:t>
      </w:r>
      <w:r w:rsidR="00EB1691">
        <w:rPr>
          <w:rFonts w:ascii="Arial" w:hAnsi="Arial"/>
        </w:rPr>
        <w:t xml:space="preserve">having </w:t>
      </w:r>
      <w:r>
        <w:rPr>
          <w:rFonts w:ascii="Arial" w:hAnsi="Arial"/>
        </w:rPr>
        <w:t xml:space="preserve">a </w:t>
      </w:r>
      <w:r w:rsidR="00EB1691">
        <w:rPr>
          <w:rFonts w:ascii="Arial" w:hAnsi="Arial"/>
        </w:rPr>
        <w:t xml:space="preserve">well-structured and clearly defined </w:t>
      </w:r>
      <w:r>
        <w:rPr>
          <w:rFonts w:ascii="Arial" w:hAnsi="Arial"/>
        </w:rPr>
        <w:t xml:space="preserve">national framework for dealing with NSEs. A number of challenges have been identified </w:t>
      </w:r>
      <w:r w:rsidR="00EB1691">
        <w:rPr>
          <w:rFonts w:ascii="Arial" w:hAnsi="Arial"/>
        </w:rPr>
        <w:t xml:space="preserve">by MS </w:t>
      </w:r>
      <w:r>
        <w:rPr>
          <w:rFonts w:ascii="Arial" w:hAnsi="Arial"/>
        </w:rPr>
        <w:t>during the workshops and some options for facing up to those challenges</w:t>
      </w:r>
      <w:r w:rsidR="00EB1691">
        <w:rPr>
          <w:rFonts w:ascii="Arial" w:hAnsi="Arial"/>
        </w:rPr>
        <w:t xml:space="preserve"> considered</w:t>
      </w:r>
      <w:r>
        <w:rPr>
          <w:rFonts w:ascii="Arial" w:hAnsi="Arial"/>
        </w:rPr>
        <w:t>.</w:t>
      </w:r>
    </w:p>
    <w:p w14:paraId="2DD88517" w14:textId="5229D555" w:rsidR="0026373B" w:rsidRPr="0026373B" w:rsidRDefault="00F36240" w:rsidP="0026373B">
      <w:pPr>
        <w:pStyle w:val="ListParagraph"/>
        <w:numPr>
          <w:ilvl w:val="0"/>
          <w:numId w:val="2"/>
        </w:numPr>
        <w:rPr>
          <w:rFonts w:ascii="Arial" w:hAnsi="Arial"/>
        </w:rPr>
      </w:pPr>
      <w:r w:rsidRPr="00E130C7">
        <w:rPr>
          <w:rFonts w:ascii="Arial" w:hAnsi="Arial"/>
          <w:b/>
        </w:rPr>
        <w:t>Joint planning</w:t>
      </w:r>
      <w:r>
        <w:rPr>
          <w:rFonts w:ascii="Arial" w:hAnsi="Arial"/>
        </w:rPr>
        <w:t xml:space="preserve">: responding services are very capable of developing plans to deploy their </w:t>
      </w:r>
      <w:r w:rsidR="00EB1691">
        <w:rPr>
          <w:rFonts w:ascii="Arial" w:hAnsi="Arial"/>
        </w:rPr>
        <w:t xml:space="preserve">own response </w:t>
      </w:r>
      <w:r>
        <w:rPr>
          <w:rFonts w:ascii="Arial" w:hAnsi="Arial"/>
        </w:rPr>
        <w:t>capabilit</w:t>
      </w:r>
      <w:r w:rsidR="00EB1691">
        <w:rPr>
          <w:rFonts w:ascii="Arial" w:hAnsi="Arial"/>
        </w:rPr>
        <w:t>ies</w:t>
      </w:r>
      <w:r>
        <w:rPr>
          <w:rFonts w:ascii="Arial" w:hAnsi="Arial"/>
        </w:rPr>
        <w:t xml:space="preserve"> to the scene of a</w:t>
      </w:r>
      <w:r w:rsidR="00EB1691">
        <w:rPr>
          <w:rFonts w:ascii="Arial" w:hAnsi="Arial"/>
        </w:rPr>
        <w:t>n</w:t>
      </w:r>
      <w:r>
        <w:rPr>
          <w:rFonts w:ascii="Arial" w:hAnsi="Arial"/>
        </w:rPr>
        <w:t xml:space="preserve"> NSE. However, there is often a reluctance to participate in joint </w:t>
      </w:r>
      <w:r w:rsidR="00EB1691">
        <w:rPr>
          <w:rFonts w:ascii="Arial" w:hAnsi="Arial"/>
        </w:rPr>
        <w:t xml:space="preserve">agency </w:t>
      </w:r>
      <w:r>
        <w:rPr>
          <w:rFonts w:ascii="Arial" w:hAnsi="Arial"/>
        </w:rPr>
        <w:t xml:space="preserve">planning sessions as this implies a loss of control. </w:t>
      </w:r>
    </w:p>
    <w:p w14:paraId="1032DB1F" w14:textId="77777777" w:rsidR="0026373B" w:rsidRDefault="0049511A" w:rsidP="0026373B">
      <w:pPr>
        <w:ind w:left="1080"/>
        <w:rPr>
          <w:rFonts w:ascii="Arial" w:hAnsi="Arial"/>
        </w:rPr>
      </w:pPr>
      <w:r w:rsidRPr="0026373B">
        <w:rPr>
          <w:rFonts w:ascii="Arial" w:hAnsi="Arial"/>
        </w:rPr>
        <w:t xml:space="preserve">The workshops were able to convince delegates of the vital importance of joint planning and </w:t>
      </w:r>
      <w:r w:rsidR="001C30D2" w:rsidRPr="0026373B">
        <w:rPr>
          <w:rFonts w:ascii="Arial" w:hAnsi="Arial"/>
        </w:rPr>
        <w:t xml:space="preserve">the development of </w:t>
      </w:r>
      <w:r w:rsidRPr="0026373B">
        <w:rPr>
          <w:rFonts w:ascii="Arial" w:hAnsi="Arial"/>
        </w:rPr>
        <w:t xml:space="preserve">multi-agency concepts of operation which are </w:t>
      </w:r>
      <w:r w:rsidR="001C30D2" w:rsidRPr="0026373B">
        <w:rPr>
          <w:rFonts w:ascii="Arial" w:hAnsi="Arial"/>
        </w:rPr>
        <w:t xml:space="preserve">necessary </w:t>
      </w:r>
      <w:r w:rsidRPr="0026373B">
        <w:rPr>
          <w:rFonts w:ascii="Arial" w:hAnsi="Arial"/>
        </w:rPr>
        <w:t xml:space="preserve">to deliver </w:t>
      </w:r>
      <w:r w:rsidR="001C30D2" w:rsidRPr="0026373B">
        <w:rPr>
          <w:rFonts w:ascii="Arial" w:hAnsi="Arial"/>
        </w:rPr>
        <w:t xml:space="preserve">a joint </w:t>
      </w:r>
      <w:r w:rsidRPr="0026373B">
        <w:rPr>
          <w:rFonts w:ascii="Arial" w:hAnsi="Arial"/>
        </w:rPr>
        <w:t>plan.</w:t>
      </w:r>
      <w:r w:rsidR="00586B29" w:rsidRPr="0026373B">
        <w:rPr>
          <w:rFonts w:ascii="Arial" w:hAnsi="Arial"/>
        </w:rPr>
        <w:t xml:space="preserve"> </w:t>
      </w:r>
    </w:p>
    <w:p w14:paraId="710860A1" w14:textId="410D32C0" w:rsidR="004344AF" w:rsidRDefault="00586B29" w:rsidP="0026373B">
      <w:pPr>
        <w:ind w:left="1080"/>
        <w:rPr>
          <w:rFonts w:ascii="Arial" w:hAnsi="Arial"/>
        </w:rPr>
      </w:pPr>
      <w:r w:rsidRPr="0026373B">
        <w:rPr>
          <w:rFonts w:ascii="Arial" w:hAnsi="Arial"/>
        </w:rPr>
        <w:lastRenderedPageBreak/>
        <w:t xml:space="preserve">The Workshops were designed around the development of a terrorist/malicious attack over a period of time and mini-scenarios or vignettes were presented to the delegates so that they could test the existing levels of expertise and capability. </w:t>
      </w:r>
      <w:r w:rsidR="004344AF">
        <w:rPr>
          <w:rFonts w:ascii="Arial" w:hAnsi="Arial"/>
        </w:rPr>
        <w:t>To be most effective, those scenarios should be based on a risk assessment which indicates the levels of probability and impact</w:t>
      </w:r>
      <w:r w:rsidR="00331CBA">
        <w:rPr>
          <w:rFonts w:ascii="Arial" w:hAnsi="Arial"/>
        </w:rPr>
        <w:t>. If the scenarios had not been realistic there could have been a lack of engagement by delegates during the workshops.</w:t>
      </w:r>
    </w:p>
    <w:p w14:paraId="08F6F6B4" w14:textId="77777777" w:rsidR="004344AF" w:rsidRDefault="004344AF" w:rsidP="0026373B">
      <w:pPr>
        <w:ind w:left="1080"/>
        <w:rPr>
          <w:rFonts w:ascii="Arial" w:hAnsi="Arial"/>
        </w:rPr>
      </w:pPr>
    </w:p>
    <w:p w14:paraId="601C755D" w14:textId="69700183" w:rsidR="00F36240" w:rsidRPr="0026373B" w:rsidRDefault="00586B29" w:rsidP="0026373B">
      <w:pPr>
        <w:ind w:left="1080"/>
        <w:rPr>
          <w:rFonts w:ascii="Arial" w:hAnsi="Arial"/>
        </w:rPr>
      </w:pPr>
      <w:r w:rsidRPr="0026373B">
        <w:rPr>
          <w:rFonts w:ascii="Arial" w:hAnsi="Arial"/>
        </w:rPr>
        <w:t>In many cases, the scenarios revealed a proliferation of plans but often without a clear hierarchy or under</w:t>
      </w:r>
      <w:r w:rsidR="006F351E" w:rsidRPr="0026373B">
        <w:rPr>
          <w:rFonts w:ascii="Arial" w:hAnsi="Arial"/>
        </w:rPr>
        <w:t>standing of how plans need to fit together to be fully effective. Similarly, single agency concepts of operation were the norm. From my own experience of developing CBRN plans in the UK the emergency services are</w:t>
      </w:r>
      <w:r w:rsidR="006B38F1">
        <w:rPr>
          <w:rFonts w:ascii="Arial" w:hAnsi="Arial"/>
        </w:rPr>
        <w:t xml:space="preserve"> always</w:t>
      </w:r>
      <w:r w:rsidR="006F351E" w:rsidRPr="0026373B">
        <w:rPr>
          <w:rFonts w:ascii="Arial" w:hAnsi="Arial"/>
        </w:rPr>
        <w:t xml:space="preserve"> </w:t>
      </w:r>
      <w:r w:rsidR="006B38F1">
        <w:rPr>
          <w:rFonts w:ascii="Arial" w:hAnsi="Arial"/>
        </w:rPr>
        <w:t>very</w:t>
      </w:r>
      <w:r w:rsidR="006F351E" w:rsidRPr="0026373B">
        <w:rPr>
          <w:rFonts w:ascii="Arial" w:hAnsi="Arial"/>
        </w:rPr>
        <w:t xml:space="preserve"> focused on their own role and </w:t>
      </w:r>
      <w:r w:rsidR="006B38F1">
        <w:rPr>
          <w:rFonts w:ascii="Arial" w:hAnsi="Arial"/>
        </w:rPr>
        <w:t xml:space="preserve">may often </w:t>
      </w:r>
      <w:r w:rsidR="006F351E" w:rsidRPr="0026373B">
        <w:rPr>
          <w:rFonts w:ascii="Arial" w:hAnsi="Arial"/>
        </w:rPr>
        <w:t xml:space="preserve">not </w:t>
      </w:r>
      <w:r w:rsidR="006B38F1">
        <w:rPr>
          <w:rFonts w:ascii="Arial" w:hAnsi="Arial"/>
        </w:rPr>
        <w:t>be fully</w:t>
      </w:r>
      <w:r w:rsidR="0026373B" w:rsidRPr="0026373B">
        <w:rPr>
          <w:rFonts w:ascii="Arial" w:hAnsi="Arial"/>
        </w:rPr>
        <w:t xml:space="preserve"> aware of the role of others. This is particularly the case in situations which are</w:t>
      </w:r>
      <w:r w:rsidR="006B38F1">
        <w:rPr>
          <w:rFonts w:ascii="Arial" w:hAnsi="Arial"/>
        </w:rPr>
        <w:t xml:space="preserve"> not regular occurrences</w:t>
      </w:r>
      <w:r w:rsidR="0026373B" w:rsidRPr="0026373B">
        <w:rPr>
          <w:rFonts w:ascii="Arial" w:hAnsi="Arial"/>
        </w:rPr>
        <w:t xml:space="preserve"> or where plans have not been tested during an exercise.</w:t>
      </w:r>
    </w:p>
    <w:p w14:paraId="3ECF4C89" w14:textId="77777777" w:rsidR="003E148C" w:rsidRDefault="003E148C" w:rsidP="003E148C">
      <w:pPr>
        <w:pStyle w:val="ListParagraph"/>
        <w:ind w:left="1080"/>
        <w:rPr>
          <w:rFonts w:ascii="Arial" w:hAnsi="Arial"/>
        </w:rPr>
      </w:pPr>
    </w:p>
    <w:p w14:paraId="43C1C18C" w14:textId="77777777" w:rsidR="006B38F1" w:rsidRDefault="0049511A" w:rsidP="00F36240">
      <w:pPr>
        <w:pStyle w:val="ListParagraph"/>
        <w:numPr>
          <w:ilvl w:val="0"/>
          <w:numId w:val="2"/>
        </w:numPr>
        <w:rPr>
          <w:rFonts w:ascii="Arial" w:hAnsi="Arial"/>
        </w:rPr>
      </w:pPr>
      <w:r w:rsidRPr="00E130C7">
        <w:rPr>
          <w:rFonts w:ascii="Arial" w:hAnsi="Arial"/>
          <w:b/>
        </w:rPr>
        <w:t>Ownership of the planning process and the response:</w:t>
      </w:r>
      <w:r>
        <w:rPr>
          <w:rFonts w:ascii="Arial" w:hAnsi="Arial"/>
        </w:rPr>
        <w:t xml:space="preserve"> unless the </w:t>
      </w:r>
      <w:proofErr w:type="spellStart"/>
      <w:r>
        <w:rPr>
          <w:rFonts w:ascii="Arial" w:hAnsi="Arial"/>
        </w:rPr>
        <w:t>organisational</w:t>
      </w:r>
      <w:proofErr w:type="spellEnd"/>
      <w:r>
        <w:rPr>
          <w:rFonts w:ascii="Arial" w:hAnsi="Arial"/>
        </w:rPr>
        <w:t xml:space="preserve"> hierarchy is </w:t>
      </w:r>
      <w:r w:rsidR="001C30D2">
        <w:rPr>
          <w:rFonts w:ascii="Arial" w:hAnsi="Arial"/>
        </w:rPr>
        <w:t xml:space="preserve">clearly </w:t>
      </w:r>
      <w:r>
        <w:rPr>
          <w:rFonts w:ascii="Arial" w:hAnsi="Arial"/>
        </w:rPr>
        <w:t xml:space="preserve">identified and </w:t>
      </w:r>
      <w:r w:rsidR="001C30D2">
        <w:rPr>
          <w:rFonts w:ascii="Arial" w:hAnsi="Arial"/>
        </w:rPr>
        <w:t xml:space="preserve">formally </w:t>
      </w:r>
      <w:r>
        <w:rPr>
          <w:rFonts w:ascii="Arial" w:hAnsi="Arial"/>
        </w:rPr>
        <w:t xml:space="preserve">agreed by all stakeholders, it is likely that levels of commitment </w:t>
      </w:r>
      <w:r w:rsidR="001C30D2">
        <w:rPr>
          <w:rFonts w:ascii="Arial" w:hAnsi="Arial"/>
        </w:rPr>
        <w:t xml:space="preserve">from stakeholders </w:t>
      </w:r>
      <w:r>
        <w:rPr>
          <w:rFonts w:ascii="Arial" w:hAnsi="Arial"/>
        </w:rPr>
        <w:t>will be sub-optimal or, even worse, the command and control arrangements lose clarity and become confused.</w:t>
      </w:r>
      <w:r w:rsidR="0026373B">
        <w:rPr>
          <w:rFonts w:ascii="Arial" w:hAnsi="Arial"/>
        </w:rPr>
        <w:t xml:space="preserve"> </w:t>
      </w:r>
    </w:p>
    <w:p w14:paraId="31B7FA8A" w14:textId="416FC93D" w:rsidR="0049511A" w:rsidRDefault="0026373B" w:rsidP="006B38F1">
      <w:pPr>
        <w:ind w:left="1080"/>
        <w:rPr>
          <w:rFonts w:ascii="Arial" w:hAnsi="Arial"/>
        </w:rPr>
      </w:pPr>
      <w:r w:rsidRPr="006B38F1">
        <w:rPr>
          <w:rFonts w:ascii="Arial" w:hAnsi="Arial"/>
        </w:rPr>
        <w:t xml:space="preserve">A frequent situation encountered during the workshops was uncertainty over who was in charge and over the appropriate level at which decisions should be made. In the worst cases, relatively straightforward decisions were </w:t>
      </w:r>
      <w:r w:rsidR="006B38F1">
        <w:rPr>
          <w:rFonts w:ascii="Arial" w:hAnsi="Arial"/>
        </w:rPr>
        <w:t>being relayed to very senior (even Prime Min</w:t>
      </w:r>
      <w:r w:rsidR="004344AF">
        <w:rPr>
          <w:rFonts w:ascii="Arial" w:hAnsi="Arial"/>
        </w:rPr>
        <w:t>i</w:t>
      </w:r>
      <w:r w:rsidR="006B38F1">
        <w:rPr>
          <w:rFonts w:ascii="Arial" w:hAnsi="Arial"/>
        </w:rPr>
        <w:t xml:space="preserve">sterial) level leading to severe delays to the operational response. In real incidents these delays could easily result in loss of life which could otherwise have been avoided. </w:t>
      </w:r>
    </w:p>
    <w:p w14:paraId="7A3D07F8" w14:textId="0C183153" w:rsidR="006B38F1" w:rsidRPr="006B38F1" w:rsidRDefault="006B38F1" w:rsidP="006B38F1">
      <w:pPr>
        <w:ind w:left="1080"/>
        <w:rPr>
          <w:rFonts w:ascii="Arial" w:hAnsi="Arial"/>
        </w:rPr>
      </w:pPr>
      <w:r>
        <w:rPr>
          <w:rFonts w:ascii="Arial" w:hAnsi="Arial"/>
        </w:rPr>
        <w:t xml:space="preserve">It has to be recognized that agreements between ministries on hierarchies and lines of responsibility are not always straightforward to </w:t>
      </w:r>
      <w:r w:rsidR="004344AF">
        <w:rPr>
          <w:rFonts w:ascii="Arial" w:hAnsi="Arial"/>
        </w:rPr>
        <w:t xml:space="preserve">achieve – sometimes there are overlapping </w:t>
      </w:r>
      <w:r w:rsidR="00331CBA">
        <w:rPr>
          <w:rFonts w:ascii="Arial" w:hAnsi="Arial"/>
        </w:rPr>
        <w:t>responsibilities</w:t>
      </w:r>
      <w:r>
        <w:rPr>
          <w:rFonts w:ascii="Arial" w:hAnsi="Arial"/>
        </w:rPr>
        <w:t>. A consensus has to be generated so that meaningful discussions on planning and responding can take place. The alternative would be lengthy debates at the time of the incident bringing about the same situation described above.</w:t>
      </w:r>
    </w:p>
    <w:p w14:paraId="4FA3E2D7" w14:textId="77777777" w:rsidR="003E148C" w:rsidRDefault="003E148C" w:rsidP="003E148C">
      <w:pPr>
        <w:pStyle w:val="ListParagraph"/>
        <w:ind w:left="1080"/>
        <w:rPr>
          <w:rFonts w:ascii="Arial" w:hAnsi="Arial"/>
        </w:rPr>
      </w:pPr>
    </w:p>
    <w:p w14:paraId="5D423755" w14:textId="23B0195A" w:rsidR="0049511A" w:rsidRDefault="0049511A" w:rsidP="00F36240">
      <w:pPr>
        <w:pStyle w:val="ListParagraph"/>
        <w:numPr>
          <w:ilvl w:val="0"/>
          <w:numId w:val="2"/>
        </w:numPr>
        <w:rPr>
          <w:rFonts w:ascii="Arial" w:hAnsi="Arial"/>
        </w:rPr>
      </w:pPr>
      <w:r w:rsidRPr="00E130C7">
        <w:rPr>
          <w:rFonts w:ascii="Arial" w:hAnsi="Arial"/>
          <w:b/>
        </w:rPr>
        <w:t>Capability development:</w:t>
      </w:r>
      <w:r>
        <w:rPr>
          <w:rFonts w:ascii="Arial" w:hAnsi="Arial"/>
        </w:rPr>
        <w:t xml:space="preserve"> a particular </w:t>
      </w:r>
      <w:r w:rsidR="001C30D2">
        <w:rPr>
          <w:rFonts w:ascii="Arial" w:hAnsi="Arial"/>
        </w:rPr>
        <w:t xml:space="preserve">challenge </w:t>
      </w:r>
      <w:r>
        <w:rPr>
          <w:rFonts w:ascii="Arial" w:hAnsi="Arial"/>
        </w:rPr>
        <w:t xml:space="preserve">has been </w:t>
      </w:r>
      <w:r w:rsidR="001C30D2">
        <w:rPr>
          <w:rFonts w:ascii="Arial" w:hAnsi="Arial"/>
        </w:rPr>
        <w:t xml:space="preserve">an </w:t>
      </w:r>
      <w:r>
        <w:rPr>
          <w:rFonts w:ascii="Arial" w:hAnsi="Arial"/>
        </w:rPr>
        <w:t xml:space="preserve">undue focus on </w:t>
      </w:r>
      <w:r w:rsidR="001C30D2">
        <w:rPr>
          <w:rFonts w:ascii="Arial" w:hAnsi="Arial"/>
        </w:rPr>
        <w:t xml:space="preserve">the procurement of </w:t>
      </w:r>
      <w:r>
        <w:rPr>
          <w:rFonts w:ascii="Arial" w:hAnsi="Arial"/>
        </w:rPr>
        <w:t xml:space="preserve">detection equipment without an associated deployment strategy, a clear understanding of the limitations of the equipment, </w:t>
      </w:r>
      <w:r w:rsidR="001C30D2">
        <w:rPr>
          <w:rFonts w:ascii="Arial" w:hAnsi="Arial"/>
        </w:rPr>
        <w:t>or</w:t>
      </w:r>
      <w:r>
        <w:rPr>
          <w:rFonts w:ascii="Arial" w:hAnsi="Arial"/>
        </w:rPr>
        <w:t xml:space="preserve"> </w:t>
      </w:r>
      <w:r w:rsidR="006B38F1">
        <w:rPr>
          <w:rFonts w:ascii="Arial" w:hAnsi="Arial"/>
        </w:rPr>
        <w:t xml:space="preserve">indeed, </w:t>
      </w:r>
      <w:r>
        <w:rPr>
          <w:rFonts w:ascii="Arial" w:hAnsi="Arial"/>
        </w:rPr>
        <w:t>trained and equipped personnel who can interpret the output of the equipment and take appropriate action without delay.</w:t>
      </w:r>
    </w:p>
    <w:p w14:paraId="35C949E4" w14:textId="5A4D24AC" w:rsidR="006B38F1" w:rsidRDefault="006B38F1" w:rsidP="006B38F1">
      <w:pPr>
        <w:ind w:left="1080"/>
        <w:rPr>
          <w:rFonts w:ascii="Arial" w:hAnsi="Arial"/>
        </w:rPr>
      </w:pPr>
      <w:r>
        <w:rPr>
          <w:rFonts w:ascii="Arial" w:hAnsi="Arial"/>
        </w:rPr>
        <w:lastRenderedPageBreak/>
        <w:t xml:space="preserve">This paper is not suggesting that equipment is not important. The point to be made is that without a detection strategy and </w:t>
      </w:r>
      <w:r w:rsidR="00E90F83">
        <w:rPr>
          <w:rFonts w:ascii="Arial" w:hAnsi="Arial"/>
        </w:rPr>
        <w:t xml:space="preserve">the necessary </w:t>
      </w:r>
      <w:r>
        <w:rPr>
          <w:rFonts w:ascii="Arial" w:hAnsi="Arial"/>
        </w:rPr>
        <w:t xml:space="preserve">supporting capabilities there is a real risk that precious investment is wasted or even that </w:t>
      </w:r>
      <w:r w:rsidR="00E90F83">
        <w:rPr>
          <w:rFonts w:ascii="Arial" w:hAnsi="Arial"/>
        </w:rPr>
        <w:t>long term damage to human health or the environment is caused. In order to assist with a holistic approach to capability development and to avoid overlooking some key requirement, the workshops invited delegates to consider the following capability elements:</w:t>
      </w:r>
    </w:p>
    <w:p w14:paraId="5C84BD8A" w14:textId="4FFC5D2A" w:rsidR="00E90F83" w:rsidRDefault="00E90F83" w:rsidP="006B38F1">
      <w:pPr>
        <w:ind w:left="1080"/>
        <w:rPr>
          <w:rFonts w:ascii="Arial" w:hAnsi="Arial"/>
        </w:rPr>
      </w:pPr>
      <w:r>
        <w:rPr>
          <w:rFonts w:ascii="Arial" w:hAnsi="Arial"/>
        </w:rPr>
        <w:t>Policies – including the legal frameworks</w:t>
      </w:r>
    </w:p>
    <w:p w14:paraId="0F1E7A80" w14:textId="3C3F4E79" w:rsidR="00E90F83" w:rsidRDefault="00E90F83" w:rsidP="006B38F1">
      <w:pPr>
        <w:ind w:left="1080"/>
        <w:rPr>
          <w:rFonts w:ascii="Arial" w:hAnsi="Arial"/>
        </w:rPr>
      </w:pPr>
      <w:r>
        <w:rPr>
          <w:rFonts w:ascii="Arial" w:hAnsi="Arial"/>
        </w:rPr>
        <w:t>Plans and Procedures – concepts of operations</w:t>
      </w:r>
    </w:p>
    <w:p w14:paraId="1C27251D" w14:textId="4968225A" w:rsidR="00E90F83" w:rsidRDefault="00E90F83" w:rsidP="006B38F1">
      <w:pPr>
        <w:ind w:left="1080"/>
        <w:rPr>
          <w:rFonts w:ascii="Arial" w:hAnsi="Arial"/>
        </w:rPr>
      </w:pPr>
      <w:r>
        <w:rPr>
          <w:rFonts w:ascii="Arial" w:hAnsi="Arial"/>
        </w:rPr>
        <w:t>Organisational Structures – agreements on roles and limits of authority</w:t>
      </w:r>
    </w:p>
    <w:p w14:paraId="1963B370" w14:textId="1B9572FC" w:rsidR="00E90F83" w:rsidRDefault="00E90F83" w:rsidP="006B38F1">
      <w:pPr>
        <w:ind w:left="1080"/>
        <w:rPr>
          <w:rFonts w:ascii="Arial" w:hAnsi="Arial"/>
        </w:rPr>
      </w:pPr>
      <w:r>
        <w:rPr>
          <w:rFonts w:ascii="Arial" w:hAnsi="Arial"/>
        </w:rPr>
        <w:t xml:space="preserve">Logistics – transportation of resources </w:t>
      </w:r>
    </w:p>
    <w:p w14:paraId="0B6D7B16" w14:textId="29E3A0D8" w:rsidR="00E90F83" w:rsidRDefault="00E90F83" w:rsidP="006B38F1">
      <w:pPr>
        <w:ind w:left="1080"/>
        <w:rPr>
          <w:rFonts w:ascii="Arial" w:hAnsi="Arial"/>
        </w:rPr>
      </w:pPr>
      <w:r>
        <w:rPr>
          <w:rFonts w:ascii="Arial" w:hAnsi="Arial"/>
        </w:rPr>
        <w:t>Infrastructure – locations for the storage of resources</w:t>
      </w:r>
    </w:p>
    <w:p w14:paraId="004A6BEB" w14:textId="19D89C4F" w:rsidR="00E90F83" w:rsidRDefault="00E90F83" w:rsidP="006B38F1">
      <w:pPr>
        <w:ind w:left="1080"/>
        <w:rPr>
          <w:rFonts w:ascii="Arial" w:hAnsi="Arial"/>
        </w:rPr>
      </w:pPr>
      <w:r>
        <w:rPr>
          <w:rFonts w:ascii="Arial" w:hAnsi="Arial"/>
        </w:rPr>
        <w:t>Equipment – purpose and limitations</w:t>
      </w:r>
    </w:p>
    <w:p w14:paraId="06B1E301" w14:textId="1D6C1508" w:rsidR="00E90F83" w:rsidRDefault="00E90F83" w:rsidP="006B38F1">
      <w:pPr>
        <w:ind w:left="1080"/>
        <w:rPr>
          <w:rFonts w:ascii="Arial" w:hAnsi="Arial"/>
        </w:rPr>
      </w:pPr>
      <w:r>
        <w:rPr>
          <w:rFonts w:ascii="Arial" w:hAnsi="Arial"/>
        </w:rPr>
        <w:t>Personnel – numbers and availability</w:t>
      </w:r>
    </w:p>
    <w:p w14:paraId="6CD0AE46" w14:textId="6DC88897" w:rsidR="00E90F83" w:rsidRDefault="00E90F83" w:rsidP="006B38F1">
      <w:pPr>
        <w:ind w:left="1080"/>
        <w:rPr>
          <w:rFonts w:ascii="Arial" w:hAnsi="Arial"/>
        </w:rPr>
      </w:pPr>
      <w:r>
        <w:rPr>
          <w:rFonts w:ascii="Arial" w:hAnsi="Arial"/>
        </w:rPr>
        <w:t>Information – scientific support and knowledge management</w:t>
      </w:r>
    </w:p>
    <w:p w14:paraId="7D26F7FB" w14:textId="23F2A929" w:rsidR="00E90F83" w:rsidRDefault="00E90F83" w:rsidP="006B38F1">
      <w:pPr>
        <w:ind w:left="1080"/>
        <w:rPr>
          <w:rFonts w:ascii="Arial" w:hAnsi="Arial"/>
        </w:rPr>
      </w:pPr>
      <w:r>
        <w:rPr>
          <w:rFonts w:ascii="Arial" w:hAnsi="Arial"/>
        </w:rPr>
        <w:t xml:space="preserve">Training – enabling the personnel to comply with the </w:t>
      </w:r>
      <w:proofErr w:type="spellStart"/>
      <w:r>
        <w:rPr>
          <w:rFonts w:ascii="Arial" w:hAnsi="Arial"/>
        </w:rPr>
        <w:t>ConOps</w:t>
      </w:r>
      <w:proofErr w:type="spellEnd"/>
      <w:r>
        <w:rPr>
          <w:rFonts w:ascii="Arial" w:hAnsi="Arial"/>
        </w:rPr>
        <w:t xml:space="preserve"> and </w:t>
      </w:r>
      <w:r w:rsidR="004344AF">
        <w:rPr>
          <w:rFonts w:ascii="Arial" w:hAnsi="Arial"/>
        </w:rPr>
        <w:t xml:space="preserve">to </w:t>
      </w:r>
      <w:r>
        <w:rPr>
          <w:rFonts w:ascii="Arial" w:hAnsi="Arial"/>
        </w:rPr>
        <w:t>appropriately use equipment</w:t>
      </w:r>
    </w:p>
    <w:p w14:paraId="2F505101" w14:textId="3740554D" w:rsidR="004344AF" w:rsidRDefault="004344AF" w:rsidP="006B38F1">
      <w:pPr>
        <w:ind w:left="1080"/>
        <w:rPr>
          <w:rFonts w:ascii="Arial" w:hAnsi="Arial"/>
        </w:rPr>
      </w:pPr>
    </w:p>
    <w:p w14:paraId="3A153ED1" w14:textId="489619FD" w:rsidR="004344AF" w:rsidRPr="006B38F1" w:rsidRDefault="004344AF" w:rsidP="006B38F1">
      <w:pPr>
        <w:ind w:left="1080"/>
        <w:rPr>
          <w:rFonts w:ascii="Arial" w:hAnsi="Arial"/>
        </w:rPr>
      </w:pPr>
      <w:r>
        <w:rPr>
          <w:rFonts w:ascii="Arial" w:hAnsi="Arial"/>
        </w:rPr>
        <w:t>Even if those elements are used as a basic checklist it can avoid some very expensive mistakes.</w:t>
      </w:r>
    </w:p>
    <w:p w14:paraId="5051A0ED" w14:textId="77777777" w:rsidR="003E148C" w:rsidRDefault="003E148C" w:rsidP="003E148C">
      <w:pPr>
        <w:pStyle w:val="ListParagraph"/>
        <w:ind w:left="1080"/>
        <w:rPr>
          <w:rFonts w:ascii="Arial" w:hAnsi="Arial"/>
        </w:rPr>
      </w:pPr>
    </w:p>
    <w:p w14:paraId="66979743" w14:textId="62CDF3CF" w:rsidR="0049511A" w:rsidRDefault="0049511A" w:rsidP="00F36240">
      <w:pPr>
        <w:pStyle w:val="ListParagraph"/>
        <w:numPr>
          <w:ilvl w:val="0"/>
          <w:numId w:val="2"/>
        </w:numPr>
        <w:rPr>
          <w:rFonts w:ascii="Arial" w:hAnsi="Arial"/>
        </w:rPr>
      </w:pPr>
      <w:r w:rsidRPr="00E130C7">
        <w:rPr>
          <w:rFonts w:ascii="Arial" w:hAnsi="Arial"/>
          <w:b/>
        </w:rPr>
        <w:t>Sustainability:</w:t>
      </w:r>
      <w:r>
        <w:rPr>
          <w:rFonts w:ascii="Arial" w:hAnsi="Arial"/>
        </w:rPr>
        <w:t xml:space="preserve"> it is inevitable that threat levels will vary over time and it is</w:t>
      </w:r>
      <w:r w:rsidR="001C30D2">
        <w:rPr>
          <w:rFonts w:ascii="Arial" w:hAnsi="Arial"/>
        </w:rPr>
        <w:t>, of course,</w:t>
      </w:r>
      <w:r>
        <w:rPr>
          <w:rFonts w:ascii="Arial" w:hAnsi="Arial"/>
        </w:rPr>
        <w:t xml:space="preserve"> hugely expensive to develop a capability which can respond to a high threat environment. However, MS can be tempted to make economies </w:t>
      </w:r>
      <w:r w:rsidR="001C30D2">
        <w:rPr>
          <w:rFonts w:ascii="Arial" w:hAnsi="Arial"/>
        </w:rPr>
        <w:t>in</w:t>
      </w:r>
      <w:r>
        <w:rPr>
          <w:rFonts w:ascii="Arial" w:hAnsi="Arial"/>
        </w:rPr>
        <w:t xml:space="preserve"> </w:t>
      </w:r>
      <w:r w:rsidR="001C30D2">
        <w:rPr>
          <w:rFonts w:ascii="Arial" w:hAnsi="Arial"/>
        </w:rPr>
        <w:t xml:space="preserve">sustaining </w:t>
      </w:r>
      <w:r>
        <w:rPr>
          <w:rFonts w:ascii="Arial" w:hAnsi="Arial"/>
        </w:rPr>
        <w:t xml:space="preserve">the level of the response as soon as the threat </w:t>
      </w:r>
      <w:r w:rsidR="001C30D2">
        <w:rPr>
          <w:rFonts w:ascii="Arial" w:hAnsi="Arial"/>
        </w:rPr>
        <w:t xml:space="preserve">level </w:t>
      </w:r>
      <w:r>
        <w:rPr>
          <w:rFonts w:ascii="Arial" w:hAnsi="Arial"/>
        </w:rPr>
        <w:t>appears to diminish</w:t>
      </w:r>
      <w:r w:rsidR="001C30D2">
        <w:rPr>
          <w:rFonts w:ascii="Arial" w:hAnsi="Arial"/>
        </w:rPr>
        <w:t>. If this is done</w:t>
      </w:r>
      <w:r>
        <w:rPr>
          <w:rFonts w:ascii="Arial" w:hAnsi="Arial"/>
        </w:rPr>
        <w:t xml:space="preserve"> without agreeing a sensible baseline capability which can be </w:t>
      </w:r>
      <w:r w:rsidR="001C30D2">
        <w:rPr>
          <w:rFonts w:ascii="Arial" w:hAnsi="Arial"/>
        </w:rPr>
        <w:t xml:space="preserve">easily maintained and </w:t>
      </w:r>
      <w:r>
        <w:rPr>
          <w:rFonts w:ascii="Arial" w:hAnsi="Arial"/>
        </w:rPr>
        <w:t>quickly upgraded</w:t>
      </w:r>
      <w:r w:rsidR="001C30D2">
        <w:rPr>
          <w:rFonts w:ascii="Arial" w:hAnsi="Arial"/>
        </w:rPr>
        <w:t>,</w:t>
      </w:r>
      <w:r w:rsidR="00730897">
        <w:rPr>
          <w:rFonts w:ascii="Arial" w:hAnsi="Arial"/>
        </w:rPr>
        <w:t xml:space="preserve"> and without a knowledge management strategy which prevents expertise from being drained away and not replaced</w:t>
      </w:r>
      <w:r w:rsidR="001C30D2">
        <w:rPr>
          <w:rFonts w:ascii="Arial" w:hAnsi="Arial"/>
        </w:rPr>
        <w:t>, MS can easily find themselves unprepared to meet emerging threats</w:t>
      </w:r>
      <w:r w:rsidR="00730897">
        <w:rPr>
          <w:rFonts w:ascii="Arial" w:hAnsi="Arial"/>
        </w:rPr>
        <w:t xml:space="preserve">. This often leads to constant re-learning of the same lessons </w:t>
      </w:r>
      <w:r w:rsidR="004A7428">
        <w:rPr>
          <w:rFonts w:ascii="Arial" w:hAnsi="Arial"/>
        </w:rPr>
        <w:t xml:space="preserve">by </w:t>
      </w:r>
      <w:proofErr w:type="spellStart"/>
      <w:r w:rsidR="004A7428">
        <w:rPr>
          <w:rFonts w:ascii="Arial" w:hAnsi="Arial"/>
        </w:rPr>
        <w:t>organisations</w:t>
      </w:r>
      <w:proofErr w:type="spellEnd"/>
      <w:r w:rsidR="004A7428">
        <w:rPr>
          <w:rFonts w:ascii="Arial" w:hAnsi="Arial"/>
        </w:rPr>
        <w:t>, with</w:t>
      </w:r>
      <w:r w:rsidR="00730897">
        <w:rPr>
          <w:rFonts w:ascii="Arial" w:hAnsi="Arial"/>
        </w:rPr>
        <w:t xml:space="preserve"> a vicious circle of capital investment followed by premature scrapping of equipment and a further round of expenditure when the response fa</w:t>
      </w:r>
      <w:r w:rsidR="004A7428">
        <w:rPr>
          <w:rFonts w:ascii="Arial" w:hAnsi="Arial"/>
        </w:rPr>
        <w:t>lters</w:t>
      </w:r>
      <w:r w:rsidR="00730897">
        <w:rPr>
          <w:rFonts w:ascii="Arial" w:hAnsi="Arial"/>
        </w:rPr>
        <w:t xml:space="preserve"> during the next incident.</w:t>
      </w:r>
      <w:r w:rsidR="00331CBA">
        <w:rPr>
          <w:rFonts w:ascii="Arial" w:hAnsi="Arial"/>
        </w:rPr>
        <w:t xml:space="preserve"> It is one of the saddest realities to </w:t>
      </w:r>
      <w:proofErr w:type="spellStart"/>
      <w:r w:rsidR="00331CBA">
        <w:rPr>
          <w:rFonts w:ascii="Arial" w:hAnsi="Arial"/>
        </w:rPr>
        <w:t>recognise</w:t>
      </w:r>
      <w:proofErr w:type="spellEnd"/>
      <w:r w:rsidR="00331CBA">
        <w:rPr>
          <w:rFonts w:ascii="Arial" w:hAnsi="Arial"/>
        </w:rPr>
        <w:t xml:space="preserve"> that investment is often dependent on a disaster having happened.</w:t>
      </w:r>
    </w:p>
    <w:p w14:paraId="120F473C" w14:textId="77777777" w:rsidR="00331CBA" w:rsidRPr="00331CBA" w:rsidRDefault="00331CBA" w:rsidP="00331CBA">
      <w:pPr>
        <w:rPr>
          <w:rFonts w:ascii="Arial" w:hAnsi="Arial"/>
        </w:rPr>
      </w:pPr>
    </w:p>
    <w:p w14:paraId="6092C625" w14:textId="77777777" w:rsidR="00730897" w:rsidRDefault="00730897" w:rsidP="00730897">
      <w:pPr>
        <w:pStyle w:val="Heading1"/>
      </w:pPr>
      <w:r>
        <w:rPr>
          <w:rFonts w:ascii="Arial" w:hAnsi="Arial" w:cs="Arial"/>
        </w:rPr>
        <w:lastRenderedPageBreak/>
        <w:t>Opportunities</w:t>
      </w:r>
    </w:p>
    <w:p w14:paraId="79C86D5A" w14:textId="77777777" w:rsidR="00730897" w:rsidRDefault="00730897" w:rsidP="00730897">
      <w:pPr>
        <w:rPr>
          <w:rFonts w:ascii="Arial" w:hAnsi="Arial" w:cs="Arial"/>
        </w:rPr>
      </w:pPr>
      <w:r>
        <w:rPr>
          <w:rFonts w:ascii="Arial" w:hAnsi="Arial" w:cs="Arial"/>
        </w:rPr>
        <w:t xml:space="preserve">Some potential solutions have been </w:t>
      </w:r>
      <w:r w:rsidR="004A7428">
        <w:rPr>
          <w:rFonts w:ascii="Arial" w:hAnsi="Arial" w:cs="Arial"/>
        </w:rPr>
        <w:t xml:space="preserve">identified </w:t>
      </w:r>
      <w:r>
        <w:rPr>
          <w:rFonts w:ascii="Arial" w:hAnsi="Arial" w:cs="Arial"/>
        </w:rPr>
        <w:t>during the workshops which expand on the formal guidance. There are some non-complex opportunities for improving the quality of the response to NSEs</w:t>
      </w:r>
    </w:p>
    <w:p w14:paraId="191815D3" w14:textId="77777777" w:rsidR="00730897" w:rsidRDefault="00730897" w:rsidP="00730897">
      <w:pPr>
        <w:rPr>
          <w:rFonts w:ascii="Arial" w:hAnsi="Arial" w:cs="Arial"/>
        </w:rPr>
      </w:pPr>
    </w:p>
    <w:p w14:paraId="4C0A0A81" w14:textId="0909BBE5" w:rsidR="00730897" w:rsidRDefault="00730897" w:rsidP="00730897">
      <w:pPr>
        <w:pStyle w:val="ListParagraph"/>
        <w:numPr>
          <w:ilvl w:val="0"/>
          <w:numId w:val="3"/>
        </w:numPr>
        <w:rPr>
          <w:rFonts w:ascii="Arial" w:hAnsi="Arial" w:cs="Arial"/>
        </w:rPr>
      </w:pPr>
      <w:r w:rsidRPr="004A7428">
        <w:rPr>
          <w:rFonts w:ascii="Arial" w:hAnsi="Arial" w:cs="Arial"/>
        </w:rPr>
        <w:t>Joint planning and exercising</w:t>
      </w:r>
      <w:r>
        <w:rPr>
          <w:rFonts w:ascii="Arial" w:hAnsi="Arial" w:cs="Arial"/>
        </w:rPr>
        <w:t xml:space="preserve"> develops relationships which will be of critical importance during an NSE. The level of trust generated between individuals during joint activities cannot be over-stated. True interoperability comes when the responding agencies understand not only their role but also the roles of the</w:t>
      </w:r>
      <w:r w:rsidR="00073F63">
        <w:rPr>
          <w:rFonts w:ascii="Arial" w:hAnsi="Arial" w:cs="Arial"/>
        </w:rPr>
        <w:t xml:space="preserve"> other agencies working alongside them.</w:t>
      </w:r>
    </w:p>
    <w:p w14:paraId="3841E250" w14:textId="77777777" w:rsidR="003E148C" w:rsidRDefault="003E148C" w:rsidP="003E148C">
      <w:pPr>
        <w:pStyle w:val="ListParagraph"/>
        <w:ind w:left="1080"/>
        <w:rPr>
          <w:rFonts w:ascii="Arial" w:hAnsi="Arial" w:cs="Arial"/>
        </w:rPr>
      </w:pPr>
    </w:p>
    <w:p w14:paraId="0D858283" w14:textId="24975CA2" w:rsidR="004A7428" w:rsidRPr="00E130C7" w:rsidRDefault="00073F63" w:rsidP="00E130C7">
      <w:pPr>
        <w:pStyle w:val="ListParagraph"/>
        <w:rPr>
          <w:rFonts w:ascii="Arial" w:hAnsi="Arial" w:cs="Arial"/>
        </w:rPr>
      </w:pPr>
      <w:r w:rsidRPr="004A7428">
        <w:rPr>
          <w:rFonts w:ascii="Arial" w:hAnsi="Arial" w:cs="Arial"/>
        </w:rPr>
        <w:t xml:space="preserve">A graded approach to the management </w:t>
      </w:r>
      <w:proofErr w:type="gramStart"/>
      <w:r w:rsidRPr="004A7428">
        <w:rPr>
          <w:rFonts w:ascii="Arial" w:hAnsi="Arial" w:cs="Arial"/>
        </w:rPr>
        <w:t xml:space="preserve">of </w:t>
      </w:r>
      <w:r w:rsidR="00331CBA">
        <w:rPr>
          <w:rFonts w:ascii="Arial" w:hAnsi="Arial" w:cs="Arial"/>
        </w:rPr>
        <w:t xml:space="preserve"> operational</w:t>
      </w:r>
      <w:proofErr w:type="gramEnd"/>
      <w:r w:rsidR="00331CBA">
        <w:rPr>
          <w:rFonts w:ascii="Arial" w:hAnsi="Arial" w:cs="Arial"/>
        </w:rPr>
        <w:t xml:space="preserve"> </w:t>
      </w:r>
      <w:r w:rsidRPr="004A7428">
        <w:rPr>
          <w:rFonts w:ascii="Arial" w:hAnsi="Arial" w:cs="Arial"/>
        </w:rPr>
        <w:t>risks</w:t>
      </w:r>
      <w:r w:rsidR="004A7428" w:rsidRPr="004A7428">
        <w:rPr>
          <w:rFonts w:ascii="Arial" w:hAnsi="Arial" w:cs="Arial"/>
        </w:rPr>
        <w:t>,</w:t>
      </w:r>
      <w:r w:rsidRPr="004A7428">
        <w:rPr>
          <w:rFonts w:ascii="Arial" w:hAnsi="Arial" w:cs="Arial"/>
        </w:rPr>
        <w:t xml:space="preserve"> when adopted by the responding agencies</w:t>
      </w:r>
      <w:r w:rsidR="004A7428" w:rsidRPr="004A7428">
        <w:rPr>
          <w:rFonts w:ascii="Arial" w:hAnsi="Arial" w:cs="Arial"/>
        </w:rPr>
        <w:t xml:space="preserve">, </w:t>
      </w:r>
      <w:r w:rsidRPr="004A7428">
        <w:rPr>
          <w:rFonts w:ascii="Arial" w:hAnsi="Arial" w:cs="Arial"/>
        </w:rPr>
        <w:t>facilitates a shared understanding of the problem, a joint evaluation of the hazards and a shared approach to their management.</w:t>
      </w:r>
      <w:r w:rsidR="003E148C" w:rsidRPr="004A7428">
        <w:rPr>
          <w:rFonts w:ascii="Arial" w:hAnsi="Arial" w:cs="Arial"/>
        </w:rPr>
        <w:t xml:space="preserve"> </w:t>
      </w:r>
    </w:p>
    <w:p w14:paraId="55EC8EC4" w14:textId="77777777" w:rsidR="004A7428" w:rsidRPr="00331CBA" w:rsidRDefault="004A7428" w:rsidP="00331CBA">
      <w:pPr>
        <w:rPr>
          <w:rFonts w:ascii="Arial" w:hAnsi="Arial" w:cs="Arial"/>
        </w:rPr>
      </w:pPr>
    </w:p>
    <w:p w14:paraId="4BC5C6A9" w14:textId="4154870E" w:rsidR="00073F63" w:rsidRDefault="004A7428" w:rsidP="00730897">
      <w:pPr>
        <w:pStyle w:val="ListParagraph"/>
        <w:numPr>
          <w:ilvl w:val="0"/>
          <w:numId w:val="3"/>
        </w:numPr>
        <w:rPr>
          <w:rFonts w:ascii="Arial" w:hAnsi="Arial" w:cs="Arial"/>
        </w:rPr>
      </w:pPr>
      <w:r>
        <w:rPr>
          <w:rFonts w:ascii="Arial" w:hAnsi="Arial" w:cs="Arial"/>
        </w:rPr>
        <w:t>National F</w:t>
      </w:r>
      <w:r w:rsidR="00073F63">
        <w:rPr>
          <w:rFonts w:ascii="Arial" w:hAnsi="Arial" w:cs="Arial"/>
        </w:rPr>
        <w:t>ramework guidance</w:t>
      </w:r>
      <w:r w:rsidR="00331CBA">
        <w:rPr>
          <w:rFonts w:ascii="Arial" w:hAnsi="Arial" w:cs="Arial"/>
        </w:rPr>
        <w:t xml:space="preserve"> (NSS-37G)</w:t>
      </w:r>
      <w:r w:rsidR="00073F63">
        <w:rPr>
          <w:rFonts w:ascii="Arial" w:hAnsi="Arial" w:cs="Arial"/>
        </w:rPr>
        <w:t xml:space="preserve"> rationalizes the key activities and outcomes </w:t>
      </w:r>
      <w:r>
        <w:rPr>
          <w:rFonts w:ascii="Arial" w:hAnsi="Arial" w:cs="Arial"/>
        </w:rPr>
        <w:t xml:space="preserve">necessary for a response to be effective. These </w:t>
      </w:r>
      <w:r w:rsidR="00073F63">
        <w:rPr>
          <w:rFonts w:ascii="Arial" w:hAnsi="Arial" w:cs="Arial"/>
        </w:rPr>
        <w:t xml:space="preserve">can then become part of a </w:t>
      </w:r>
      <w:r>
        <w:rPr>
          <w:rFonts w:ascii="Arial" w:hAnsi="Arial" w:cs="Arial"/>
        </w:rPr>
        <w:t xml:space="preserve">joint </w:t>
      </w:r>
      <w:r w:rsidR="00073F63">
        <w:rPr>
          <w:rFonts w:ascii="Arial" w:hAnsi="Arial" w:cs="Arial"/>
        </w:rPr>
        <w:t>concept of operations linked to a set of strategic priorities. In that way there is a clear “line of sight” from strategic command through to the front-line response operation</w:t>
      </w:r>
      <w:r w:rsidR="003E148C">
        <w:rPr>
          <w:rFonts w:ascii="Arial" w:hAnsi="Arial" w:cs="Arial"/>
        </w:rPr>
        <w:t>.</w:t>
      </w:r>
    </w:p>
    <w:p w14:paraId="7D630E31" w14:textId="77777777" w:rsidR="003E148C" w:rsidRPr="003E148C" w:rsidRDefault="003E148C" w:rsidP="003E148C">
      <w:pPr>
        <w:pStyle w:val="ListParagraph"/>
        <w:rPr>
          <w:rFonts w:ascii="Arial" w:hAnsi="Arial" w:cs="Arial"/>
        </w:rPr>
      </w:pPr>
    </w:p>
    <w:p w14:paraId="5C2474F8" w14:textId="77777777" w:rsidR="003E148C" w:rsidRDefault="003E148C" w:rsidP="00730897">
      <w:pPr>
        <w:pStyle w:val="ListParagraph"/>
        <w:numPr>
          <w:ilvl w:val="0"/>
          <w:numId w:val="3"/>
        </w:numPr>
        <w:rPr>
          <w:rFonts w:ascii="Arial" w:hAnsi="Arial" w:cs="Arial"/>
        </w:rPr>
      </w:pPr>
      <w:r>
        <w:rPr>
          <w:rFonts w:ascii="Arial" w:hAnsi="Arial" w:cs="Arial"/>
        </w:rPr>
        <w:t>The benefits of the collaboration on planning for</w:t>
      </w:r>
      <w:r w:rsidR="004A7428">
        <w:rPr>
          <w:rFonts w:ascii="Arial" w:hAnsi="Arial" w:cs="Arial"/>
        </w:rPr>
        <w:t>,</w:t>
      </w:r>
      <w:r>
        <w:rPr>
          <w:rFonts w:ascii="Arial" w:hAnsi="Arial" w:cs="Arial"/>
        </w:rPr>
        <w:t xml:space="preserve"> and dealing with</w:t>
      </w:r>
      <w:r w:rsidR="004A7428">
        <w:rPr>
          <w:rFonts w:ascii="Arial" w:hAnsi="Arial" w:cs="Arial"/>
        </w:rPr>
        <w:t>,</w:t>
      </w:r>
      <w:r>
        <w:rPr>
          <w:rFonts w:ascii="Arial" w:hAnsi="Arial" w:cs="Arial"/>
        </w:rPr>
        <w:t xml:space="preserve"> NSEs can flow into the </w:t>
      </w:r>
      <w:r w:rsidR="004A7428">
        <w:rPr>
          <w:rFonts w:ascii="Arial" w:hAnsi="Arial" w:cs="Arial"/>
        </w:rPr>
        <w:t xml:space="preserve">planning process for the </w:t>
      </w:r>
      <w:r>
        <w:rPr>
          <w:rFonts w:ascii="Arial" w:hAnsi="Arial" w:cs="Arial"/>
        </w:rPr>
        <w:t xml:space="preserve">response to other types of </w:t>
      </w:r>
      <w:r w:rsidR="004A7428">
        <w:rPr>
          <w:rFonts w:ascii="Arial" w:hAnsi="Arial" w:cs="Arial"/>
        </w:rPr>
        <w:t xml:space="preserve">security </w:t>
      </w:r>
      <w:r>
        <w:rPr>
          <w:rFonts w:ascii="Arial" w:hAnsi="Arial" w:cs="Arial"/>
        </w:rPr>
        <w:t>event</w:t>
      </w:r>
      <w:r w:rsidR="004A7428">
        <w:rPr>
          <w:rFonts w:ascii="Arial" w:hAnsi="Arial" w:cs="Arial"/>
        </w:rPr>
        <w:t>,</w:t>
      </w:r>
      <w:r>
        <w:rPr>
          <w:rFonts w:ascii="Arial" w:hAnsi="Arial" w:cs="Arial"/>
        </w:rPr>
        <w:t xml:space="preserve"> not only those involving the potential or actual release of radiation.</w:t>
      </w:r>
    </w:p>
    <w:p w14:paraId="7DA84201" w14:textId="77777777" w:rsidR="003E148C" w:rsidRPr="003E148C" w:rsidRDefault="003E148C" w:rsidP="003E148C">
      <w:pPr>
        <w:pStyle w:val="ListParagraph"/>
        <w:rPr>
          <w:rFonts w:ascii="Arial" w:hAnsi="Arial" w:cs="Arial"/>
        </w:rPr>
      </w:pPr>
    </w:p>
    <w:p w14:paraId="3AF9207E" w14:textId="4DFAD802" w:rsidR="003E148C" w:rsidRDefault="003E148C" w:rsidP="00730897">
      <w:pPr>
        <w:pStyle w:val="ListParagraph"/>
        <w:numPr>
          <w:ilvl w:val="0"/>
          <w:numId w:val="3"/>
        </w:numPr>
        <w:rPr>
          <w:rFonts w:ascii="Arial" w:hAnsi="Arial" w:cs="Arial"/>
        </w:rPr>
      </w:pPr>
      <w:r>
        <w:rPr>
          <w:rFonts w:ascii="Arial" w:hAnsi="Arial" w:cs="Arial"/>
        </w:rPr>
        <w:t xml:space="preserve">Lessons from joint training and exercising </w:t>
      </w:r>
      <w:r w:rsidR="004A7428">
        <w:rPr>
          <w:rFonts w:ascii="Arial" w:hAnsi="Arial" w:cs="Arial"/>
        </w:rPr>
        <w:t>-‘</w:t>
      </w:r>
      <w:r>
        <w:rPr>
          <w:rFonts w:ascii="Arial" w:hAnsi="Arial" w:cs="Arial"/>
        </w:rPr>
        <w:t>red-teaming</w:t>
      </w:r>
      <w:r w:rsidR="004A7428">
        <w:rPr>
          <w:rFonts w:ascii="Arial" w:hAnsi="Arial" w:cs="Arial"/>
        </w:rPr>
        <w:t>’</w:t>
      </w:r>
      <w:r>
        <w:rPr>
          <w:rFonts w:ascii="Arial" w:hAnsi="Arial" w:cs="Arial"/>
        </w:rPr>
        <w:t xml:space="preserve"> for example</w:t>
      </w:r>
      <w:r w:rsidR="004A7428">
        <w:rPr>
          <w:rFonts w:ascii="Arial" w:hAnsi="Arial" w:cs="Arial"/>
        </w:rPr>
        <w:t xml:space="preserve"> </w:t>
      </w:r>
      <w:r w:rsidR="00331CBA">
        <w:rPr>
          <w:rFonts w:ascii="Arial" w:hAnsi="Arial" w:cs="Arial"/>
        </w:rPr>
        <w:t xml:space="preserve"> where delegates are invited to design attacks against their own </w:t>
      </w:r>
      <w:proofErr w:type="spellStart"/>
      <w:r w:rsidR="00331CBA">
        <w:rPr>
          <w:rFonts w:ascii="Arial" w:hAnsi="Arial" w:cs="Arial"/>
        </w:rPr>
        <w:t>defences</w:t>
      </w:r>
      <w:proofErr w:type="spellEnd"/>
      <w:r w:rsidR="00331CBA">
        <w:rPr>
          <w:rFonts w:ascii="Arial" w:hAnsi="Arial" w:cs="Arial"/>
        </w:rPr>
        <w:t xml:space="preserve"> </w:t>
      </w:r>
      <w:r w:rsidR="004A7428">
        <w:rPr>
          <w:rFonts w:ascii="Arial" w:hAnsi="Arial" w:cs="Arial"/>
        </w:rPr>
        <w:t>-</w:t>
      </w:r>
      <w:r>
        <w:rPr>
          <w:rFonts w:ascii="Arial" w:hAnsi="Arial" w:cs="Arial"/>
        </w:rPr>
        <w:t xml:space="preserve"> can be fed back to protective security planners and assist in identifying the vulnerabilities which led to material becoming out of regulatory control in the first place.</w:t>
      </w:r>
    </w:p>
    <w:p w14:paraId="02604CA2" w14:textId="77777777" w:rsidR="003E148C" w:rsidRPr="003E148C" w:rsidRDefault="003E148C" w:rsidP="003E148C">
      <w:pPr>
        <w:pStyle w:val="ListParagraph"/>
        <w:rPr>
          <w:rFonts w:ascii="Arial" w:hAnsi="Arial" w:cs="Arial"/>
        </w:rPr>
      </w:pPr>
    </w:p>
    <w:p w14:paraId="43688193" w14:textId="77777777" w:rsidR="003E148C" w:rsidRPr="003E148C" w:rsidRDefault="003E148C" w:rsidP="003E148C">
      <w:pPr>
        <w:pStyle w:val="Heading1"/>
        <w:rPr>
          <w:rFonts w:ascii="Arial" w:hAnsi="Arial" w:cs="Arial"/>
        </w:rPr>
      </w:pPr>
      <w:r w:rsidRPr="003E148C">
        <w:rPr>
          <w:rFonts w:ascii="Arial" w:hAnsi="Arial" w:cs="Arial"/>
        </w:rPr>
        <w:t>Conclusion</w:t>
      </w:r>
    </w:p>
    <w:p w14:paraId="1B3FAA04" w14:textId="0D981BF6" w:rsidR="00F36240" w:rsidRDefault="005843A7" w:rsidP="00F36240">
      <w:pPr>
        <w:rPr>
          <w:rFonts w:ascii="Arial" w:hAnsi="Arial"/>
        </w:rPr>
      </w:pPr>
      <w:r>
        <w:rPr>
          <w:rFonts w:ascii="Arial" w:hAnsi="Arial"/>
        </w:rPr>
        <w:t xml:space="preserve">The value of a </w:t>
      </w:r>
      <w:r w:rsidR="004A7428">
        <w:rPr>
          <w:rFonts w:ascii="Arial" w:hAnsi="Arial"/>
        </w:rPr>
        <w:t>N</w:t>
      </w:r>
      <w:r>
        <w:rPr>
          <w:rFonts w:ascii="Arial" w:hAnsi="Arial"/>
        </w:rPr>
        <w:t xml:space="preserve">ational </w:t>
      </w:r>
      <w:r w:rsidR="004A7428">
        <w:rPr>
          <w:rFonts w:ascii="Arial" w:hAnsi="Arial"/>
        </w:rPr>
        <w:t>F</w:t>
      </w:r>
      <w:r>
        <w:rPr>
          <w:rFonts w:ascii="Arial" w:hAnsi="Arial"/>
        </w:rPr>
        <w:t xml:space="preserve">ramework </w:t>
      </w:r>
      <w:r w:rsidR="004A7428">
        <w:rPr>
          <w:rFonts w:ascii="Arial" w:hAnsi="Arial"/>
        </w:rPr>
        <w:t xml:space="preserve">for response to NSEs </w:t>
      </w:r>
      <w:r>
        <w:rPr>
          <w:rFonts w:ascii="Arial" w:hAnsi="Arial"/>
        </w:rPr>
        <w:t>is clear – addressing the complexities of planning and responding to NSEs jointly with partner agencies brings benefits which reach beyond nuclear security.</w:t>
      </w:r>
    </w:p>
    <w:p w14:paraId="746A1C1D" w14:textId="77777777" w:rsidR="005843A7" w:rsidRDefault="005843A7" w:rsidP="00F36240">
      <w:pPr>
        <w:rPr>
          <w:rFonts w:ascii="Arial" w:hAnsi="Arial"/>
        </w:rPr>
      </w:pPr>
    </w:p>
    <w:p w14:paraId="25C57B60" w14:textId="77777777" w:rsidR="005843A7" w:rsidRDefault="005843A7" w:rsidP="00F36240">
      <w:pPr>
        <w:rPr>
          <w:rFonts w:ascii="Arial" w:hAnsi="Arial"/>
        </w:rPr>
      </w:pPr>
      <w:r>
        <w:rPr>
          <w:rFonts w:ascii="Arial" w:hAnsi="Arial"/>
        </w:rPr>
        <w:t>John Edward Jones</w:t>
      </w:r>
    </w:p>
    <w:p w14:paraId="241AC8A6" w14:textId="77777777" w:rsidR="005843A7" w:rsidRDefault="005843A7" w:rsidP="00F36240">
      <w:pPr>
        <w:rPr>
          <w:rFonts w:ascii="Arial" w:hAnsi="Arial"/>
        </w:rPr>
      </w:pPr>
      <w:r>
        <w:rPr>
          <w:rFonts w:ascii="Arial" w:hAnsi="Arial"/>
        </w:rPr>
        <w:t>Independent Consultant</w:t>
      </w:r>
    </w:p>
    <w:p w14:paraId="329059AE" w14:textId="77777777" w:rsidR="005843A7" w:rsidRDefault="005843A7" w:rsidP="00F36240">
      <w:pPr>
        <w:rPr>
          <w:rFonts w:ascii="Arial" w:hAnsi="Arial"/>
        </w:rPr>
      </w:pPr>
      <w:r>
        <w:rPr>
          <w:rFonts w:ascii="Arial" w:hAnsi="Arial"/>
        </w:rPr>
        <w:lastRenderedPageBreak/>
        <w:t>UK</w:t>
      </w:r>
    </w:p>
    <w:p w14:paraId="66CD25BA" w14:textId="77777777" w:rsidR="00F36240" w:rsidRPr="00205797" w:rsidRDefault="00F36240" w:rsidP="00F36240">
      <w:pPr>
        <w:rPr>
          <w:rFonts w:ascii="Arial" w:hAnsi="Arial"/>
        </w:rPr>
      </w:pPr>
    </w:p>
    <w:sectPr w:rsidR="00F36240" w:rsidRPr="00205797">
      <w:footerReference w:type="default" r:id="rId7"/>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98B7B" w14:textId="77777777" w:rsidR="004638DC" w:rsidRDefault="004638DC">
      <w:pPr>
        <w:spacing w:after="0" w:line="240" w:lineRule="auto"/>
      </w:pPr>
      <w:r>
        <w:separator/>
      </w:r>
    </w:p>
    <w:p w14:paraId="1FD8D6F6" w14:textId="77777777" w:rsidR="004638DC" w:rsidRDefault="004638DC"/>
  </w:endnote>
  <w:endnote w:type="continuationSeparator" w:id="0">
    <w:p w14:paraId="19FA5890" w14:textId="77777777" w:rsidR="004638DC" w:rsidRDefault="004638DC">
      <w:pPr>
        <w:spacing w:after="0" w:line="240" w:lineRule="auto"/>
      </w:pPr>
      <w:r>
        <w:continuationSeparator/>
      </w:r>
    </w:p>
    <w:p w14:paraId="34245AFD" w14:textId="77777777" w:rsidR="004638DC" w:rsidRDefault="00463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B707" w14:textId="77777777" w:rsidR="003E17B6" w:rsidRDefault="0076582B">
    <w:pPr>
      <w:pStyle w:val="Footer"/>
    </w:pPr>
    <w:r>
      <w:fldChar w:fldCharType="begin"/>
    </w:r>
    <w:r>
      <w:instrText xml:space="preserve"> PAGE   \* MERGEFORMAT </w:instrText>
    </w:r>
    <w:r>
      <w:fldChar w:fldCharType="separate"/>
    </w:r>
    <w:r w:rsidR="000F0DF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C082B" w14:textId="77777777" w:rsidR="004638DC" w:rsidRDefault="004638DC">
      <w:pPr>
        <w:spacing w:after="0" w:line="240" w:lineRule="auto"/>
      </w:pPr>
      <w:r>
        <w:separator/>
      </w:r>
    </w:p>
    <w:p w14:paraId="475208D3" w14:textId="77777777" w:rsidR="004638DC" w:rsidRDefault="004638DC"/>
  </w:footnote>
  <w:footnote w:type="continuationSeparator" w:id="0">
    <w:p w14:paraId="1DE5B6BD" w14:textId="77777777" w:rsidR="004638DC" w:rsidRDefault="004638DC">
      <w:pPr>
        <w:spacing w:after="0" w:line="240" w:lineRule="auto"/>
      </w:pPr>
      <w:r>
        <w:continuationSeparator/>
      </w:r>
    </w:p>
    <w:p w14:paraId="10A02989" w14:textId="77777777" w:rsidR="004638DC" w:rsidRDefault="004638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35BE"/>
    <w:multiLevelType w:val="hybridMultilevel"/>
    <w:tmpl w:val="8D7EB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8A7151"/>
    <w:multiLevelType w:val="hybridMultilevel"/>
    <w:tmpl w:val="10FCE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97"/>
    <w:rsid w:val="00073F63"/>
    <w:rsid w:val="000F0DF9"/>
    <w:rsid w:val="001C30D2"/>
    <w:rsid w:val="00205797"/>
    <w:rsid w:val="0026373B"/>
    <w:rsid w:val="003202FA"/>
    <w:rsid w:val="00331CBA"/>
    <w:rsid w:val="003E148C"/>
    <w:rsid w:val="003E17B6"/>
    <w:rsid w:val="004344AF"/>
    <w:rsid w:val="004638DC"/>
    <w:rsid w:val="0049511A"/>
    <w:rsid w:val="004A7428"/>
    <w:rsid w:val="0050726B"/>
    <w:rsid w:val="005843A7"/>
    <w:rsid w:val="00586B29"/>
    <w:rsid w:val="006B38F1"/>
    <w:rsid w:val="006F351E"/>
    <w:rsid w:val="00730897"/>
    <w:rsid w:val="0076582B"/>
    <w:rsid w:val="00C970B5"/>
    <w:rsid w:val="00D04A3A"/>
    <w:rsid w:val="00D2238B"/>
    <w:rsid w:val="00D53FB6"/>
    <w:rsid w:val="00E130C7"/>
    <w:rsid w:val="00E90F83"/>
    <w:rsid w:val="00EB1691"/>
    <w:rsid w:val="00F3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0EDE"/>
  <w15:chartTrackingRefBased/>
  <w15:docId w15:val="{DD5E2848-5283-BA4D-AA23-F562211C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unhideWhenUsed/>
    <w:qFormat/>
    <w:rsid w:val="00F36240"/>
    <w:pPr>
      <w:ind w:left="720"/>
      <w:contextualSpacing/>
    </w:pPr>
  </w:style>
  <w:style w:type="paragraph" w:styleId="BalloonText">
    <w:name w:val="Balloon Text"/>
    <w:basedOn w:val="Normal"/>
    <w:link w:val="BalloonTextChar"/>
    <w:uiPriority w:val="99"/>
    <w:semiHidden/>
    <w:unhideWhenUsed/>
    <w:rsid w:val="001C3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Jones</dc:creator>
  <cp:keywords/>
  <dc:description/>
  <cp:lastModifiedBy>John Jones</cp:lastModifiedBy>
  <cp:revision>5</cp:revision>
  <dcterms:created xsi:type="dcterms:W3CDTF">2020-01-29T08:34:00Z</dcterms:created>
  <dcterms:modified xsi:type="dcterms:W3CDTF">2020-01-29T14:04:00Z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