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41BE5" w14:textId="77777777" w:rsidR="00CC7657" w:rsidRDefault="00CC7657" w:rsidP="00CC7657">
      <w:pPr>
        <w:pStyle w:val="Heading1"/>
        <w:rPr>
          <w:b/>
        </w:rPr>
      </w:pPr>
      <w:r w:rsidRPr="00454C45">
        <w:rPr>
          <w:rFonts w:ascii="Times New Roman" w:hAnsi="Times New Roman"/>
          <w:b/>
          <w:bCs/>
          <w:szCs w:val="24"/>
        </w:rPr>
        <w:t>STRENGTHENING NATIONAL AND INTERNATIONAL</w:t>
      </w:r>
      <w:r>
        <w:rPr>
          <w:rFonts w:ascii="Times New Roman" w:hAnsi="Times New Roman"/>
          <w:b/>
          <w:bCs/>
          <w:szCs w:val="24"/>
        </w:rPr>
        <w:br/>
      </w:r>
      <w:r w:rsidRPr="00454C45">
        <w:rPr>
          <w:rFonts w:ascii="Times New Roman" w:hAnsi="Times New Roman"/>
          <w:b/>
          <w:bCs/>
          <w:szCs w:val="24"/>
        </w:rPr>
        <w:t>PLUTONIUM MANAGEMENT APPROACHES</w:t>
      </w:r>
    </w:p>
    <w:p w14:paraId="050F2A10" w14:textId="77777777" w:rsidR="00CC7657" w:rsidRPr="005E69B2" w:rsidRDefault="00CC7657" w:rsidP="00CC7657">
      <w:pPr>
        <w:pStyle w:val="Authornameandaffiliation"/>
        <w:rPr>
          <w:rFonts w:ascii="Times New Roman" w:hAnsi="Times New Roman" w:cs="Times New Roman"/>
          <w:sz w:val="20"/>
          <w:szCs w:val="20"/>
        </w:rPr>
      </w:pPr>
    </w:p>
    <w:p w14:paraId="31CD63AE" w14:textId="77777777" w:rsidR="00CC7657" w:rsidRPr="005E69B2" w:rsidRDefault="00CC7657" w:rsidP="00CC7657">
      <w:pPr>
        <w:pStyle w:val="Authornameandaffiliation"/>
        <w:rPr>
          <w:rFonts w:ascii="Times New Roman" w:hAnsi="Times New Roman" w:cs="Times New Roman"/>
          <w:sz w:val="20"/>
          <w:szCs w:val="20"/>
        </w:rPr>
      </w:pPr>
      <w:r w:rsidRPr="005E69B2">
        <w:rPr>
          <w:rFonts w:ascii="Times New Roman" w:hAnsi="Times New Roman" w:cs="Times New Roman"/>
          <w:sz w:val="20"/>
          <w:szCs w:val="20"/>
        </w:rPr>
        <w:t>Miles A. Pomper</w:t>
      </w:r>
    </w:p>
    <w:p w14:paraId="2F75E912" w14:textId="77777777" w:rsidR="00CC7657" w:rsidRDefault="00CC7657" w:rsidP="00CC7657">
      <w:pPr>
        <w:pStyle w:val="Authornameandaffiliation"/>
        <w:rPr>
          <w:rFonts w:ascii="Times New Roman" w:hAnsi="Times New Roman" w:cs="Times New Roman"/>
          <w:sz w:val="20"/>
          <w:szCs w:val="20"/>
          <w:lang w:val="en-AU"/>
        </w:rPr>
      </w:pPr>
      <w:r w:rsidRPr="00031EAD">
        <w:rPr>
          <w:rFonts w:ascii="Times New Roman" w:hAnsi="Times New Roman" w:cs="Times New Roman"/>
          <w:sz w:val="20"/>
          <w:szCs w:val="20"/>
          <w:lang w:val="en-AU"/>
        </w:rPr>
        <w:t>James Martin Center for Nonproliferation Studies</w:t>
      </w:r>
    </w:p>
    <w:p w14:paraId="597B2FBA" w14:textId="22DC3EA4" w:rsidR="00CC7657" w:rsidRPr="005E69B2" w:rsidRDefault="002E0AA9" w:rsidP="00CC7657">
      <w:pPr>
        <w:pStyle w:val="Authornameandaffiliation"/>
        <w:rPr>
          <w:rFonts w:ascii="Times New Roman" w:hAnsi="Times New Roman" w:cs="Times New Roman"/>
          <w:sz w:val="20"/>
          <w:szCs w:val="20"/>
        </w:rPr>
      </w:pPr>
      <w:r>
        <w:rPr>
          <w:rFonts w:ascii="Times New Roman" w:hAnsi="Times New Roman" w:cs="Times New Roman"/>
          <w:sz w:val="20"/>
          <w:szCs w:val="20"/>
        </w:rPr>
        <w:t>Washington DC</w:t>
      </w:r>
      <w:r w:rsidR="00CC7657">
        <w:rPr>
          <w:rFonts w:ascii="Times New Roman" w:hAnsi="Times New Roman" w:cs="Times New Roman"/>
          <w:sz w:val="20"/>
          <w:szCs w:val="20"/>
        </w:rPr>
        <w:t>, USA</w:t>
      </w:r>
    </w:p>
    <w:p w14:paraId="65E2EAC1" w14:textId="77777777" w:rsidR="00CC7657" w:rsidRPr="005E69B2" w:rsidRDefault="00CC7657" w:rsidP="00CC7657">
      <w:pPr>
        <w:pStyle w:val="Authornameandaffiliation"/>
        <w:rPr>
          <w:rFonts w:ascii="Times New Roman" w:hAnsi="Times New Roman" w:cs="Times New Roman"/>
          <w:sz w:val="20"/>
          <w:szCs w:val="20"/>
        </w:rPr>
      </w:pPr>
    </w:p>
    <w:p w14:paraId="4D54D570" w14:textId="77777777" w:rsidR="00CC7657" w:rsidRPr="005E69B2" w:rsidRDefault="00CC7657" w:rsidP="00CC7657">
      <w:pPr>
        <w:pStyle w:val="Authornameandaffiliation"/>
        <w:rPr>
          <w:rFonts w:ascii="Times New Roman" w:hAnsi="Times New Roman" w:cs="Times New Roman"/>
          <w:sz w:val="20"/>
          <w:szCs w:val="20"/>
        </w:rPr>
      </w:pPr>
      <w:r w:rsidRPr="005E69B2">
        <w:rPr>
          <w:rFonts w:ascii="Times New Roman" w:hAnsi="Times New Roman" w:cs="Times New Roman"/>
          <w:sz w:val="20"/>
          <w:szCs w:val="20"/>
        </w:rPr>
        <w:t>John Carlson</w:t>
      </w:r>
    </w:p>
    <w:p w14:paraId="4A8D1609" w14:textId="77777777" w:rsidR="00CC7657" w:rsidRPr="005E69B2" w:rsidRDefault="00CC7657" w:rsidP="00CC7657">
      <w:pPr>
        <w:pStyle w:val="Authornameandaffiliation"/>
        <w:rPr>
          <w:rFonts w:ascii="Times New Roman" w:hAnsi="Times New Roman" w:cs="Times New Roman"/>
          <w:sz w:val="20"/>
          <w:szCs w:val="20"/>
        </w:rPr>
      </w:pPr>
      <w:r>
        <w:rPr>
          <w:rFonts w:ascii="Times New Roman" w:hAnsi="Times New Roman" w:cs="Times New Roman"/>
          <w:sz w:val="20"/>
          <w:szCs w:val="20"/>
        </w:rPr>
        <w:t>Vienna Center for Disarmament and Non-Proliferation</w:t>
      </w:r>
    </w:p>
    <w:p w14:paraId="219323C6" w14:textId="77777777" w:rsidR="00CC7657" w:rsidRDefault="00CC7657" w:rsidP="00CC7657">
      <w:pPr>
        <w:pStyle w:val="Authornameandaffiliation"/>
        <w:rPr>
          <w:rFonts w:ascii="Times New Roman" w:hAnsi="Times New Roman" w:cs="Times New Roman"/>
          <w:sz w:val="20"/>
          <w:szCs w:val="20"/>
        </w:rPr>
      </w:pPr>
      <w:r>
        <w:rPr>
          <w:rFonts w:ascii="Times New Roman" w:hAnsi="Times New Roman" w:cs="Times New Roman"/>
          <w:sz w:val="20"/>
          <w:szCs w:val="20"/>
        </w:rPr>
        <w:t>Vienna</w:t>
      </w:r>
      <w:r w:rsidRPr="005E69B2">
        <w:rPr>
          <w:rFonts w:ascii="Times New Roman" w:hAnsi="Times New Roman" w:cs="Times New Roman"/>
          <w:sz w:val="20"/>
          <w:szCs w:val="20"/>
        </w:rPr>
        <w:t xml:space="preserve">, </w:t>
      </w:r>
      <w:r>
        <w:rPr>
          <w:rFonts w:ascii="Times New Roman" w:hAnsi="Times New Roman" w:cs="Times New Roman"/>
          <w:sz w:val="20"/>
          <w:szCs w:val="20"/>
        </w:rPr>
        <w:t>Austria</w:t>
      </w:r>
    </w:p>
    <w:p w14:paraId="24D027DE" w14:textId="77777777" w:rsidR="00CC7657" w:rsidRPr="005E69B2" w:rsidRDefault="00CC7657" w:rsidP="00CC7657">
      <w:pPr>
        <w:pStyle w:val="Authornameandaffiliation"/>
        <w:rPr>
          <w:rFonts w:ascii="Times New Roman" w:hAnsi="Times New Roman" w:cs="Times New Roman"/>
          <w:sz w:val="20"/>
          <w:szCs w:val="20"/>
        </w:rPr>
      </w:pPr>
      <w:r>
        <w:rPr>
          <w:rFonts w:ascii="Times New Roman" w:hAnsi="Times New Roman" w:cs="Times New Roman"/>
          <w:sz w:val="20"/>
          <w:szCs w:val="20"/>
        </w:rPr>
        <w:t>Email: john.carlson.safeguards@gmail.com</w:t>
      </w:r>
    </w:p>
    <w:p w14:paraId="60962752" w14:textId="77777777" w:rsidR="00CC7657" w:rsidRPr="005E69B2" w:rsidRDefault="00CC7657" w:rsidP="00CC7657">
      <w:pPr>
        <w:pStyle w:val="Authornameandaffiliation"/>
        <w:rPr>
          <w:rFonts w:ascii="Times New Roman" w:hAnsi="Times New Roman" w:cs="Times New Roman"/>
          <w:sz w:val="20"/>
          <w:szCs w:val="20"/>
        </w:rPr>
      </w:pPr>
    </w:p>
    <w:p w14:paraId="7B6F4D0D" w14:textId="77777777" w:rsidR="00CC7657" w:rsidRPr="005E69B2" w:rsidRDefault="00CC7657" w:rsidP="00CC7657">
      <w:pPr>
        <w:pStyle w:val="Authornameandaffiliation"/>
        <w:rPr>
          <w:rFonts w:ascii="Times New Roman" w:hAnsi="Times New Roman" w:cs="Times New Roman"/>
          <w:sz w:val="20"/>
          <w:szCs w:val="20"/>
        </w:rPr>
      </w:pPr>
      <w:r w:rsidRPr="005E69B2">
        <w:rPr>
          <w:rFonts w:ascii="Times New Roman" w:hAnsi="Times New Roman" w:cs="Times New Roman"/>
          <w:sz w:val="20"/>
          <w:szCs w:val="20"/>
        </w:rPr>
        <w:t>Leonard Spector</w:t>
      </w:r>
    </w:p>
    <w:p w14:paraId="77EBEADF" w14:textId="77777777" w:rsidR="00CC7657" w:rsidRPr="005E69B2" w:rsidRDefault="00CC7657" w:rsidP="00CC7657">
      <w:pPr>
        <w:pStyle w:val="Authornameandaffiliation"/>
        <w:rPr>
          <w:rFonts w:ascii="Times New Roman" w:hAnsi="Times New Roman" w:cs="Times New Roman"/>
          <w:sz w:val="20"/>
          <w:szCs w:val="20"/>
        </w:rPr>
      </w:pPr>
      <w:r w:rsidRPr="00031EAD">
        <w:rPr>
          <w:rFonts w:ascii="Times New Roman" w:hAnsi="Times New Roman" w:cs="Times New Roman"/>
          <w:sz w:val="20"/>
          <w:szCs w:val="20"/>
          <w:lang w:val="en-AU"/>
        </w:rPr>
        <w:t>James Martin Center for Nonproliferation Studies</w:t>
      </w:r>
    </w:p>
    <w:p w14:paraId="309E76A8" w14:textId="3E952703" w:rsidR="00CC7657" w:rsidRPr="005E69B2" w:rsidRDefault="009546D5" w:rsidP="00CC7657">
      <w:pPr>
        <w:pStyle w:val="Authornameandaffiliation"/>
        <w:rPr>
          <w:rFonts w:ascii="Times New Roman" w:hAnsi="Times New Roman" w:cs="Times New Roman"/>
          <w:sz w:val="20"/>
          <w:szCs w:val="20"/>
        </w:rPr>
      </w:pPr>
      <w:r>
        <w:rPr>
          <w:rFonts w:ascii="Times New Roman" w:hAnsi="Times New Roman" w:cs="Times New Roman"/>
          <w:sz w:val="20"/>
          <w:szCs w:val="20"/>
        </w:rPr>
        <w:t>Washington DC</w:t>
      </w:r>
      <w:bookmarkStart w:id="0" w:name="_GoBack"/>
      <w:bookmarkEnd w:id="0"/>
      <w:r w:rsidR="00CC7657">
        <w:rPr>
          <w:rFonts w:ascii="Times New Roman" w:hAnsi="Times New Roman" w:cs="Times New Roman"/>
          <w:sz w:val="20"/>
          <w:szCs w:val="20"/>
        </w:rPr>
        <w:t>, USA</w:t>
      </w:r>
    </w:p>
    <w:p w14:paraId="4A3AD86F" w14:textId="77777777" w:rsidR="00CC7657" w:rsidRPr="005E69B2" w:rsidRDefault="00CC7657" w:rsidP="00CC7657">
      <w:pPr>
        <w:pStyle w:val="Authornameandaffiliation"/>
        <w:rPr>
          <w:rFonts w:ascii="Times New Roman" w:hAnsi="Times New Roman" w:cs="Times New Roman"/>
          <w:sz w:val="20"/>
          <w:szCs w:val="20"/>
        </w:rPr>
      </w:pPr>
    </w:p>
    <w:p w14:paraId="4E8DE627" w14:textId="77777777" w:rsidR="00CC7657" w:rsidRDefault="00CC7657" w:rsidP="00CC7657">
      <w:pPr>
        <w:pStyle w:val="Authornameandaffiliation"/>
        <w:rPr>
          <w:rFonts w:ascii="Times New Roman" w:hAnsi="Times New Roman" w:cs="Times New Roman"/>
          <w:sz w:val="20"/>
          <w:szCs w:val="20"/>
          <w:lang w:val="en-AU"/>
        </w:rPr>
      </w:pPr>
      <w:r w:rsidRPr="00B9636C">
        <w:rPr>
          <w:rFonts w:ascii="Times New Roman" w:hAnsi="Times New Roman" w:cs="Times New Roman"/>
          <w:sz w:val="20"/>
          <w:szCs w:val="20"/>
          <w:lang w:val="en-AU"/>
        </w:rPr>
        <w:t>Mycle Schneider</w:t>
      </w:r>
    </w:p>
    <w:p w14:paraId="34C3391D" w14:textId="77777777" w:rsidR="00CC7657" w:rsidRDefault="00CC7657" w:rsidP="00CC7657">
      <w:pPr>
        <w:pStyle w:val="Authornameandaffiliation"/>
        <w:rPr>
          <w:rFonts w:ascii="Times New Roman" w:hAnsi="Times New Roman" w:cs="Times New Roman"/>
          <w:sz w:val="20"/>
          <w:szCs w:val="20"/>
          <w:lang w:val="en-AU"/>
        </w:rPr>
      </w:pPr>
      <w:r>
        <w:rPr>
          <w:rFonts w:ascii="Times New Roman" w:hAnsi="Times New Roman" w:cs="Times New Roman"/>
          <w:sz w:val="20"/>
          <w:szCs w:val="20"/>
          <w:lang w:val="en-AU"/>
        </w:rPr>
        <w:t>Independent e</w:t>
      </w:r>
      <w:r w:rsidRPr="00B9636C">
        <w:rPr>
          <w:rFonts w:ascii="Times New Roman" w:hAnsi="Times New Roman" w:cs="Times New Roman"/>
          <w:sz w:val="20"/>
          <w:szCs w:val="20"/>
          <w:lang w:val="en-AU"/>
        </w:rPr>
        <w:t>nergy consultant</w:t>
      </w:r>
    </w:p>
    <w:p w14:paraId="4072EA4C" w14:textId="77777777" w:rsidR="00CC7657" w:rsidRDefault="00CC7657" w:rsidP="00CC7657">
      <w:pPr>
        <w:pStyle w:val="Authornameandaffiliation"/>
        <w:rPr>
          <w:rFonts w:ascii="Times New Roman" w:hAnsi="Times New Roman" w:cs="Times New Roman"/>
          <w:sz w:val="20"/>
          <w:szCs w:val="20"/>
          <w:lang w:val="en-AU"/>
        </w:rPr>
      </w:pPr>
      <w:r w:rsidRPr="00E97698">
        <w:rPr>
          <w:rFonts w:ascii="Times New Roman" w:hAnsi="Times New Roman" w:cs="Times New Roman"/>
          <w:sz w:val="20"/>
          <w:szCs w:val="20"/>
          <w:lang w:val="en-AU"/>
        </w:rPr>
        <w:t>Paris</w:t>
      </w:r>
      <w:r>
        <w:rPr>
          <w:rFonts w:ascii="Times New Roman" w:hAnsi="Times New Roman" w:cs="Times New Roman"/>
          <w:sz w:val="20"/>
          <w:szCs w:val="20"/>
          <w:lang w:val="en-AU"/>
        </w:rPr>
        <w:t xml:space="preserve">, </w:t>
      </w:r>
      <w:r w:rsidRPr="00B9636C">
        <w:rPr>
          <w:rFonts w:ascii="Times New Roman" w:hAnsi="Times New Roman" w:cs="Times New Roman"/>
          <w:sz w:val="20"/>
          <w:szCs w:val="20"/>
          <w:lang w:val="en-AU"/>
        </w:rPr>
        <w:t>France</w:t>
      </w:r>
    </w:p>
    <w:p w14:paraId="13933A82" w14:textId="77777777" w:rsidR="00CC7657" w:rsidRDefault="00CC7657" w:rsidP="00CC7657">
      <w:pPr>
        <w:pStyle w:val="Authornameandaffiliation"/>
        <w:rPr>
          <w:rFonts w:ascii="Times New Roman" w:hAnsi="Times New Roman" w:cs="Times New Roman"/>
          <w:sz w:val="20"/>
          <w:szCs w:val="20"/>
          <w:lang w:val="en-AU"/>
        </w:rPr>
      </w:pPr>
    </w:p>
    <w:p w14:paraId="123838FD" w14:textId="77777777" w:rsidR="00CC7657" w:rsidRDefault="00CC7657" w:rsidP="00CC7657">
      <w:pPr>
        <w:pStyle w:val="Authornameandaffiliation"/>
        <w:rPr>
          <w:rFonts w:ascii="Times New Roman" w:hAnsi="Times New Roman" w:cs="Times New Roman"/>
          <w:sz w:val="20"/>
          <w:szCs w:val="20"/>
          <w:lang w:val="en-AU"/>
        </w:rPr>
      </w:pPr>
      <w:r w:rsidRPr="00B9636C">
        <w:rPr>
          <w:rFonts w:ascii="Times New Roman" w:hAnsi="Times New Roman" w:cs="Times New Roman"/>
          <w:sz w:val="20"/>
          <w:szCs w:val="20"/>
          <w:lang w:val="en-AU"/>
        </w:rPr>
        <w:t>Professor Tatsujiro Suzuki</w:t>
      </w:r>
    </w:p>
    <w:p w14:paraId="11EEF863" w14:textId="77777777" w:rsidR="00CC7657" w:rsidRDefault="00CC7657" w:rsidP="00CC7657">
      <w:pPr>
        <w:pStyle w:val="Authornameandaffiliation"/>
        <w:rPr>
          <w:rFonts w:ascii="Times New Roman" w:hAnsi="Times New Roman" w:cs="Times New Roman"/>
          <w:sz w:val="20"/>
          <w:szCs w:val="20"/>
          <w:lang w:val="en-AU"/>
        </w:rPr>
      </w:pPr>
      <w:r w:rsidRPr="00B9636C">
        <w:rPr>
          <w:rFonts w:ascii="Times New Roman" w:hAnsi="Times New Roman" w:cs="Times New Roman"/>
          <w:sz w:val="20"/>
          <w:szCs w:val="20"/>
          <w:lang w:val="en-AU"/>
        </w:rPr>
        <w:t>Research Center for Nuclear Weapons Abolition (RECNA)</w:t>
      </w:r>
    </w:p>
    <w:p w14:paraId="17BBA377" w14:textId="77777777" w:rsidR="00CC7657" w:rsidRPr="00B9636C" w:rsidRDefault="00CC7657" w:rsidP="00CC7657">
      <w:pPr>
        <w:pStyle w:val="Authornameandaffiliation"/>
        <w:rPr>
          <w:rFonts w:ascii="Times New Roman" w:hAnsi="Times New Roman" w:cs="Times New Roman"/>
          <w:sz w:val="20"/>
          <w:szCs w:val="20"/>
          <w:lang w:val="en-AU"/>
        </w:rPr>
      </w:pPr>
      <w:r w:rsidRPr="00B9636C">
        <w:rPr>
          <w:rFonts w:ascii="Times New Roman" w:hAnsi="Times New Roman" w:cs="Times New Roman"/>
          <w:sz w:val="20"/>
          <w:szCs w:val="20"/>
          <w:lang w:val="en-AU"/>
        </w:rPr>
        <w:t xml:space="preserve">Nagasaki University, Japan. </w:t>
      </w:r>
    </w:p>
    <w:p w14:paraId="147ADA3C" w14:textId="77777777" w:rsidR="00CC7657" w:rsidRDefault="00CC7657" w:rsidP="00CC7657">
      <w:pPr>
        <w:pStyle w:val="Authornameandaffiliation"/>
        <w:rPr>
          <w:rFonts w:ascii="Times New Roman" w:hAnsi="Times New Roman" w:cs="Times New Roman"/>
          <w:sz w:val="20"/>
          <w:szCs w:val="20"/>
        </w:rPr>
      </w:pPr>
    </w:p>
    <w:p w14:paraId="4812E6A5" w14:textId="77777777" w:rsidR="00CC7657" w:rsidRPr="005E69B2" w:rsidRDefault="00CC7657" w:rsidP="00CC7657">
      <w:pPr>
        <w:pStyle w:val="Authornameandaffiliation"/>
        <w:rPr>
          <w:rFonts w:ascii="Times New Roman" w:hAnsi="Times New Roman" w:cs="Times New Roman"/>
          <w:sz w:val="20"/>
          <w:szCs w:val="20"/>
        </w:rPr>
      </w:pPr>
    </w:p>
    <w:p w14:paraId="18272049" w14:textId="77777777" w:rsidR="00CC7657" w:rsidRPr="005E69B2" w:rsidRDefault="00CC7657" w:rsidP="00CC7657">
      <w:pPr>
        <w:pStyle w:val="Authornameandaffiliation"/>
        <w:rPr>
          <w:rFonts w:ascii="Times New Roman" w:hAnsi="Times New Roman" w:cs="Times New Roman"/>
          <w:sz w:val="20"/>
          <w:szCs w:val="20"/>
        </w:rPr>
      </w:pPr>
    </w:p>
    <w:p w14:paraId="300E49EA" w14:textId="77777777" w:rsidR="00CC7657" w:rsidRPr="005E69B2" w:rsidRDefault="00CC7657" w:rsidP="00CC7657">
      <w:pPr>
        <w:pStyle w:val="Authornameandaffiliation"/>
        <w:rPr>
          <w:rFonts w:ascii="Times New Roman" w:hAnsi="Times New Roman" w:cs="Times New Roman"/>
          <w:b/>
          <w:sz w:val="20"/>
          <w:szCs w:val="20"/>
        </w:rPr>
      </w:pPr>
      <w:r w:rsidRPr="005E69B2">
        <w:rPr>
          <w:rFonts w:ascii="Times New Roman" w:hAnsi="Times New Roman" w:cs="Times New Roman"/>
          <w:b/>
          <w:sz w:val="20"/>
          <w:szCs w:val="20"/>
        </w:rPr>
        <w:t>Abstract</w:t>
      </w:r>
    </w:p>
    <w:p w14:paraId="2F367518" w14:textId="77777777" w:rsidR="00CC7657" w:rsidRDefault="00CC7657" w:rsidP="00CC7657">
      <w:pPr>
        <w:pStyle w:val="Authornameandaffiliation"/>
        <w:rPr>
          <w:rFonts w:ascii="Times New Roman" w:hAnsi="Times New Roman" w:cs="Times New Roman"/>
          <w:sz w:val="20"/>
          <w:szCs w:val="20"/>
        </w:rPr>
      </w:pPr>
    </w:p>
    <w:p w14:paraId="5736E073" w14:textId="77777777" w:rsidR="00CC7657" w:rsidRPr="00160888" w:rsidRDefault="00CC7657" w:rsidP="00CC7657">
      <w:pPr>
        <w:spacing w:after="0" w:line="240" w:lineRule="atLeast"/>
        <w:ind w:firstLine="567"/>
        <w:jc w:val="both"/>
        <w:rPr>
          <w:rFonts w:ascii="Times New Roman" w:hAnsi="Times New Roman" w:cs="Times New Roman"/>
          <w:sz w:val="18"/>
          <w:szCs w:val="18"/>
        </w:rPr>
      </w:pPr>
      <w:bookmarkStart w:id="1" w:name="_Hlk24122831"/>
      <w:r w:rsidRPr="00160888">
        <w:rPr>
          <w:rFonts w:ascii="Times New Roman" w:hAnsi="Times New Roman" w:cs="Times New Roman"/>
          <w:sz w:val="18"/>
          <w:szCs w:val="18"/>
        </w:rPr>
        <w:t xml:space="preserve">The paper discusses nuclear security risks relating to reprocessing and use of plutonium in civilian nuclear programs. These risks are usually considered in terms of state-level proliferation. Unirradiated plutonium, however, also presents risks in terms of nuclear security. While the greatest concern here is the possible use of plutonium by non-state actors (terrorists) for a nuclear explosive device, this is by no means the only risk. Terrorists could also use plutonium in a radiation dispersal device. Further, the prolonged storage of spent fuel in ponds awaiting reprocessing presents greater risk of sabotage compared with spent fuel in dry storage. In contrast to actions taken to reduce proliferation and terrorism risks from highly enriched uranium, minimizing the risks from separation and use of plutonium has been given far less attention. Global stocks of unirradiated civilian plutonium have continued to grow and, indeed, substantially exceed military stocks. Nuclear security is not limited to physical protection but must also include measures to avoid or minimize risk. Effective physical protection, through rigorous standards, overseen by strong regulators and appropriate peer review, is essential at all stages in the storage, handling, transport and use of plutonium. In addition, risk mitigation requires halting and reversing the growth in plutonium stocks. The historic rationales for reprocessing no longer apply. States operating or considering reprocessing programs should be prepared to thoroughly review the technical and economic rationales for these programs, with special attention to the security aspects, and to forswear the pursuit of plutonium-based fuels unless and until there is some unforeseen circumstance where the use of such fuels makes economic and technical sense. The paper suggests a number of specific measures, including the establishment of a multilateral forum to consider these matters. </w:t>
      </w:r>
    </w:p>
    <w:bookmarkEnd w:id="1"/>
    <w:p w14:paraId="6F4D8799" w14:textId="77777777" w:rsidR="00CC7657" w:rsidRDefault="00CC7657" w:rsidP="00CC7657">
      <w:pPr>
        <w:pStyle w:val="Heading2"/>
        <w:numPr>
          <w:ilvl w:val="0"/>
          <w:numId w:val="3"/>
        </w:numPr>
        <w:tabs>
          <w:tab w:val="left" w:pos="567"/>
        </w:tabs>
        <w:ind w:left="0" w:firstLine="0"/>
      </w:pPr>
      <w:r>
        <w:t>INTRODUCTION</w:t>
      </w:r>
    </w:p>
    <w:p w14:paraId="0C57E109" w14:textId="77777777" w:rsidR="00CC7657" w:rsidRDefault="00CC7657" w:rsidP="00CC7657">
      <w:pPr>
        <w:spacing w:after="0" w:line="260" w:lineRule="atLeast"/>
        <w:ind w:firstLine="567"/>
        <w:jc w:val="both"/>
        <w:rPr>
          <w:rFonts w:ascii="Times New Roman" w:hAnsi="Times New Roman" w:cs="Times New Roman"/>
          <w:sz w:val="20"/>
          <w:szCs w:val="20"/>
        </w:rPr>
      </w:pPr>
      <w:r w:rsidRPr="00EE441D">
        <w:rPr>
          <w:rFonts w:ascii="Times New Roman" w:hAnsi="Times New Roman" w:cs="Times New Roman"/>
          <w:sz w:val="20"/>
          <w:szCs w:val="20"/>
        </w:rPr>
        <w:t>Th</w:t>
      </w:r>
      <w:r>
        <w:rPr>
          <w:rFonts w:ascii="Times New Roman" w:hAnsi="Times New Roman" w:cs="Times New Roman"/>
          <w:sz w:val="20"/>
          <w:szCs w:val="20"/>
        </w:rPr>
        <w:t>e</w:t>
      </w:r>
      <w:r w:rsidRPr="00EE441D">
        <w:rPr>
          <w:rFonts w:ascii="Times New Roman" w:hAnsi="Times New Roman" w:cs="Times New Roman"/>
          <w:sz w:val="20"/>
          <w:szCs w:val="20"/>
        </w:rPr>
        <w:t xml:space="preserve"> paper discusses </w:t>
      </w:r>
      <w:r>
        <w:rPr>
          <w:rFonts w:ascii="Times New Roman" w:hAnsi="Times New Roman" w:cs="Times New Roman"/>
          <w:sz w:val="20"/>
          <w:szCs w:val="20"/>
        </w:rPr>
        <w:t xml:space="preserve">nuclear security risks </w:t>
      </w:r>
      <w:r w:rsidRPr="00EE441D">
        <w:rPr>
          <w:rFonts w:ascii="Times New Roman" w:hAnsi="Times New Roman" w:cs="Times New Roman"/>
          <w:sz w:val="20"/>
          <w:szCs w:val="20"/>
        </w:rPr>
        <w:t xml:space="preserve">relating to </w:t>
      </w:r>
      <w:r>
        <w:rPr>
          <w:rFonts w:ascii="Times New Roman" w:hAnsi="Times New Roman" w:cs="Times New Roman"/>
          <w:sz w:val="20"/>
          <w:szCs w:val="20"/>
        </w:rPr>
        <w:t>unirradiated</w:t>
      </w:r>
      <w:r w:rsidRPr="00EE441D">
        <w:rPr>
          <w:rFonts w:ascii="Times New Roman" w:hAnsi="Times New Roman" w:cs="Times New Roman"/>
          <w:sz w:val="20"/>
          <w:szCs w:val="20"/>
        </w:rPr>
        <w:t xml:space="preserve"> plutonium in civilian nuclear programs, that is, plutonium that has been chemically separated from </w:t>
      </w:r>
      <w:r>
        <w:rPr>
          <w:rFonts w:ascii="Times New Roman" w:hAnsi="Times New Roman" w:cs="Times New Roman"/>
          <w:sz w:val="20"/>
          <w:szCs w:val="20"/>
        </w:rPr>
        <w:t xml:space="preserve">fission products and uranium in </w:t>
      </w:r>
      <w:r w:rsidRPr="00EE441D">
        <w:rPr>
          <w:rFonts w:ascii="Times New Roman" w:hAnsi="Times New Roman" w:cs="Times New Roman"/>
          <w:sz w:val="20"/>
          <w:szCs w:val="20"/>
        </w:rPr>
        <w:t>spent nuclear reactor fuel by reprocessing</w:t>
      </w:r>
      <w:r>
        <w:rPr>
          <w:rFonts w:ascii="Times New Roman" w:hAnsi="Times New Roman" w:cs="Times New Roman"/>
          <w:sz w:val="20"/>
          <w:szCs w:val="20"/>
        </w:rPr>
        <w:t xml:space="preserve"> but</w:t>
      </w:r>
      <w:r w:rsidRPr="00EE441D">
        <w:rPr>
          <w:rFonts w:ascii="Times New Roman" w:hAnsi="Times New Roman" w:cs="Times New Roman"/>
          <w:sz w:val="20"/>
          <w:szCs w:val="20"/>
        </w:rPr>
        <w:t xml:space="preserve"> has not been reintroduced into a nuclear reactor and subjected to further irradiation.</w:t>
      </w:r>
    </w:p>
    <w:p w14:paraId="2260D1D7" w14:textId="77777777" w:rsidR="00CC7657" w:rsidRPr="00766666" w:rsidRDefault="00CC7657" w:rsidP="00CC7657">
      <w:pPr>
        <w:spacing w:after="0" w:line="260" w:lineRule="atLeast"/>
        <w:ind w:firstLine="567"/>
        <w:jc w:val="both"/>
        <w:rPr>
          <w:rFonts w:ascii="Times New Roman" w:hAnsi="Times New Roman" w:cs="Times New Roman"/>
          <w:sz w:val="20"/>
          <w:szCs w:val="20"/>
        </w:rPr>
      </w:pPr>
      <w:r w:rsidRPr="00766666">
        <w:rPr>
          <w:rFonts w:ascii="Times New Roman" w:hAnsi="Times New Roman" w:cs="Times New Roman"/>
          <w:sz w:val="20"/>
          <w:szCs w:val="20"/>
        </w:rPr>
        <w:t xml:space="preserve">Risks involved with reprocessing and use of plutonium in civilian nuclear programs are usually </w:t>
      </w:r>
      <w:r>
        <w:rPr>
          <w:rFonts w:ascii="Times New Roman" w:hAnsi="Times New Roman" w:cs="Times New Roman"/>
          <w:sz w:val="20"/>
          <w:szCs w:val="20"/>
        </w:rPr>
        <w:t>thought of</w:t>
      </w:r>
      <w:r w:rsidRPr="00766666">
        <w:rPr>
          <w:rFonts w:ascii="Times New Roman" w:hAnsi="Times New Roman" w:cs="Times New Roman"/>
          <w:sz w:val="20"/>
          <w:szCs w:val="20"/>
        </w:rPr>
        <w:t xml:space="preserve"> in terms of proliferation, </w:t>
      </w:r>
      <w:r>
        <w:rPr>
          <w:rFonts w:ascii="Times New Roman" w:hAnsi="Times New Roman" w:cs="Times New Roman"/>
          <w:sz w:val="20"/>
          <w:szCs w:val="20"/>
        </w:rPr>
        <w:t>namely</w:t>
      </w:r>
      <w:r w:rsidRPr="00766666">
        <w:rPr>
          <w:rFonts w:ascii="Times New Roman" w:hAnsi="Times New Roman" w:cs="Times New Roman"/>
          <w:sz w:val="20"/>
          <w:szCs w:val="20"/>
        </w:rPr>
        <w:t xml:space="preserve">, the possible use of such plutonium by states to produce nuclear weapons. </w:t>
      </w:r>
      <w:r>
        <w:rPr>
          <w:rFonts w:ascii="Times New Roman" w:hAnsi="Times New Roman" w:cs="Times New Roman"/>
          <w:sz w:val="20"/>
          <w:szCs w:val="20"/>
        </w:rPr>
        <w:t>I</w:t>
      </w:r>
      <w:r w:rsidRPr="00766666">
        <w:rPr>
          <w:rFonts w:ascii="Times New Roman" w:hAnsi="Times New Roman" w:cs="Times New Roman"/>
          <w:sz w:val="20"/>
          <w:szCs w:val="20"/>
        </w:rPr>
        <w:t>n addition to proliferation</w:t>
      </w:r>
      <w:r>
        <w:rPr>
          <w:rFonts w:ascii="Times New Roman" w:hAnsi="Times New Roman" w:cs="Times New Roman"/>
          <w:sz w:val="20"/>
          <w:szCs w:val="20"/>
        </w:rPr>
        <w:t xml:space="preserve"> risks</w:t>
      </w:r>
      <w:r w:rsidRPr="00766666">
        <w:rPr>
          <w:rFonts w:ascii="Times New Roman" w:hAnsi="Times New Roman" w:cs="Times New Roman"/>
          <w:sz w:val="20"/>
          <w:szCs w:val="20"/>
        </w:rPr>
        <w:t xml:space="preserve">, </w:t>
      </w:r>
      <w:r>
        <w:rPr>
          <w:rFonts w:ascii="Times New Roman" w:hAnsi="Times New Roman" w:cs="Times New Roman"/>
          <w:sz w:val="20"/>
          <w:szCs w:val="20"/>
        </w:rPr>
        <w:t>however, unirradiated</w:t>
      </w:r>
      <w:r w:rsidRPr="00766666">
        <w:rPr>
          <w:rFonts w:ascii="Times New Roman" w:hAnsi="Times New Roman" w:cs="Times New Roman"/>
          <w:sz w:val="20"/>
          <w:szCs w:val="20"/>
        </w:rPr>
        <w:t xml:space="preserve"> plutonium also presents risks in terms of nuclear security</w:t>
      </w:r>
      <w:r>
        <w:rPr>
          <w:rFonts w:ascii="Times New Roman" w:hAnsi="Times New Roman" w:cs="Times New Roman"/>
          <w:sz w:val="20"/>
          <w:szCs w:val="20"/>
        </w:rPr>
        <w:t xml:space="preserve">, </w:t>
      </w:r>
      <w:r w:rsidRPr="00766666">
        <w:rPr>
          <w:rFonts w:ascii="Times New Roman" w:hAnsi="Times New Roman" w:cs="Times New Roman"/>
          <w:sz w:val="20"/>
          <w:szCs w:val="20"/>
        </w:rPr>
        <w:t>relating to possible actions by non-state actors (terrorists).</w:t>
      </w:r>
    </w:p>
    <w:p w14:paraId="307E8AF8" w14:textId="3FADCC5D" w:rsidR="00CC7657" w:rsidRPr="00766666" w:rsidRDefault="00CC7657" w:rsidP="00AB78D7">
      <w:pPr>
        <w:spacing w:after="0" w:line="260" w:lineRule="atLeast"/>
        <w:ind w:firstLine="567"/>
        <w:jc w:val="both"/>
        <w:rPr>
          <w:rFonts w:ascii="Times New Roman" w:hAnsi="Times New Roman" w:cs="Times New Roman"/>
          <w:sz w:val="20"/>
          <w:szCs w:val="20"/>
        </w:rPr>
      </w:pPr>
      <w:r w:rsidRPr="00766666">
        <w:rPr>
          <w:rFonts w:ascii="Times New Roman" w:hAnsi="Times New Roman" w:cs="Times New Roman"/>
          <w:sz w:val="20"/>
          <w:szCs w:val="20"/>
        </w:rPr>
        <w:t xml:space="preserve">Plutonium is described as a </w:t>
      </w:r>
      <w:r w:rsidRPr="00766666">
        <w:rPr>
          <w:rFonts w:ascii="Times New Roman" w:hAnsi="Times New Roman" w:cs="Times New Roman"/>
          <w:i/>
          <w:iCs/>
          <w:sz w:val="20"/>
          <w:szCs w:val="20"/>
        </w:rPr>
        <w:t>direct use material</w:t>
      </w:r>
      <w:r w:rsidRPr="00766666">
        <w:rPr>
          <w:rFonts w:ascii="Times New Roman" w:hAnsi="Times New Roman" w:cs="Times New Roman"/>
          <w:sz w:val="20"/>
          <w:szCs w:val="20"/>
        </w:rPr>
        <w:t xml:space="preserve">, that is, nuclear material that can be used for the manufacture of nuclear explosive devices without transmutation or further enrichment. Unirradiated plutonium is especially attractive for terrorist purposes as, by definition, it </w:t>
      </w:r>
      <w:r>
        <w:rPr>
          <w:rFonts w:ascii="Times New Roman" w:hAnsi="Times New Roman" w:cs="Times New Roman"/>
          <w:sz w:val="20"/>
          <w:szCs w:val="20"/>
        </w:rPr>
        <w:t xml:space="preserve">has been separated </w:t>
      </w:r>
      <w:r w:rsidRPr="00766666">
        <w:rPr>
          <w:rFonts w:ascii="Times New Roman" w:hAnsi="Times New Roman" w:cs="Times New Roman"/>
          <w:sz w:val="20"/>
          <w:szCs w:val="20"/>
        </w:rPr>
        <w:t xml:space="preserve">from </w:t>
      </w:r>
      <w:r>
        <w:rPr>
          <w:rFonts w:ascii="Times New Roman" w:hAnsi="Times New Roman" w:cs="Times New Roman"/>
          <w:sz w:val="20"/>
          <w:szCs w:val="20"/>
        </w:rPr>
        <w:t xml:space="preserve">highly radioactive </w:t>
      </w:r>
      <w:r w:rsidRPr="00766666">
        <w:rPr>
          <w:rFonts w:ascii="Times New Roman" w:hAnsi="Times New Roman" w:cs="Times New Roman"/>
          <w:sz w:val="20"/>
          <w:szCs w:val="20"/>
        </w:rPr>
        <w:t xml:space="preserve">fission </w:t>
      </w:r>
      <w:r w:rsidRPr="00766666">
        <w:rPr>
          <w:rFonts w:ascii="Times New Roman" w:hAnsi="Times New Roman" w:cs="Times New Roman"/>
          <w:sz w:val="20"/>
          <w:szCs w:val="20"/>
        </w:rPr>
        <w:lastRenderedPageBreak/>
        <w:t>products.</w:t>
      </w:r>
      <w:r>
        <w:rPr>
          <w:rFonts w:ascii="Times New Roman" w:hAnsi="Times New Roman" w:cs="Times New Roman"/>
          <w:sz w:val="20"/>
          <w:szCs w:val="20"/>
        </w:rPr>
        <w:t xml:space="preserve"> </w:t>
      </w:r>
      <w:r w:rsidRPr="00766666">
        <w:rPr>
          <w:rFonts w:ascii="Times New Roman" w:hAnsi="Times New Roman" w:cs="Times New Roman"/>
          <w:sz w:val="20"/>
          <w:szCs w:val="20"/>
        </w:rPr>
        <w:t xml:space="preserve">Accordingly, for nuclear security purposes </w:t>
      </w:r>
      <w:r>
        <w:rPr>
          <w:rFonts w:ascii="Times New Roman" w:hAnsi="Times New Roman" w:cs="Times New Roman"/>
          <w:sz w:val="20"/>
          <w:szCs w:val="20"/>
        </w:rPr>
        <w:t>the International Atomic Energy Agency (IAEA) has placed unirradiated</w:t>
      </w:r>
      <w:r w:rsidRPr="00766666">
        <w:rPr>
          <w:rFonts w:ascii="Times New Roman" w:hAnsi="Times New Roman" w:cs="Times New Roman"/>
          <w:sz w:val="20"/>
          <w:szCs w:val="20"/>
        </w:rPr>
        <w:t xml:space="preserve"> plutonium in the highest risk category (Category I)</w:t>
      </w:r>
      <w:r>
        <w:rPr>
          <w:rFonts w:ascii="Times New Roman" w:hAnsi="Times New Roman" w:cs="Times New Roman"/>
          <w:sz w:val="20"/>
          <w:szCs w:val="20"/>
        </w:rPr>
        <w:t xml:space="preserve"> [1].</w:t>
      </w:r>
    </w:p>
    <w:p w14:paraId="01A61441" w14:textId="77777777" w:rsidR="00CC7657" w:rsidRPr="00766666" w:rsidRDefault="00CC7657" w:rsidP="00CC7657">
      <w:pPr>
        <w:spacing w:after="0" w:line="260" w:lineRule="atLeast"/>
        <w:ind w:firstLine="567"/>
        <w:jc w:val="both"/>
        <w:rPr>
          <w:rFonts w:ascii="Times New Roman" w:hAnsi="Times New Roman" w:cs="Times New Roman"/>
          <w:sz w:val="20"/>
          <w:szCs w:val="20"/>
        </w:rPr>
      </w:pPr>
      <w:r w:rsidRPr="00766666">
        <w:rPr>
          <w:rFonts w:ascii="Times New Roman" w:hAnsi="Times New Roman" w:cs="Times New Roman"/>
          <w:sz w:val="20"/>
          <w:szCs w:val="20"/>
        </w:rPr>
        <w:t xml:space="preserve">While from the nuclear security perspective the greatest concern is the possibility that </w:t>
      </w:r>
      <w:r>
        <w:rPr>
          <w:rFonts w:ascii="Times New Roman" w:hAnsi="Times New Roman" w:cs="Times New Roman"/>
          <w:sz w:val="20"/>
          <w:szCs w:val="20"/>
        </w:rPr>
        <w:t>unirradiated</w:t>
      </w:r>
      <w:r w:rsidRPr="00766666">
        <w:rPr>
          <w:rFonts w:ascii="Times New Roman" w:hAnsi="Times New Roman" w:cs="Times New Roman"/>
          <w:sz w:val="20"/>
          <w:szCs w:val="20"/>
        </w:rPr>
        <w:t xml:space="preserve"> plutonium could be seized or otherwise acquired by terrorists and used to produce a nuclear explosive device,</w:t>
      </w:r>
      <w:r>
        <w:rPr>
          <w:rFonts w:ascii="Times New Roman" w:hAnsi="Times New Roman" w:cs="Times New Roman"/>
          <w:sz w:val="20"/>
          <w:szCs w:val="20"/>
        </w:rPr>
        <w:t xml:space="preserve"> </w:t>
      </w:r>
      <w:r w:rsidRPr="00766666">
        <w:rPr>
          <w:rFonts w:ascii="Times New Roman" w:hAnsi="Times New Roman" w:cs="Times New Roman"/>
          <w:sz w:val="20"/>
          <w:szCs w:val="20"/>
        </w:rPr>
        <w:t xml:space="preserve">this is by no means the only risk. Terrorists could also use plutonium in a radiation dispersal device, by which conventional explosives are used to spread radioactive contamination. </w:t>
      </w:r>
      <w:r>
        <w:rPr>
          <w:rFonts w:ascii="Times New Roman" w:hAnsi="Times New Roman" w:cs="Times New Roman"/>
          <w:sz w:val="20"/>
          <w:szCs w:val="20"/>
        </w:rPr>
        <w:t>A radiation dispersal device would be relatively easy to make compared with a nuclear explosive device. The consequences might not be as severe as a nuclear explosion but could nonetheless include major political and economic impact. Because even a trace amount of plutonium could cause cancer if inhaled, contamination from the detonation of such a device might take years to clean up to levels acceptable to the public.</w:t>
      </w:r>
    </w:p>
    <w:p w14:paraId="5B63B204" w14:textId="77777777" w:rsidR="00CC7657" w:rsidRPr="00766666" w:rsidRDefault="00CC7657" w:rsidP="00CC7657">
      <w:pPr>
        <w:spacing w:after="0" w:line="260" w:lineRule="atLeast"/>
        <w:ind w:firstLine="567"/>
        <w:jc w:val="both"/>
        <w:rPr>
          <w:rFonts w:ascii="Times New Roman" w:hAnsi="Times New Roman" w:cs="Times New Roman"/>
          <w:sz w:val="20"/>
          <w:szCs w:val="20"/>
        </w:rPr>
      </w:pPr>
      <w:r w:rsidRPr="00766666">
        <w:rPr>
          <w:rFonts w:ascii="Times New Roman" w:hAnsi="Times New Roman" w:cs="Times New Roman"/>
          <w:sz w:val="20"/>
          <w:szCs w:val="20"/>
        </w:rPr>
        <w:t xml:space="preserve">Further, the processing chain for separating plutonium presents risks of sabotage aimed at spreading radioactive contamination. This risk applies not only to the </w:t>
      </w:r>
      <w:r>
        <w:rPr>
          <w:rFonts w:ascii="Times New Roman" w:hAnsi="Times New Roman" w:cs="Times New Roman"/>
          <w:sz w:val="20"/>
          <w:szCs w:val="20"/>
        </w:rPr>
        <w:t>unirradiated</w:t>
      </w:r>
      <w:r w:rsidRPr="00766666">
        <w:rPr>
          <w:rFonts w:ascii="Times New Roman" w:hAnsi="Times New Roman" w:cs="Times New Roman"/>
          <w:sz w:val="20"/>
          <w:szCs w:val="20"/>
        </w:rPr>
        <w:t xml:space="preserve"> plutonium product, but to reprocessing operations</w:t>
      </w:r>
      <w:r>
        <w:rPr>
          <w:rFonts w:ascii="Times New Roman" w:hAnsi="Times New Roman" w:cs="Times New Roman"/>
          <w:sz w:val="20"/>
          <w:szCs w:val="20"/>
        </w:rPr>
        <w:t xml:space="preserve"> and</w:t>
      </w:r>
      <w:r w:rsidRPr="00766666">
        <w:rPr>
          <w:rFonts w:ascii="Times New Roman" w:hAnsi="Times New Roman" w:cs="Times New Roman"/>
          <w:sz w:val="20"/>
          <w:szCs w:val="20"/>
        </w:rPr>
        <w:t xml:space="preserve"> radioactive waste handling and storage</w:t>
      </w:r>
      <w:r>
        <w:rPr>
          <w:rFonts w:ascii="Times New Roman" w:hAnsi="Times New Roman" w:cs="Times New Roman"/>
          <w:sz w:val="20"/>
          <w:szCs w:val="20"/>
        </w:rPr>
        <w:t xml:space="preserve">. In addition, states with reprocessing programs maintain their spent fuel in ponds for extended periods pending reprocessing rather than transferring it to dry cask storage and then permanent disposal. Keeping spent fuel in spent fuel ponds for extended periods, especially if dense packing is employed, presents a nuclear security risk. An attack leading to loss of coolant could result in a spent fuel fire and dramatic radiological consequences [2]. </w:t>
      </w:r>
      <w:bookmarkStart w:id="2" w:name="_Hlk23352022"/>
    </w:p>
    <w:bookmarkEnd w:id="2"/>
    <w:p w14:paraId="1AB12A55" w14:textId="77777777" w:rsidR="00CC7657" w:rsidRPr="00766666" w:rsidRDefault="00CC7657" w:rsidP="00CC7657">
      <w:pPr>
        <w:spacing w:after="0" w:line="260" w:lineRule="atLeast"/>
        <w:ind w:firstLine="567"/>
        <w:jc w:val="both"/>
        <w:rPr>
          <w:rFonts w:ascii="Times New Roman" w:hAnsi="Times New Roman" w:cs="Times New Roman"/>
          <w:sz w:val="20"/>
          <w:szCs w:val="20"/>
        </w:rPr>
      </w:pPr>
      <w:r w:rsidRPr="00766666">
        <w:rPr>
          <w:rFonts w:ascii="Times New Roman" w:hAnsi="Times New Roman" w:cs="Times New Roman"/>
          <w:sz w:val="20"/>
          <w:szCs w:val="20"/>
        </w:rPr>
        <w:t>The absence to date of terrorist attacks involving plutonium certainly do</w:t>
      </w:r>
      <w:r>
        <w:rPr>
          <w:rFonts w:ascii="Times New Roman" w:hAnsi="Times New Roman" w:cs="Times New Roman"/>
          <w:sz w:val="20"/>
          <w:szCs w:val="20"/>
        </w:rPr>
        <w:t>es</w:t>
      </w:r>
      <w:r w:rsidRPr="00766666">
        <w:rPr>
          <w:rFonts w:ascii="Times New Roman" w:hAnsi="Times New Roman" w:cs="Times New Roman"/>
          <w:sz w:val="20"/>
          <w:szCs w:val="20"/>
        </w:rPr>
        <w:t xml:space="preserve"> not mean the risks are negligible. Risk reduction measures must be given high priority. Obviously</w:t>
      </w:r>
      <w:r>
        <w:rPr>
          <w:rFonts w:ascii="Times New Roman" w:hAnsi="Times New Roman" w:cs="Times New Roman"/>
          <w:sz w:val="20"/>
          <w:szCs w:val="20"/>
        </w:rPr>
        <w:t>,</w:t>
      </w:r>
      <w:r w:rsidRPr="00766666">
        <w:rPr>
          <w:rFonts w:ascii="Times New Roman" w:hAnsi="Times New Roman" w:cs="Times New Roman"/>
          <w:sz w:val="20"/>
          <w:szCs w:val="20"/>
        </w:rPr>
        <w:t xml:space="preserve"> such measures must include rigorous protection of </w:t>
      </w:r>
      <w:r>
        <w:rPr>
          <w:rFonts w:ascii="Times New Roman" w:hAnsi="Times New Roman" w:cs="Times New Roman"/>
          <w:sz w:val="20"/>
          <w:szCs w:val="20"/>
        </w:rPr>
        <w:t>unirradiated</w:t>
      </w:r>
      <w:r w:rsidRPr="00766666">
        <w:rPr>
          <w:rFonts w:ascii="Times New Roman" w:hAnsi="Times New Roman" w:cs="Times New Roman"/>
          <w:sz w:val="20"/>
          <w:szCs w:val="20"/>
        </w:rPr>
        <w:t xml:space="preserve"> plutonium in its various forms (bulk material, fuel assemblies, and so on). An essential aspect of risk reduction must also include, where possible, measures to avoid the risk arising in the first place – in other words, a major step towards containing and reducing the risks arising from plutonium separation would be the cessation of reprocessing. </w:t>
      </w:r>
      <w:r>
        <w:rPr>
          <w:rFonts w:ascii="Times New Roman" w:hAnsi="Times New Roman" w:cs="Times New Roman"/>
          <w:sz w:val="20"/>
          <w:szCs w:val="20"/>
        </w:rPr>
        <w:t xml:space="preserve">Current </w:t>
      </w:r>
      <w:r w:rsidRPr="00766666">
        <w:rPr>
          <w:rFonts w:ascii="Times New Roman" w:hAnsi="Times New Roman" w:cs="Times New Roman"/>
          <w:sz w:val="20"/>
          <w:szCs w:val="20"/>
        </w:rPr>
        <w:t>risks should not be added to through continuation and expansion of programs involving reprocessing and use of plutonium fuels.</w:t>
      </w:r>
    </w:p>
    <w:p w14:paraId="19B1CCE2" w14:textId="77777777" w:rsidR="00CC7657" w:rsidRPr="005E69B2" w:rsidRDefault="00CC7657" w:rsidP="00CC7657">
      <w:pPr>
        <w:pStyle w:val="Heading2"/>
        <w:numPr>
          <w:ilvl w:val="0"/>
          <w:numId w:val="3"/>
        </w:numPr>
        <w:tabs>
          <w:tab w:val="left" w:pos="567"/>
        </w:tabs>
        <w:ind w:left="0" w:firstLine="0"/>
      </w:pPr>
      <w:r w:rsidRPr="005E69B2">
        <w:t xml:space="preserve">Civilian stocks of </w:t>
      </w:r>
      <w:r>
        <w:t>UNIRRADIATED</w:t>
      </w:r>
      <w:r w:rsidRPr="005E69B2">
        <w:t xml:space="preserve"> plutonium </w:t>
      </w:r>
      <w:r>
        <w:t xml:space="preserve">CONTINUE TO </w:t>
      </w:r>
      <w:r w:rsidRPr="005E69B2">
        <w:t>increas</w:t>
      </w:r>
      <w:r>
        <w:t>E</w:t>
      </w:r>
    </w:p>
    <w:p w14:paraId="550DB0F3" w14:textId="77777777" w:rsidR="00CC7657" w:rsidRDefault="00CC7657" w:rsidP="00CC7657">
      <w:pPr>
        <w:spacing w:after="0" w:line="260" w:lineRule="atLeast"/>
        <w:ind w:firstLine="567"/>
        <w:jc w:val="both"/>
        <w:rPr>
          <w:rFonts w:ascii="Times New Roman" w:hAnsi="Times New Roman" w:cs="Times New Roman"/>
          <w:sz w:val="20"/>
          <w:szCs w:val="20"/>
        </w:rPr>
      </w:pPr>
      <w:r w:rsidRPr="00766666">
        <w:rPr>
          <w:rFonts w:ascii="Times New Roman" w:hAnsi="Times New Roman" w:cs="Times New Roman"/>
          <w:sz w:val="20"/>
          <w:szCs w:val="20"/>
        </w:rPr>
        <w:t xml:space="preserve">In contrast to the other </w:t>
      </w:r>
      <w:r w:rsidRPr="00766666">
        <w:rPr>
          <w:rFonts w:ascii="Times New Roman" w:hAnsi="Times New Roman" w:cs="Times New Roman"/>
          <w:i/>
          <w:iCs/>
          <w:sz w:val="20"/>
          <w:szCs w:val="20"/>
        </w:rPr>
        <w:t>direct use material</w:t>
      </w:r>
      <w:r w:rsidRPr="00766666">
        <w:rPr>
          <w:rFonts w:ascii="Times New Roman" w:hAnsi="Times New Roman" w:cs="Times New Roman"/>
          <w:sz w:val="20"/>
          <w:szCs w:val="20"/>
        </w:rPr>
        <w:t>, highly enriched uranium (HEU), minimi</w:t>
      </w:r>
      <w:r>
        <w:rPr>
          <w:rFonts w:ascii="Times New Roman" w:hAnsi="Times New Roman" w:cs="Times New Roman"/>
          <w:sz w:val="20"/>
          <w:szCs w:val="20"/>
        </w:rPr>
        <w:t>z</w:t>
      </w:r>
      <w:r w:rsidRPr="00766666">
        <w:rPr>
          <w:rFonts w:ascii="Times New Roman" w:hAnsi="Times New Roman" w:cs="Times New Roman"/>
          <w:sz w:val="20"/>
          <w:szCs w:val="20"/>
        </w:rPr>
        <w:t xml:space="preserve">ing the risks from separation and use of plutonium has been given </w:t>
      </w:r>
      <w:r>
        <w:rPr>
          <w:rFonts w:ascii="Times New Roman" w:hAnsi="Times New Roman" w:cs="Times New Roman"/>
          <w:sz w:val="20"/>
          <w:szCs w:val="20"/>
        </w:rPr>
        <w:t xml:space="preserve">far less </w:t>
      </w:r>
      <w:r w:rsidRPr="00766666">
        <w:rPr>
          <w:rFonts w:ascii="Times New Roman" w:hAnsi="Times New Roman" w:cs="Times New Roman"/>
          <w:sz w:val="20"/>
          <w:szCs w:val="20"/>
        </w:rPr>
        <w:t>attention</w:t>
      </w:r>
      <w:r>
        <w:rPr>
          <w:rFonts w:ascii="Times New Roman" w:hAnsi="Times New Roman" w:cs="Times New Roman"/>
          <w:sz w:val="20"/>
          <w:szCs w:val="20"/>
        </w:rPr>
        <w:t xml:space="preserve"> [3]</w:t>
      </w:r>
      <w:r w:rsidRPr="00766666">
        <w:rPr>
          <w:rFonts w:ascii="Times New Roman" w:hAnsi="Times New Roman" w:cs="Times New Roman"/>
          <w:sz w:val="20"/>
          <w:szCs w:val="20"/>
        </w:rPr>
        <w:t>. There has been concerted international action to cease production of HEU, reduce stocks of th</w:t>
      </w:r>
      <w:r>
        <w:rPr>
          <w:rFonts w:ascii="Times New Roman" w:hAnsi="Times New Roman" w:cs="Times New Roman"/>
          <w:sz w:val="20"/>
          <w:szCs w:val="20"/>
        </w:rPr>
        <w:t>is</w:t>
      </w:r>
      <w:r w:rsidRPr="00766666">
        <w:rPr>
          <w:rFonts w:ascii="Times New Roman" w:hAnsi="Times New Roman" w:cs="Times New Roman"/>
          <w:sz w:val="20"/>
          <w:szCs w:val="20"/>
        </w:rPr>
        <w:t xml:space="preserve"> material, and as far as possible eliminate it from civilian use. Similar efforts have yet to be made for plutonium. </w:t>
      </w:r>
      <w:r w:rsidRPr="00A55492">
        <w:rPr>
          <w:rFonts w:ascii="Times New Roman" w:hAnsi="Times New Roman" w:cs="Times New Roman"/>
          <w:sz w:val="20"/>
          <w:szCs w:val="20"/>
        </w:rPr>
        <w:t xml:space="preserve">In those states that proceeded with civilian reprocessing programs, </w:t>
      </w:r>
      <w:r>
        <w:rPr>
          <w:rFonts w:ascii="Times New Roman" w:hAnsi="Times New Roman" w:cs="Times New Roman"/>
          <w:sz w:val="20"/>
          <w:szCs w:val="20"/>
        </w:rPr>
        <w:t xml:space="preserve">aggregate </w:t>
      </w:r>
      <w:r w:rsidRPr="00A55492">
        <w:rPr>
          <w:rFonts w:ascii="Times New Roman" w:hAnsi="Times New Roman" w:cs="Times New Roman"/>
          <w:sz w:val="20"/>
          <w:szCs w:val="20"/>
        </w:rPr>
        <w:t xml:space="preserve">stocks of </w:t>
      </w:r>
      <w:r>
        <w:rPr>
          <w:rFonts w:ascii="Times New Roman" w:hAnsi="Times New Roman" w:cs="Times New Roman"/>
          <w:sz w:val="20"/>
          <w:szCs w:val="20"/>
        </w:rPr>
        <w:t>unirradiated</w:t>
      </w:r>
      <w:r w:rsidRPr="00A55492">
        <w:rPr>
          <w:rFonts w:ascii="Times New Roman" w:hAnsi="Times New Roman" w:cs="Times New Roman"/>
          <w:sz w:val="20"/>
          <w:szCs w:val="20"/>
        </w:rPr>
        <w:t xml:space="preserve"> civilian plutonium have continued to grow.</w:t>
      </w:r>
      <w:r>
        <w:rPr>
          <w:rFonts w:ascii="Times New Roman" w:hAnsi="Times New Roman" w:cs="Times New Roman"/>
          <w:sz w:val="20"/>
          <w:szCs w:val="20"/>
        </w:rPr>
        <w:t xml:space="preserve"> Primarily this is due to a supply/demand imbalance – the rate of plutonium separation has substantially exceeded the rate of consumption of plutonium in new fuel. Contributing factors include the continuation of historic reprocessing contracts, postponement or cancellation of plutonium-fuel programs, and also transfers of excess plutonium from military programs. Compared with global </w:t>
      </w:r>
      <w:r w:rsidRPr="00A55492">
        <w:rPr>
          <w:rFonts w:ascii="Times New Roman" w:hAnsi="Times New Roman" w:cs="Times New Roman"/>
          <w:sz w:val="20"/>
          <w:szCs w:val="20"/>
        </w:rPr>
        <w:t>military plutonium stocks</w:t>
      </w:r>
      <w:r>
        <w:rPr>
          <w:rFonts w:ascii="Times New Roman" w:hAnsi="Times New Roman" w:cs="Times New Roman"/>
          <w:sz w:val="20"/>
          <w:szCs w:val="20"/>
        </w:rPr>
        <w:t xml:space="preserve">, as of the end of 2018 </w:t>
      </w:r>
      <w:r w:rsidRPr="00766666">
        <w:rPr>
          <w:rFonts w:ascii="Times New Roman" w:hAnsi="Times New Roman" w:cs="Times New Roman"/>
          <w:sz w:val="20"/>
          <w:szCs w:val="20"/>
        </w:rPr>
        <w:t xml:space="preserve">estimated </w:t>
      </w:r>
      <w:r>
        <w:rPr>
          <w:rFonts w:ascii="Times New Roman" w:hAnsi="Times New Roman" w:cs="Times New Roman"/>
          <w:sz w:val="20"/>
          <w:szCs w:val="20"/>
        </w:rPr>
        <w:t>at</w:t>
      </w:r>
      <w:r w:rsidRPr="00766666">
        <w:rPr>
          <w:rFonts w:ascii="Times New Roman" w:hAnsi="Times New Roman" w:cs="Times New Roman"/>
          <w:sz w:val="20"/>
          <w:szCs w:val="20"/>
        </w:rPr>
        <w:t xml:space="preserve"> around 220 tonnes</w:t>
      </w:r>
      <w:r>
        <w:rPr>
          <w:rFonts w:ascii="Times New Roman" w:hAnsi="Times New Roman" w:cs="Times New Roman"/>
          <w:sz w:val="20"/>
          <w:szCs w:val="20"/>
        </w:rPr>
        <w:t xml:space="preserve"> [4]</w:t>
      </w:r>
      <w:r w:rsidRPr="00766666">
        <w:rPr>
          <w:rFonts w:ascii="Times New Roman" w:hAnsi="Times New Roman" w:cs="Times New Roman"/>
          <w:sz w:val="20"/>
          <w:szCs w:val="20"/>
        </w:rPr>
        <w:t>,</w:t>
      </w:r>
      <w:r>
        <w:rPr>
          <w:rFonts w:ascii="Times New Roman" w:hAnsi="Times New Roman" w:cs="Times New Roman"/>
          <w:sz w:val="20"/>
          <w:szCs w:val="20"/>
        </w:rPr>
        <w:t xml:space="preserve"> global stocks of unirradiated plutonium in civilian programs are </w:t>
      </w:r>
      <w:r w:rsidRPr="00A55492">
        <w:rPr>
          <w:rFonts w:ascii="Times New Roman" w:hAnsi="Times New Roman" w:cs="Times New Roman"/>
          <w:sz w:val="20"/>
          <w:szCs w:val="20"/>
        </w:rPr>
        <w:t>substantially greater</w:t>
      </w:r>
      <w:r>
        <w:rPr>
          <w:rFonts w:ascii="Times New Roman" w:hAnsi="Times New Roman" w:cs="Times New Roman"/>
          <w:sz w:val="20"/>
          <w:szCs w:val="20"/>
        </w:rPr>
        <w:t>, around 349 tonnes (see Table 1)</w:t>
      </w:r>
      <w:r w:rsidRPr="00766666">
        <w:rPr>
          <w:rFonts w:ascii="Times New Roman" w:hAnsi="Times New Roman" w:cs="Times New Roman"/>
          <w:sz w:val="20"/>
          <w:szCs w:val="20"/>
        </w:rPr>
        <w:t>.</w:t>
      </w:r>
    </w:p>
    <w:p w14:paraId="094A329F" w14:textId="77777777" w:rsidR="00CC7657" w:rsidRPr="00A55492" w:rsidRDefault="00CC7657" w:rsidP="00CC7657">
      <w:pPr>
        <w:spacing w:after="0" w:line="260" w:lineRule="exact"/>
        <w:ind w:firstLine="567"/>
        <w:jc w:val="both"/>
        <w:rPr>
          <w:rFonts w:ascii="Times New Roman" w:hAnsi="Times New Roman" w:cs="Times New Roman"/>
          <w:sz w:val="20"/>
          <w:szCs w:val="20"/>
        </w:rPr>
      </w:pPr>
      <w:r w:rsidRPr="00A55492">
        <w:rPr>
          <w:rFonts w:ascii="Times New Roman" w:hAnsi="Times New Roman" w:cs="Times New Roman"/>
          <w:sz w:val="20"/>
          <w:szCs w:val="20"/>
        </w:rPr>
        <w:t xml:space="preserve">Multiple approaches to limiting the separation of civil plutonium have been implemented, and still others have been given serious study, but stocks have increased regardless, </w:t>
      </w:r>
      <w:r>
        <w:rPr>
          <w:rFonts w:ascii="Times New Roman" w:hAnsi="Times New Roman" w:cs="Times New Roman"/>
          <w:sz w:val="20"/>
          <w:szCs w:val="20"/>
        </w:rPr>
        <w:t>and</w:t>
      </w:r>
      <w:r w:rsidRPr="00A55492">
        <w:rPr>
          <w:rFonts w:ascii="Times New Roman" w:hAnsi="Times New Roman" w:cs="Times New Roman"/>
          <w:sz w:val="20"/>
          <w:szCs w:val="20"/>
        </w:rPr>
        <w:t xml:space="preserve"> options for working down these stocks appear to be diminishing. Meanwhile, concern has deepened over the possible theft or diversion of this material, which</w:t>
      </w:r>
      <w:r>
        <w:rPr>
          <w:rFonts w:ascii="Times New Roman" w:hAnsi="Times New Roman" w:cs="Times New Roman"/>
          <w:sz w:val="20"/>
          <w:szCs w:val="20"/>
        </w:rPr>
        <w:t>, as noted,</w:t>
      </w:r>
      <w:r w:rsidRPr="00A55492">
        <w:rPr>
          <w:rFonts w:ascii="Times New Roman" w:hAnsi="Times New Roman" w:cs="Times New Roman"/>
          <w:sz w:val="20"/>
          <w:szCs w:val="20"/>
        </w:rPr>
        <w:t xml:space="preserve"> could bring weapon-sufficient quantities of plutonium into the hands of violent extremists.</w:t>
      </w:r>
      <w:r>
        <w:rPr>
          <w:rFonts w:ascii="Times New Roman" w:hAnsi="Times New Roman" w:cs="Times New Roman"/>
          <w:sz w:val="20"/>
          <w:szCs w:val="20"/>
        </w:rPr>
        <w:t xml:space="preserve"> </w:t>
      </w:r>
    </w:p>
    <w:p w14:paraId="7E84B727" w14:textId="77777777" w:rsidR="00CC7657" w:rsidRDefault="00CC7657" w:rsidP="00CC7657">
      <w:pPr>
        <w:spacing w:after="0" w:line="260" w:lineRule="exact"/>
        <w:ind w:firstLine="567"/>
        <w:jc w:val="both"/>
        <w:rPr>
          <w:rFonts w:ascii="Times New Roman" w:hAnsi="Times New Roman" w:cs="Times New Roman"/>
          <w:sz w:val="20"/>
          <w:szCs w:val="20"/>
        </w:rPr>
      </w:pPr>
      <w:r w:rsidRPr="000A6871">
        <w:rPr>
          <w:rFonts w:ascii="Times New Roman" w:hAnsi="Times New Roman" w:cs="Times New Roman"/>
          <w:sz w:val="20"/>
          <w:szCs w:val="20"/>
        </w:rPr>
        <w:t xml:space="preserve">There are several factors contributing to </w:t>
      </w:r>
      <w:r>
        <w:rPr>
          <w:rFonts w:ascii="Times New Roman" w:hAnsi="Times New Roman" w:cs="Times New Roman"/>
          <w:sz w:val="20"/>
          <w:szCs w:val="20"/>
        </w:rPr>
        <w:t xml:space="preserve">the relative lack of attention to </w:t>
      </w:r>
      <w:r w:rsidRPr="000A6871">
        <w:rPr>
          <w:rFonts w:ascii="Times New Roman" w:hAnsi="Times New Roman" w:cs="Times New Roman"/>
          <w:sz w:val="20"/>
          <w:szCs w:val="20"/>
        </w:rPr>
        <w:t xml:space="preserve">addressing plutonium minimization and management. To begin with, HEU has been considered at far greater risk of theft and use by </w:t>
      </w:r>
      <w:r w:rsidRPr="00CD6D1E">
        <w:rPr>
          <w:rFonts w:ascii="Times New Roman" w:hAnsi="Times New Roman" w:cs="Times New Roman"/>
          <w:sz w:val="20"/>
          <w:szCs w:val="20"/>
        </w:rPr>
        <w:t>terrorists</w:t>
      </w:r>
      <w:r w:rsidRPr="000A6871">
        <w:rPr>
          <w:rFonts w:ascii="Times New Roman" w:hAnsi="Times New Roman" w:cs="Times New Roman"/>
          <w:sz w:val="20"/>
          <w:szCs w:val="20"/>
        </w:rPr>
        <w:t xml:space="preserve"> because, once obtained, HEU might be readily fabricated into a nuclear </w:t>
      </w:r>
      <w:r>
        <w:rPr>
          <w:rFonts w:ascii="Times New Roman" w:hAnsi="Times New Roman" w:cs="Times New Roman"/>
          <w:sz w:val="20"/>
          <w:szCs w:val="20"/>
        </w:rPr>
        <w:t xml:space="preserve">explosive </w:t>
      </w:r>
      <w:r w:rsidRPr="000A6871">
        <w:rPr>
          <w:rFonts w:ascii="Times New Roman" w:hAnsi="Times New Roman" w:cs="Times New Roman"/>
          <w:sz w:val="20"/>
          <w:szCs w:val="20"/>
        </w:rPr>
        <w:t xml:space="preserve">device using a “gun-type” design. Building a plutonium-based device, on the other hand, would require the use of </w:t>
      </w:r>
      <w:r w:rsidRPr="00CD6D1E">
        <w:rPr>
          <w:rFonts w:ascii="Times New Roman" w:hAnsi="Times New Roman" w:cs="Times New Roman"/>
          <w:sz w:val="20"/>
          <w:szCs w:val="20"/>
        </w:rPr>
        <w:t>a</w:t>
      </w:r>
      <w:r w:rsidRPr="000A6871">
        <w:rPr>
          <w:rFonts w:ascii="Times New Roman" w:hAnsi="Times New Roman" w:cs="Times New Roman"/>
          <w:sz w:val="20"/>
          <w:szCs w:val="20"/>
        </w:rPr>
        <w:t xml:space="preserve"> more complex implosion design</w:t>
      </w:r>
      <w:r>
        <w:rPr>
          <w:rFonts w:ascii="Times New Roman" w:hAnsi="Times New Roman" w:cs="Times New Roman"/>
          <w:sz w:val="20"/>
          <w:szCs w:val="20"/>
        </w:rPr>
        <w:t>. This is</w:t>
      </w:r>
      <w:r w:rsidRPr="000A6871">
        <w:rPr>
          <w:rFonts w:ascii="Times New Roman" w:hAnsi="Times New Roman" w:cs="Times New Roman"/>
          <w:sz w:val="20"/>
          <w:szCs w:val="20"/>
        </w:rPr>
        <w:t xml:space="preserve"> considered substantially more challenging for </w:t>
      </w:r>
      <w:r w:rsidRPr="00CD6D1E">
        <w:rPr>
          <w:rFonts w:ascii="Times New Roman" w:hAnsi="Times New Roman" w:cs="Times New Roman"/>
          <w:sz w:val="20"/>
          <w:szCs w:val="20"/>
        </w:rPr>
        <w:t>terrorists</w:t>
      </w:r>
      <w:r w:rsidRPr="000A6871">
        <w:rPr>
          <w:rFonts w:ascii="Times New Roman" w:hAnsi="Times New Roman" w:cs="Times New Roman"/>
          <w:sz w:val="20"/>
          <w:szCs w:val="20"/>
        </w:rPr>
        <w:t xml:space="preserve"> to master</w:t>
      </w:r>
      <w:r>
        <w:rPr>
          <w:rFonts w:ascii="Times New Roman" w:hAnsi="Times New Roman" w:cs="Times New Roman"/>
          <w:sz w:val="20"/>
          <w:szCs w:val="20"/>
        </w:rPr>
        <w:t>, but cannot be excluded, particularly if a terrorist group receives expert assistance (see below). It should be kept in mind that t</w:t>
      </w:r>
      <w:r w:rsidRPr="00CD6D1E">
        <w:rPr>
          <w:rFonts w:ascii="Times New Roman" w:hAnsi="Times New Roman" w:cs="Times New Roman"/>
          <w:sz w:val="20"/>
          <w:szCs w:val="20"/>
        </w:rPr>
        <w:t xml:space="preserve">errorists do not need to produce a device as complicated </w:t>
      </w:r>
      <w:r>
        <w:rPr>
          <w:rFonts w:ascii="Times New Roman" w:hAnsi="Times New Roman" w:cs="Times New Roman"/>
          <w:sz w:val="20"/>
          <w:szCs w:val="20"/>
        </w:rPr>
        <w:t xml:space="preserve">and reliable </w:t>
      </w:r>
      <w:r w:rsidRPr="00CD6D1E">
        <w:rPr>
          <w:rFonts w:ascii="Times New Roman" w:hAnsi="Times New Roman" w:cs="Times New Roman"/>
          <w:sz w:val="20"/>
          <w:szCs w:val="20"/>
        </w:rPr>
        <w:t xml:space="preserve">as a </w:t>
      </w:r>
      <w:r>
        <w:rPr>
          <w:rFonts w:ascii="Times New Roman" w:hAnsi="Times New Roman" w:cs="Times New Roman"/>
          <w:sz w:val="20"/>
          <w:szCs w:val="20"/>
        </w:rPr>
        <w:t>military</w:t>
      </w:r>
      <w:r w:rsidRPr="00CD6D1E">
        <w:rPr>
          <w:rFonts w:ascii="Times New Roman" w:hAnsi="Times New Roman" w:cs="Times New Roman"/>
          <w:sz w:val="20"/>
          <w:szCs w:val="20"/>
        </w:rPr>
        <w:t xml:space="preserve">-deployed nuclear weapon: a crude device that achieves even a “fizzle” yield would have </w:t>
      </w:r>
      <w:r>
        <w:rPr>
          <w:rFonts w:ascii="Times New Roman" w:hAnsi="Times New Roman" w:cs="Times New Roman"/>
          <w:sz w:val="20"/>
          <w:szCs w:val="20"/>
        </w:rPr>
        <w:t>global</w:t>
      </w:r>
      <w:r w:rsidRPr="00CD6D1E">
        <w:rPr>
          <w:rFonts w:ascii="Times New Roman" w:hAnsi="Times New Roman" w:cs="Times New Roman"/>
          <w:sz w:val="20"/>
          <w:szCs w:val="20"/>
        </w:rPr>
        <w:t xml:space="preserve"> political impact.</w:t>
      </w:r>
      <w:r w:rsidRPr="000A6871">
        <w:rPr>
          <w:rFonts w:ascii="Times New Roman" w:hAnsi="Times New Roman" w:cs="Times New Roman"/>
          <w:sz w:val="20"/>
          <w:szCs w:val="20"/>
        </w:rPr>
        <w:t xml:space="preserve"> </w:t>
      </w:r>
    </w:p>
    <w:p w14:paraId="7A18796D" w14:textId="77777777" w:rsidR="00CC7657" w:rsidRDefault="00CC7657" w:rsidP="00CC7657">
      <w:pPr>
        <w:spacing w:after="0" w:line="260" w:lineRule="exact"/>
        <w:ind w:firstLine="567"/>
        <w:jc w:val="both"/>
        <w:rPr>
          <w:rFonts w:ascii="Times New Roman" w:hAnsi="Times New Roman" w:cs="Times New Roman"/>
          <w:sz w:val="20"/>
          <w:szCs w:val="20"/>
        </w:rPr>
      </w:pPr>
      <w:r w:rsidRPr="00CD6D1E">
        <w:rPr>
          <w:rFonts w:ascii="Times New Roman" w:hAnsi="Times New Roman" w:cs="Times New Roman"/>
          <w:sz w:val="20"/>
          <w:szCs w:val="20"/>
        </w:rPr>
        <w:t>From the perspective of state-level proliferation, another explanation for the lack of progress in plutonium minimization may be that few states currently have civilian reprocessing programs, and most</w:t>
      </w:r>
      <w:r w:rsidRPr="00454C45">
        <w:rPr>
          <w:rFonts w:ascii="Times New Roman" w:hAnsi="Times New Roman" w:cs="Times New Roman"/>
        </w:rPr>
        <w:t xml:space="preserve"> </w:t>
      </w:r>
      <w:r w:rsidRPr="00CD6D1E">
        <w:rPr>
          <w:rFonts w:ascii="Times New Roman" w:hAnsi="Times New Roman" w:cs="Times New Roman"/>
          <w:sz w:val="20"/>
          <w:szCs w:val="20"/>
        </w:rPr>
        <w:t>of these states already have nuclear weapons. The states currently with</w:t>
      </w:r>
      <w:r>
        <w:rPr>
          <w:rFonts w:ascii="Times New Roman" w:hAnsi="Times New Roman" w:cs="Times New Roman"/>
          <w:sz w:val="20"/>
          <w:szCs w:val="20"/>
        </w:rPr>
        <w:t xml:space="preserve"> active</w:t>
      </w:r>
      <w:r w:rsidRPr="00CD6D1E">
        <w:rPr>
          <w:rFonts w:ascii="Times New Roman" w:hAnsi="Times New Roman" w:cs="Times New Roman"/>
          <w:sz w:val="20"/>
          <w:szCs w:val="20"/>
        </w:rPr>
        <w:t xml:space="preserve"> civilian reprocessing programs are, in order of capacity,</w:t>
      </w:r>
      <w:r>
        <w:rPr>
          <w:rFonts w:ascii="Times New Roman" w:hAnsi="Times New Roman" w:cs="Times New Roman"/>
          <w:sz w:val="20"/>
          <w:szCs w:val="20"/>
        </w:rPr>
        <w:t xml:space="preserve"> </w:t>
      </w:r>
      <w:r w:rsidRPr="00CD6D1E">
        <w:rPr>
          <w:rFonts w:ascii="Times New Roman" w:hAnsi="Times New Roman" w:cs="Times New Roman"/>
          <w:sz w:val="20"/>
          <w:szCs w:val="20"/>
        </w:rPr>
        <w:t>France, Russia, India, and China</w:t>
      </w:r>
      <w:r>
        <w:rPr>
          <w:rFonts w:ascii="Times New Roman" w:hAnsi="Times New Roman" w:cs="Times New Roman"/>
          <w:sz w:val="20"/>
          <w:szCs w:val="20"/>
        </w:rPr>
        <w:t xml:space="preserve">. The United Kingdom had a substantial reprocessing capacity, second only to France, but this program was closed in 2018. However, the United Kingdom still has the world’s largest civilian stocks of unirradiated plutonium. </w:t>
      </w:r>
      <w:r w:rsidRPr="00CD6D1E">
        <w:rPr>
          <w:rFonts w:ascii="Times New Roman" w:hAnsi="Times New Roman" w:cs="Times New Roman"/>
          <w:sz w:val="20"/>
          <w:szCs w:val="20"/>
        </w:rPr>
        <w:t xml:space="preserve">Japan is </w:t>
      </w:r>
      <w:r>
        <w:rPr>
          <w:rFonts w:ascii="Times New Roman" w:hAnsi="Times New Roman" w:cs="Times New Roman"/>
          <w:sz w:val="20"/>
          <w:szCs w:val="20"/>
        </w:rPr>
        <w:t xml:space="preserve">continuing construction of </w:t>
      </w:r>
      <w:r w:rsidRPr="00CD6D1E">
        <w:rPr>
          <w:rFonts w:ascii="Times New Roman" w:hAnsi="Times New Roman" w:cs="Times New Roman"/>
          <w:sz w:val="20"/>
          <w:szCs w:val="20"/>
        </w:rPr>
        <w:t>a reprocessing plant</w:t>
      </w:r>
      <w:r w:rsidRPr="00454C45">
        <w:rPr>
          <w:rFonts w:ascii="Times New Roman" w:hAnsi="Times New Roman" w:cs="Times New Roman"/>
        </w:rPr>
        <w:t xml:space="preserve"> </w:t>
      </w:r>
      <w:r w:rsidRPr="00CD6D1E">
        <w:rPr>
          <w:rFonts w:ascii="Times New Roman" w:hAnsi="Times New Roman" w:cs="Times New Roman"/>
          <w:sz w:val="20"/>
          <w:szCs w:val="20"/>
        </w:rPr>
        <w:t xml:space="preserve">that </w:t>
      </w:r>
      <w:r>
        <w:rPr>
          <w:rFonts w:ascii="Times New Roman" w:hAnsi="Times New Roman" w:cs="Times New Roman"/>
          <w:sz w:val="20"/>
          <w:szCs w:val="20"/>
        </w:rPr>
        <w:t>would</w:t>
      </w:r>
      <w:r w:rsidRPr="00CD6D1E">
        <w:rPr>
          <w:rFonts w:ascii="Times New Roman" w:hAnsi="Times New Roman" w:cs="Times New Roman"/>
          <w:sz w:val="20"/>
          <w:szCs w:val="20"/>
        </w:rPr>
        <w:t xml:space="preserve"> give it a capacity </w:t>
      </w:r>
      <w:r>
        <w:rPr>
          <w:rFonts w:ascii="Times New Roman" w:hAnsi="Times New Roman" w:cs="Times New Roman"/>
          <w:sz w:val="20"/>
          <w:szCs w:val="20"/>
        </w:rPr>
        <w:t xml:space="preserve">second only to </w:t>
      </w:r>
      <w:r w:rsidRPr="00CD6D1E">
        <w:rPr>
          <w:rFonts w:ascii="Times New Roman" w:hAnsi="Times New Roman" w:cs="Times New Roman"/>
          <w:sz w:val="20"/>
          <w:szCs w:val="20"/>
        </w:rPr>
        <w:t>France. Japan is the only one of these states that does</w:t>
      </w:r>
      <w:r w:rsidRPr="00454C45">
        <w:rPr>
          <w:rFonts w:ascii="Times New Roman" w:hAnsi="Times New Roman" w:cs="Times New Roman"/>
        </w:rPr>
        <w:t xml:space="preserve"> </w:t>
      </w:r>
      <w:r w:rsidRPr="00CD6D1E">
        <w:rPr>
          <w:rFonts w:ascii="Times New Roman" w:hAnsi="Times New Roman" w:cs="Times New Roman"/>
          <w:sz w:val="20"/>
          <w:szCs w:val="20"/>
        </w:rPr>
        <w:t xml:space="preserve">not have nuclear weapons, but its strong commitment to remaining without such arms has reduced concerns that it might misuse its plutonium stocks. Thus reprocessing is not </w:t>
      </w:r>
      <w:r>
        <w:rPr>
          <w:rFonts w:ascii="Times New Roman" w:hAnsi="Times New Roman" w:cs="Times New Roman"/>
          <w:sz w:val="20"/>
          <w:szCs w:val="20"/>
        </w:rPr>
        <w:t xml:space="preserve">generally </w:t>
      </w:r>
      <w:r w:rsidRPr="00CD6D1E">
        <w:rPr>
          <w:rFonts w:ascii="Times New Roman" w:hAnsi="Times New Roman" w:cs="Times New Roman"/>
          <w:sz w:val="20"/>
          <w:szCs w:val="20"/>
        </w:rPr>
        <w:t xml:space="preserve">seen as a pressing </w:t>
      </w:r>
      <w:r>
        <w:rPr>
          <w:rFonts w:ascii="Times New Roman" w:hAnsi="Times New Roman" w:cs="Times New Roman"/>
          <w:sz w:val="20"/>
          <w:szCs w:val="20"/>
        </w:rPr>
        <w:t>proliferation issue (though the longer-term proliferation implications need to be considered).</w:t>
      </w:r>
    </w:p>
    <w:p w14:paraId="17F75358" w14:textId="77777777" w:rsidR="00CC7657" w:rsidRDefault="00CC7657" w:rsidP="00CC7657">
      <w:pPr>
        <w:spacing w:after="0" w:line="260" w:lineRule="exact"/>
        <w:ind w:firstLine="567"/>
        <w:jc w:val="both"/>
        <w:rPr>
          <w:rFonts w:ascii="Times New Roman" w:hAnsi="Times New Roman" w:cs="Times New Roman"/>
          <w:sz w:val="20"/>
          <w:szCs w:val="20"/>
        </w:rPr>
      </w:pPr>
      <w:r w:rsidRPr="00CD6D1E">
        <w:rPr>
          <w:rFonts w:ascii="Times New Roman" w:hAnsi="Times New Roman" w:cs="Times New Roman"/>
          <w:sz w:val="20"/>
          <w:szCs w:val="20"/>
        </w:rPr>
        <w:t>The focus on proliferation, however, overlooks nuclear security risks. The existence of civil</w:t>
      </w:r>
      <w:r>
        <w:rPr>
          <w:rFonts w:ascii="Times New Roman" w:hAnsi="Times New Roman" w:cs="Times New Roman"/>
          <w:sz w:val="20"/>
          <w:szCs w:val="20"/>
        </w:rPr>
        <w:t>ian</w:t>
      </w:r>
      <w:r w:rsidRPr="00CD6D1E">
        <w:rPr>
          <w:rFonts w:ascii="Times New Roman" w:hAnsi="Times New Roman" w:cs="Times New Roman"/>
          <w:sz w:val="20"/>
          <w:szCs w:val="20"/>
        </w:rPr>
        <w:t xml:space="preserve"> plutonium stocks poses an ongoing risk – one that can never be fully eliminated – that plutonium will be seized, stolen or otherwise acquired and used by terrorists. This risk is not confined to the states operating reprocessing programs but applies wherever plutonium is being handled, transported </w:t>
      </w:r>
      <w:r>
        <w:rPr>
          <w:rFonts w:ascii="Times New Roman" w:hAnsi="Times New Roman" w:cs="Times New Roman"/>
          <w:sz w:val="20"/>
          <w:szCs w:val="20"/>
        </w:rPr>
        <w:t>or</w:t>
      </w:r>
      <w:r w:rsidRPr="00CD6D1E">
        <w:rPr>
          <w:rFonts w:ascii="Times New Roman" w:hAnsi="Times New Roman" w:cs="Times New Roman"/>
          <w:sz w:val="20"/>
          <w:szCs w:val="20"/>
        </w:rPr>
        <w:t xml:space="preserve"> used. For example, reactors in Belgium, Germany</w:t>
      </w:r>
      <w:r>
        <w:rPr>
          <w:rFonts w:ascii="Times New Roman" w:hAnsi="Times New Roman" w:cs="Times New Roman"/>
          <w:sz w:val="20"/>
          <w:szCs w:val="20"/>
        </w:rPr>
        <w:t>, the Netherlands</w:t>
      </w:r>
      <w:r w:rsidRPr="00CD6D1E">
        <w:rPr>
          <w:rFonts w:ascii="Times New Roman" w:hAnsi="Times New Roman" w:cs="Times New Roman"/>
          <w:sz w:val="20"/>
          <w:szCs w:val="20"/>
        </w:rPr>
        <w:t xml:space="preserve"> and Switzerland have been licensed to use MOX (mixed oxide</w:t>
      </w:r>
      <w:r>
        <w:rPr>
          <w:rFonts w:ascii="Times New Roman" w:hAnsi="Times New Roman" w:cs="Times New Roman"/>
          <w:sz w:val="20"/>
          <w:szCs w:val="20"/>
        </w:rPr>
        <w:t>s of plutonium and uranium</w:t>
      </w:r>
      <w:r w:rsidRPr="00CD6D1E">
        <w:rPr>
          <w:rFonts w:ascii="Times New Roman" w:hAnsi="Times New Roman" w:cs="Times New Roman"/>
          <w:sz w:val="20"/>
          <w:szCs w:val="20"/>
        </w:rPr>
        <w:t>) fuel</w:t>
      </w:r>
      <w:r>
        <w:rPr>
          <w:rFonts w:ascii="Times New Roman" w:hAnsi="Times New Roman" w:cs="Times New Roman"/>
          <w:sz w:val="20"/>
          <w:szCs w:val="20"/>
        </w:rPr>
        <w:t xml:space="preserve">, and </w:t>
      </w:r>
      <w:r w:rsidRPr="00CD6D1E">
        <w:rPr>
          <w:rFonts w:ascii="Times New Roman" w:hAnsi="Times New Roman" w:cs="Times New Roman"/>
          <w:sz w:val="20"/>
          <w:szCs w:val="20"/>
        </w:rPr>
        <w:t>MOX fuel was fabricated in Belgium</w:t>
      </w:r>
      <w:r>
        <w:rPr>
          <w:rFonts w:ascii="Times New Roman" w:hAnsi="Times New Roman" w:cs="Times New Roman"/>
          <w:sz w:val="20"/>
          <w:szCs w:val="20"/>
        </w:rPr>
        <w:t xml:space="preserve"> in the past</w:t>
      </w:r>
      <w:r w:rsidRPr="00CD6D1E">
        <w:rPr>
          <w:rFonts w:ascii="Times New Roman" w:hAnsi="Times New Roman" w:cs="Times New Roman"/>
          <w:sz w:val="20"/>
          <w:szCs w:val="20"/>
        </w:rPr>
        <w:t xml:space="preserve">. </w:t>
      </w:r>
    </w:p>
    <w:p w14:paraId="06451D7B" w14:textId="77777777" w:rsidR="00CC7657" w:rsidRDefault="00CC7657" w:rsidP="00CC7657">
      <w:pPr>
        <w:spacing w:after="0"/>
        <w:ind w:firstLine="567"/>
        <w:jc w:val="both"/>
        <w:rPr>
          <w:rFonts w:ascii="Times New Roman" w:hAnsi="Times New Roman" w:cs="Times New Roman"/>
          <w:sz w:val="20"/>
          <w:szCs w:val="20"/>
        </w:rPr>
      </w:pPr>
    </w:p>
    <w:p w14:paraId="2488A83D" w14:textId="77777777" w:rsidR="00CC7657" w:rsidRPr="00766666" w:rsidRDefault="00CC7657" w:rsidP="00CC7657">
      <w:pPr>
        <w:pStyle w:val="BodyText"/>
        <w:tabs>
          <w:tab w:val="left" w:pos="1134"/>
        </w:tabs>
        <w:spacing w:after="0" w:line="260" w:lineRule="atLeast"/>
        <w:ind w:left="1134" w:hanging="1134"/>
        <w:contextualSpacing/>
        <w:rPr>
          <w:rFonts w:ascii="Times New Roman" w:hAnsi="Times New Roman" w:cs="Times New Roman"/>
          <w:sz w:val="20"/>
          <w:szCs w:val="20"/>
        </w:rPr>
      </w:pPr>
      <w:r w:rsidRPr="00766666">
        <w:rPr>
          <w:rFonts w:ascii="Times New Roman" w:hAnsi="Times New Roman" w:cs="Times New Roman"/>
          <w:sz w:val="20"/>
          <w:szCs w:val="20"/>
        </w:rPr>
        <w:t>TABLE 1.</w:t>
      </w:r>
      <w:r w:rsidRPr="00766666">
        <w:rPr>
          <w:rFonts w:ascii="Times New Roman" w:hAnsi="Times New Roman" w:cs="Times New Roman"/>
          <w:sz w:val="20"/>
          <w:szCs w:val="20"/>
        </w:rPr>
        <w:tab/>
      </w:r>
      <w:r w:rsidRPr="00454C45">
        <w:rPr>
          <w:rFonts w:ascii="Times New Roman" w:hAnsi="Times New Roman" w:cs="Times New Roman"/>
          <w:sz w:val="20"/>
          <w:szCs w:val="20"/>
          <w:lang w:val="en-US"/>
        </w:rPr>
        <w:t xml:space="preserve">GLOBAL STOCKS OF </w:t>
      </w:r>
      <w:r>
        <w:rPr>
          <w:rFonts w:ascii="Times New Roman" w:hAnsi="Times New Roman" w:cs="Times New Roman"/>
          <w:sz w:val="20"/>
          <w:szCs w:val="20"/>
          <w:lang w:val="en-US"/>
        </w:rPr>
        <w:t>UNIRRADIATED</w:t>
      </w:r>
      <w:r w:rsidRPr="00454C45">
        <w:rPr>
          <w:rFonts w:ascii="Times New Roman" w:hAnsi="Times New Roman" w:cs="Times New Roman"/>
          <w:sz w:val="20"/>
          <w:szCs w:val="20"/>
          <w:lang w:val="en-US"/>
        </w:rPr>
        <w:t xml:space="preserve"> PLUTONIUM IN CIVILIAN PROGRAMS (TONNES), END 2018 (</w:t>
      </w:r>
      <w:r>
        <w:rPr>
          <w:rFonts w:ascii="Times New Roman" w:hAnsi="Times New Roman" w:cs="Times New Roman"/>
          <w:sz w:val="20"/>
          <w:szCs w:val="20"/>
          <w:lang w:val="en-US"/>
        </w:rPr>
        <w:t>a</w:t>
      </w:r>
      <w:r w:rsidRPr="00454C45">
        <w:rPr>
          <w:rFonts w:ascii="Times New Roman" w:hAnsi="Times New Roman" w:cs="Times New Roman"/>
          <w:sz w:val="20"/>
          <w:szCs w:val="20"/>
          <w:lang w:val="en-US"/>
        </w:rPr>
        <w:t>)</w:t>
      </w:r>
    </w:p>
    <w:p w14:paraId="29AAFA9D" w14:textId="77777777" w:rsidR="00CC7657" w:rsidRPr="00CD6D1E" w:rsidRDefault="00CC7657" w:rsidP="00CC7657">
      <w:pPr>
        <w:pStyle w:val="BodyText"/>
        <w:spacing w:after="0" w:line="260" w:lineRule="atLeast"/>
        <w:ind w:firstLine="567"/>
        <w:contextualSpacing/>
        <w:rPr>
          <w:rFonts w:ascii="Times New Roman" w:hAnsi="Times New Roman" w:cs="Times New Roman"/>
          <w:sz w:val="20"/>
          <w:szCs w:val="20"/>
        </w:rPr>
      </w:pPr>
    </w:p>
    <w:tbl>
      <w:tblPr>
        <w:tblStyle w:val="TableGrid"/>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
        <w:gridCol w:w="1741"/>
        <w:gridCol w:w="1741"/>
        <w:gridCol w:w="1742"/>
      </w:tblGrid>
      <w:tr w:rsidR="00CC7657" w14:paraId="7A82FF17" w14:textId="77777777" w:rsidTr="00F6643B">
        <w:trPr>
          <w:jc w:val="center"/>
        </w:trPr>
        <w:tc>
          <w:tcPr>
            <w:tcW w:w="1599" w:type="dxa"/>
            <w:tcBorders>
              <w:top w:val="single" w:sz="4" w:space="0" w:color="auto"/>
              <w:left w:val="nil"/>
              <w:bottom w:val="single" w:sz="4" w:space="0" w:color="auto"/>
              <w:right w:val="nil"/>
            </w:tcBorders>
            <w:hideMark/>
          </w:tcPr>
          <w:p w14:paraId="1F5D1355" w14:textId="77777777" w:rsidR="00CC7657" w:rsidRPr="00766666" w:rsidRDefault="00CC7657" w:rsidP="00F6643B">
            <w:pPr>
              <w:pStyle w:val="BodyText"/>
              <w:rPr>
                <w:rFonts w:ascii="Times New Roman" w:hAnsi="Times New Roman" w:cs="Times New Roman"/>
                <w:sz w:val="18"/>
                <w:szCs w:val="18"/>
              </w:rPr>
            </w:pPr>
          </w:p>
        </w:tc>
        <w:tc>
          <w:tcPr>
            <w:tcW w:w="1741" w:type="dxa"/>
            <w:tcBorders>
              <w:top w:val="single" w:sz="4" w:space="0" w:color="auto"/>
              <w:left w:val="nil"/>
              <w:bottom w:val="single" w:sz="4" w:space="0" w:color="auto"/>
              <w:right w:val="nil"/>
            </w:tcBorders>
          </w:tcPr>
          <w:p w14:paraId="50BB637E" w14:textId="77777777" w:rsidR="00CC7657" w:rsidRPr="00766666" w:rsidRDefault="00CC7657" w:rsidP="00F6643B">
            <w:pPr>
              <w:pStyle w:val="BodyText"/>
              <w:jc w:val="center"/>
              <w:rPr>
                <w:rFonts w:ascii="Times New Roman" w:hAnsi="Times New Roman" w:cs="Times New Roman"/>
                <w:sz w:val="18"/>
                <w:szCs w:val="18"/>
              </w:rPr>
            </w:pPr>
            <w:r w:rsidRPr="00454C45">
              <w:rPr>
                <w:rFonts w:ascii="Times New Roman" w:hAnsi="Times New Roman" w:cs="Times New Roman"/>
                <w:sz w:val="18"/>
                <w:szCs w:val="18"/>
              </w:rPr>
              <w:t>A. Holdings in-country</w:t>
            </w:r>
          </w:p>
        </w:tc>
        <w:tc>
          <w:tcPr>
            <w:tcW w:w="1741" w:type="dxa"/>
            <w:tcBorders>
              <w:top w:val="single" w:sz="4" w:space="0" w:color="auto"/>
              <w:left w:val="nil"/>
              <w:bottom w:val="single" w:sz="4" w:space="0" w:color="auto"/>
              <w:right w:val="nil"/>
            </w:tcBorders>
            <w:hideMark/>
          </w:tcPr>
          <w:p w14:paraId="3FE4BAC8" w14:textId="77777777" w:rsidR="00CC7657" w:rsidRPr="00454C45" w:rsidRDefault="00CC7657" w:rsidP="00F6643B">
            <w:pPr>
              <w:jc w:val="center"/>
              <w:rPr>
                <w:rFonts w:ascii="Times New Roman" w:hAnsi="Times New Roman" w:cs="Times New Roman"/>
                <w:sz w:val="18"/>
                <w:szCs w:val="18"/>
              </w:rPr>
            </w:pPr>
            <w:r w:rsidRPr="00454C45">
              <w:rPr>
                <w:rFonts w:ascii="Times New Roman" w:hAnsi="Times New Roman" w:cs="Times New Roman"/>
                <w:sz w:val="18"/>
                <w:szCs w:val="18"/>
              </w:rPr>
              <w:t>B. Holdings in other states</w:t>
            </w:r>
          </w:p>
          <w:p w14:paraId="44DE549C" w14:textId="77777777" w:rsidR="00CC7657" w:rsidRPr="00766666" w:rsidRDefault="00CC7657" w:rsidP="00F6643B">
            <w:pPr>
              <w:pStyle w:val="BodyText"/>
              <w:jc w:val="center"/>
              <w:rPr>
                <w:rFonts w:ascii="Times New Roman" w:hAnsi="Times New Roman" w:cs="Times New Roman"/>
                <w:sz w:val="18"/>
                <w:szCs w:val="18"/>
              </w:rPr>
            </w:pPr>
            <w:r w:rsidRPr="00454C45">
              <w:rPr>
                <w:rFonts w:ascii="Times New Roman" w:hAnsi="Times New Roman" w:cs="Times New Roman"/>
                <w:sz w:val="18"/>
                <w:szCs w:val="18"/>
              </w:rPr>
              <w:t>(included in C for the holding state)</w:t>
            </w:r>
          </w:p>
        </w:tc>
        <w:tc>
          <w:tcPr>
            <w:tcW w:w="1742" w:type="dxa"/>
            <w:tcBorders>
              <w:top w:val="single" w:sz="4" w:space="0" w:color="auto"/>
              <w:left w:val="nil"/>
              <w:bottom w:val="single" w:sz="4" w:space="0" w:color="auto"/>
              <w:right w:val="nil"/>
            </w:tcBorders>
            <w:hideMark/>
          </w:tcPr>
          <w:p w14:paraId="2060C93A" w14:textId="77777777" w:rsidR="00CC7657" w:rsidRPr="00454C45" w:rsidRDefault="00CC7657" w:rsidP="00F6643B">
            <w:pPr>
              <w:jc w:val="center"/>
              <w:rPr>
                <w:rFonts w:ascii="Times New Roman" w:hAnsi="Times New Roman" w:cs="Times New Roman"/>
                <w:sz w:val="18"/>
                <w:szCs w:val="18"/>
              </w:rPr>
            </w:pPr>
            <w:r w:rsidRPr="00454C45">
              <w:rPr>
                <w:rFonts w:ascii="Times New Roman" w:hAnsi="Times New Roman" w:cs="Times New Roman"/>
                <w:sz w:val="18"/>
                <w:szCs w:val="18"/>
              </w:rPr>
              <w:t>C. Holdings for other states</w:t>
            </w:r>
          </w:p>
          <w:p w14:paraId="3C1486C5" w14:textId="77777777" w:rsidR="00CC7657" w:rsidRPr="00766666" w:rsidRDefault="00CC7657" w:rsidP="00F6643B">
            <w:pPr>
              <w:pStyle w:val="BodyText"/>
              <w:jc w:val="center"/>
              <w:rPr>
                <w:rFonts w:ascii="Times New Roman" w:hAnsi="Times New Roman" w:cs="Times New Roman"/>
                <w:sz w:val="18"/>
                <w:szCs w:val="18"/>
              </w:rPr>
            </w:pPr>
            <w:r w:rsidRPr="00454C45">
              <w:rPr>
                <w:rFonts w:ascii="Times New Roman" w:hAnsi="Times New Roman" w:cs="Times New Roman"/>
                <w:sz w:val="18"/>
                <w:szCs w:val="18"/>
              </w:rPr>
              <w:t>(included in A)</w:t>
            </w:r>
          </w:p>
        </w:tc>
      </w:tr>
      <w:tr w:rsidR="00CC7657" w14:paraId="0A38235D" w14:textId="77777777" w:rsidTr="00F6643B">
        <w:trPr>
          <w:jc w:val="center"/>
        </w:trPr>
        <w:tc>
          <w:tcPr>
            <w:tcW w:w="1599" w:type="dxa"/>
            <w:tcBorders>
              <w:top w:val="single" w:sz="4" w:space="0" w:color="auto"/>
              <w:left w:val="nil"/>
              <w:bottom w:val="nil"/>
              <w:right w:val="nil"/>
            </w:tcBorders>
            <w:hideMark/>
          </w:tcPr>
          <w:p w14:paraId="0E811928" w14:textId="77777777" w:rsidR="00CC7657" w:rsidRPr="001D6365" w:rsidRDefault="00CC7657" w:rsidP="00F6643B">
            <w:pPr>
              <w:pStyle w:val="BodyText"/>
              <w:rPr>
                <w:rFonts w:ascii="Times New Roman" w:hAnsi="Times New Roman" w:cs="Times New Roman"/>
                <w:sz w:val="18"/>
                <w:szCs w:val="18"/>
              </w:rPr>
            </w:pPr>
            <w:r w:rsidRPr="001D6365">
              <w:rPr>
                <w:rStyle w:val="TabletextChar"/>
                <w:rFonts w:eastAsiaTheme="minorHAnsi"/>
                <w:sz w:val="18"/>
                <w:szCs w:val="18"/>
              </w:rPr>
              <w:t>France</w:t>
            </w:r>
          </w:p>
        </w:tc>
        <w:tc>
          <w:tcPr>
            <w:tcW w:w="1741" w:type="dxa"/>
            <w:tcBorders>
              <w:top w:val="single" w:sz="4" w:space="0" w:color="auto"/>
              <w:left w:val="nil"/>
              <w:bottom w:val="nil"/>
              <w:right w:val="nil"/>
            </w:tcBorders>
          </w:tcPr>
          <w:p w14:paraId="09AEDA7E" w14:textId="77777777" w:rsidR="00CC7657" w:rsidRPr="001D6365" w:rsidRDefault="00CC7657" w:rsidP="00F6643B">
            <w:pPr>
              <w:pStyle w:val="BodyText"/>
              <w:jc w:val="center"/>
              <w:rPr>
                <w:rFonts w:ascii="Times New Roman" w:hAnsi="Times New Roman" w:cs="Times New Roman"/>
                <w:sz w:val="18"/>
                <w:szCs w:val="18"/>
              </w:rPr>
            </w:pPr>
            <w:r>
              <w:rPr>
                <w:rFonts w:ascii="Times New Roman" w:hAnsi="Times New Roman" w:cs="Times New Roman"/>
                <w:sz w:val="18"/>
                <w:szCs w:val="18"/>
              </w:rPr>
              <w:t xml:space="preserve"> </w:t>
            </w:r>
            <w:r w:rsidRPr="00454C45">
              <w:rPr>
                <w:rFonts w:ascii="Times New Roman" w:hAnsi="Times New Roman" w:cs="Times New Roman"/>
                <w:sz w:val="18"/>
                <w:szCs w:val="18"/>
              </w:rPr>
              <w:t xml:space="preserve">  83.2</w:t>
            </w:r>
          </w:p>
        </w:tc>
        <w:tc>
          <w:tcPr>
            <w:tcW w:w="1741" w:type="dxa"/>
            <w:tcBorders>
              <w:top w:val="single" w:sz="4" w:space="0" w:color="auto"/>
              <w:left w:val="nil"/>
              <w:bottom w:val="nil"/>
              <w:right w:val="nil"/>
            </w:tcBorders>
            <w:hideMark/>
          </w:tcPr>
          <w:p w14:paraId="1400C7C7" w14:textId="77777777" w:rsidR="00CC7657" w:rsidRPr="001D6365" w:rsidRDefault="00CC7657" w:rsidP="00F6643B">
            <w:pPr>
              <w:pStyle w:val="BodyText"/>
              <w:jc w:val="center"/>
              <w:rPr>
                <w:rFonts w:ascii="Times New Roman" w:hAnsi="Times New Roman" w:cs="Times New Roman"/>
                <w:sz w:val="18"/>
                <w:szCs w:val="18"/>
              </w:rPr>
            </w:pPr>
          </w:p>
        </w:tc>
        <w:tc>
          <w:tcPr>
            <w:tcW w:w="1742" w:type="dxa"/>
            <w:tcBorders>
              <w:top w:val="single" w:sz="4" w:space="0" w:color="auto"/>
              <w:left w:val="nil"/>
              <w:bottom w:val="nil"/>
              <w:right w:val="nil"/>
            </w:tcBorders>
            <w:hideMark/>
          </w:tcPr>
          <w:p w14:paraId="7CFCD303" w14:textId="77777777" w:rsidR="00CC7657" w:rsidRPr="001D6365" w:rsidRDefault="00CC7657" w:rsidP="00F6643B">
            <w:pPr>
              <w:pStyle w:val="BodyText"/>
              <w:jc w:val="center"/>
              <w:rPr>
                <w:rFonts w:ascii="Times New Roman" w:hAnsi="Times New Roman" w:cs="Times New Roman"/>
                <w:sz w:val="18"/>
                <w:szCs w:val="18"/>
              </w:rPr>
            </w:pPr>
            <w:r w:rsidRPr="00454C45">
              <w:rPr>
                <w:rFonts w:ascii="Times New Roman" w:hAnsi="Times New Roman" w:cs="Times New Roman"/>
                <w:sz w:val="18"/>
                <w:szCs w:val="18"/>
              </w:rPr>
              <w:t>15.5</w:t>
            </w:r>
          </w:p>
        </w:tc>
      </w:tr>
      <w:tr w:rsidR="00CC7657" w14:paraId="28EDDFFD" w14:textId="77777777" w:rsidTr="00F6643B">
        <w:trPr>
          <w:jc w:val="center"/>
        </w:trPr>
        <w:tc>
          <w:tcPr>
            <w:tcW w:w="1599" w:type="dxa"/>
            <w:tcBorders>
              <w:top w:val="nil"/>
              <w:left w:val="nil"/>
              <w:bottom w:val="nil"/>
              <w:right w:val="nil"/>
            </w:tcBorders>
          </w:tcPr>
          <w:p w14:paraId="26B15145" w14:textId="77777777" w:rsidR="00CC7657" w:rsidRPr="001D6365" w:rsidRDefault="00CC7657" w:rsidP="00F6643B">
            <w:pPr>
              <w:pStyle w:val="BodyText"/>
              <w:rPr>
                <w:rStyle w:val="TabletextChar"/>
                <w:rFonts w:eastAsiaTheme="minorHAnsi"/>
                <w:sz w:val="18"/>
                <w:szCs w:val="18"/>
              </w:rPr>
            </w:pPr>
            <w:r>
              <w:rPr>
                <w:rStyle w:val="TabletextChar"/>
                <w:rFonts w:eastAsiaTheme="minorHAnsi"/>
                <w:sz w:val="18"/>
                <w:szCs w:val="18"/>
              </w:rPr>
              <w:t>India</w:t>
            </w:r>
          </w:p>
        </w:tc>
        <w:tc>
          <w:tcPr>
            <w:tcW w:w="1741" w:type="dxa"/>
            <w:tcBorders>
              <w:top w:val="nil"/>
              <w:left w:val="nil"/>
              <w:bottom w:val="nil"/>
              <w:right w:val="nil"/>
            </w:tcBorders>
          </w:tcPr>
          <w:p w14:paraId="7B879D87" w14:textId="77777777" w:rsidR="00CC7657" w:rsidRPr="001D6365" w:rsidRDefault="00CC7657" w:rsidP="00F6643B">
            <w:pPr>
              <w:pStyle w:val="BodyText"/>
              <w:jc w:val="center"/>
              <w:rPr>
                <w:rFonts w:ascii="Times New Roman" w:hAnsi="Times New Roman" w:cs="Times New Roman"/>
                <w:sz w:val="18"/>
                <w:szCs w:val="18"/>
              </w:rPr>
            </w:pPr>
            <w:r w:rsidRPr="00454C4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54C4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54C45">
              <w:rPr>
                <w:rFonts w:ascii="Times New Roman" w:hAnsi="Times New Roman" w:cs="Times New Roman"/>
                <w:sz w:val="18"/>
                <w:szCs w:val="18"/>
              </w:rPr>
              <w:t xml:space="preserve">    6.9 (b)</w:t>
            </w:r>
          </w:p>
        </w:tc>
        <w:tc>
          <w:tcPr>
            <w:tcW w:w="1741" w:type="dxa"/>
            <w:tcBorders>
              <w:top w:val="nil"/>
              <w:left w:val="nil"/>
              <w:bottom w:val="nil"/>
              <w:right w:val="nil"/>
            </w:tcBorders>
          </w:tcPr>
          <w:p w14:paraId="1CB33F9A" w14:textId="77777777" w:rsidR="00CC7657" w:rsidRPr="001D6365" w:rsidRDefault="00CC7657" w:rsidP="00F6643B">
            <w:pPr>
              <w:pStyle w:val="BodyText"/>
              <w:jc w:val="center"/>
              <w:rPr>
                <w:rFonts w:ascii="Times New Roman" w:hAnsi="Times New Roman" w:cs="Times New Roman"/>
                <w:sz w:val="18"/>
                <w:szCs w:val="18"/>
              </w:rPr>
            </w:pPr>
          </w:p>
        </w:tc>
        <w:tc>
          <w:tcPr>
            <w:tcW w:w="1742" w:type="dxa"/>
            <w:tcBorders>
              <w:top w:val="nil"/>
              <w:left w:val="nil"/>
              <w:bottom w:val="nil"/>
              <w:right w:val="nil"/>
            </w:tcBorders>
          </w:tcPr>
          <w:p w14:paraId="239BBEA7" w14:textId="77777777" w:rsidR="00CC7657" w:rsidRPr="001D6365" w:rsidRDefault="00CC7657" w:rsidP="00F6643B">
            <w:pPr>
              <w:pStyle w:val="BodyText"/>
              <w:jc w:val="center"/>
              <w:rPr>
                <w:rFonts w:ascii="Times New Roman" w:hAnsi="Times New Roman" w:cs="Times New Roman"/>
                <w:sz w:val="18"/>
                <w:szCs w:val="18"/>
              </w:rPr>
            </w:pPr>
          </w:p>
        </w:tc>
      </w:tr>
      <w:tr w:rsidR="00CC7657" w14:paraId="0A7D1680" w14:textId="77777777" w:rsidTr="00F6643B">
        <w:trPr>
          <w:jc w:val="center"/>
        </w:trPr>
        <w:tc>
          <w:tcPr>
            <w:tcW w:w="1599" w:type="dxa"/>
            <w:tcBorders>
              <w:top w:val="nil"/>
              <w:left w:val="nil"/>
              <w:bottom w:val="nil"/>
              <w:right w:val="nil"/>
            </w:tcBorders>
          </w:tcPr>
          <w:p w14:paraId="48B6C626" w14:textId="77777777" w:rsidR="00CC7657" w:rsidRPr="001D6365" w:rsidRDefault="00CC7657" w:rsidP="00F6643B">
            <w:pPr>
              <w:pStyle w:val="BodyText"/>
              <w:rPr>
                <w:rStyle w:val="TabletextChar"/>
                <w:rFonts w:eastAsiaTheme="minorHAnsi"/>
                <w:sz w:val="18"/>
                <w:szCs w:val="18"/>
              </w:rPr>
            </w:pPr>
            <w:r>
              <w:rPr>
                <w:rStyle w:val="TabletextChar"/>
                <w:rFonts w:eastAsiaTheme="minorHAnsi"/>
                <w:sz w:val="18"/>
                <w:szCs w:val="18"/>
              </w:rPr>
              <w:t>Japan</w:t>
            </w:r>
          </w:p>
        </w:tc>
        <w:tc>
          <w:tcPr>
            <w:tcW w:w="1741" w:type="dxa"/>
            <w:tcBorders>
              <w:top w:val="nil"/>
              <w:left w:val="nil"/>
              <w:bottom w:val="nil"/>
              <w:right w:val="nil"/>
            </w:tcBorders>
          </w:tcPr>
          <w:p w14:paraId="26DC8675" w14:textId="77777777" w:rsidR="00CC7657" w:rsidRPr="001D6365" w:rsidRDefault="00CC7657" w:rsidP="00F6643B">
            <w:pPr>
              <w:pStyle w:val="BodyText"/>
              <w:jc w:val="center"/>
              <w:rPr>
                <w:rFonts w:ascii="Times New Roman" w:hAnsi="Times New Roman" w:cs="Times New Roman"/>
                <w:sz w:val="18"/>
                <w:szCs w:val="18"/>
              </w:rPr>
            </w:pPr>
            <w:r>
              <w:rPr>
                <w:rFonts w:ascii="Times New Roman" w:hAnsi="Times New Roman" w:cs="Times New Roman"/>
                <w:sz w:val="18"/>
                <w:szCs w:val="18"/>
              </w:rPr>
              <w:t xml:space="preserve">  </w:t>
            </w:r>
            <w:r w:rsidRPr="00454C45">
              <w:rPr>
                <w:rFonts w:ascii="Times New Roman" w:hAnsi="Times New Roman" w:cs="Times New Roman"/>
                <w:sz w:val="18"/>
                <w:szCs w:val="18"/>
              </w:rPr>
              <w:t xml:space="preserve">   9.0</w:t>
            </w:r>
          </w:p>
        </w:tc>
        <w:tc>
          <w:tcPr>
            <w:tcW w:w="1741" w:type="dxa"/>
            <w:tcBorders>
              <w:top w:val="nil"/>
              <w:left w:val="nil"/>
              <w:bottom w:val="nil"/>
              <w:right w:val="nil"/>
            </w:tcBorders>
          </w:tcPr>
          <w:p w14:paraId="751F0A7F" w14:textId="77777777" w:rsidR="00CC7657" w:rsidRPr="001D6365" w:rsidRDefault="00CC7657" w:rsidP="00F6643B">
            <w:pPr>
              <w:pStyle w:val="BodyText"/>
              <w:jc w:val="center"/>
              <w:rPr>
                <w:rFonts w:ascii="Times New Roman" w:hAnsi="Times New Roman" w:cs="Times New Roman"/>
                <w:sz w:val="18"/>
                <w:szCs w:val="18"/>
              </w:rPr>
            </w:pPr>
            <w:r w:rsidRPr="00454C45">
              <w:rPr>
                <w:rFonts w:ascii="Times New Roman" w:hAnsi="Times New Roman" w:cs="Times New Roman"/>
                <w:sz w:val="18"/>
                <w:szCs w:val="18"/>
              </w:rPr>
              <w:t>36.7</w:t>
            </w:r>
          </w:p>
        </w:tc>
        <w:tc>
          <w:tcPr>
            <w:tcW w:w="1742" w:type="dxa"/>
            <w:tcBorders>
              <w:top w:val="nil"/>
              <w:left w:val="nil"/>
              <w:bottom w:val="nil"/>
              <w:right w:val="nil"/>
            </w:tcBorders>
          </w:tcPr>
          <w:p w14:paraId="42E29BBA" w14:textId="77777777" w:rsidR="00CC7657" w:rsidRPr="001D6365" w:rsidRDefault="00CC7657" w:rsidP="00F6643B">
            <w:pPr>
              <w:pStyle w:val="BodyText"/>
              <w:jc w:val="center"/>
              <w:rPr>
                <w:rFonts w:ascii="Times New Roman" w:hAnsi="Times New Roman" w:cs="Times New Roman"/>
                <w:sz w:val="18"/>
                <w:szCs w:val="18"/>
              </w:rPr>
            </w:pPr>
          </w:p>
        </w:tc>
      </w:tr>
      <w:tr w:rsidR="00CC7657" w14:paraId="5F076683" w14:textId="77777777" w:rsidTr="00F6643B">
        <w:trPr>
          <w:jc w:val="center"/>
        </w:trPr>
        <w:tc>
          <w:tcPr>
            <w:tcW w:w="1599" w:type="dxa"/>
            <w:tcBorders>
              <w:top w:val="nil"/>
              <w:left w:val="nil"/>
              <w:bottom w:val="nil"/>
              <w:right w:val="nil"/>
            </w:tcBorders>
          </w:tcPr>
          <w:p w14:paraId="7BD4DD80" w14:textId="77777777" w:rsidR="00CC7657" w:rsidRPr="001D6365" w:rsidRDefault="00CC7657" w:rsidP="00F6643B">
            <w:pPr>
              <w:pStyle w:val="BodyText"/>
              <w:rPr>
                <w:rStyle w:val="TabletextChar"/>
                <w:rFonts w:eastAsiaTheme="minorHAnsi"/>
                <w:sz w:val="18"/>
                <w:szCs w:val="18"/>
              </w:rPr>
            </w:pPr>
            <w:r>
              <w:rPr>
                <w:rStyle w:val="TabletextChar"/>
                <w:rFonts w:eastAsiaTheme="minorHAnsi"/>
                <w:sz w:val="18"/>
                <w:szCs w:val="18"/>
              </w:rPr>
              <w:t>Russia</w:t>
            </w:r>
          </w:p>
        </w:tc>
        <w:tc>
          <w:tcPr>
            <w:tcW w:w="1741" w:type="dxa"/>
            <w:tcBorders>
              <w:top w:val="nil"/>
              <w:left w:val="nil"/>
              <w:bottom w:val="nil"/>
              <w:right w:val="nil"/>
            </w:tcBorders>
          </w:tcPr>
          <w:p w14:paraId="30426FC3" w14:textId="77777777" w:rsidR="00CC7657" w:rsidRPr="001D6365" w:rsidRDefault="00CC7657" w:rsidP="00F6643B">
            <w:pPr>
              <w:pStyle w:val="BodyText"/>
              <w:jc w:val="center"/>
              <w:rPr>
                <w:rFonts w:ascii="Times New Roman" w:hAnsi="Times New Roman" w:cs="Times New Roman"/>
                <w:sz w:val="18"/>
                <w:szCs w:val="18"/>
              </w:rPr>
            </w:pPr>
            <w:r>
              <w:rPr>
                <w:rFonts w:ascii="Times New Roman" w:hAnsi="Times New Roman" w:cs="Times New Roman"/>
                <w:sz w:val="18"/>
                <w:szCs w:val="18"/>
              </w:rPr>
              <w:t xml:space="preserve">   </w:t>
            </w:r>
            <w:r w:rsidRPr="00454C4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54C4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54C45">
              <w:rPr>
                <w:rFonts w:ascii="Times New Roman" w:hAnsi="Times New Roman" w:cs="Times New Roman"/>
                <w:sz w:val="18"/>
                <w:szCs w:val="18"/>
              </w:rPr>
              <w:t xml:space="preserve"> </w:t>
            </w:r>
            <w:r>
              <w:rPr>
                <w:rFonts w:ascii="Times New Roman" w:hAnsi="Times New Roman" w:cs="Times New Roman"/>
                <w:sz w:val="18"/>
                <w:szCs w:val="18"/>
              </w:rPr>
              <w:t>61</w:t>
            </w:r>
            <w:r w:rsidRPr="00454C45">
              <w:rPr>
                <w:rFonts w:ascii="Times New Roman" w:hAnsi="Times New Roman" w:cs="Times New Roman"/>
                <w:sz w:val="18"/>
                <w:szCs w:val="18"/>
              </w:rPr>
              <w:t>.</w:t>
            </w:r>
            <w:r>
              <w:rPr>
                <w:rFonts w:ascii="Times New Roman" w:hAnsi="Times New Roman" w:cs="Times New Roman"/>
                <w:sz w:val="18"/>
                <w:szCs w:val="18"/>
              </w:rPr>
              <w:t>3</w:t>
            </w:r>
            <w:r w:rsidRPr="00454C45">
              <w:rPr>
                <w:rFonts w:ascii="Times New Roman" w:hAnsi="Times New Roman" w:cs="Times New Roman"/>
                <w:sz w:val="18"/>
                <w:szCs w:val="18"/>
              </w:rPr>
              <w:t xml:space="preserve"> (c)</w:t>
            </w:r>
          </w:p>
        </w:tc>
        <w:tc>
          <w:tcPr>
            <w:tcW w:w="1741" w:type="dxa"/>
            <w:tcBorders>
              <w:top w:val="nil"/>
              <w:left w:val="nil"/>
              <w:bottom w:val="nil"/>
              <w:right w:val="nil"/>
            </w:tcBorders>
          </w:tcPr>
          <w:p w14:paraId="7FC653D8" w14:textId="77777777" w:rsidR="00CC7657" w:rsidRPr="001D6365" w:rsidRDefault="00CC7657" w:rsidP="00F6643B">
            <w:pPr>
              <w:pStyle w:val="BodyText"/>
              <w:jc w:val="center"/>
              <w:rPr>
                <w:rFonts w:ascii="Times New Roman" w:hAnsi="Times New Roman" w:cs="Times New Roman"/>
                <w:sz w:val="18"/>
                <w:szCs w:val="18"/>
              </w:rPr>
            </w:pPr>
          </w:p>
        </w:tc>
        <w:tc>
          <w:tcPr>
            <w:tcW w:w="1742" w:type="dxa"/>
            <w:tcBorders>
              <w:top w:val="nil"/>
              <w:left w:val="nil"/>
              <w:bottom w:val="nil"/>
              <w:right w:val="nil"/>
            </w:tcBorders>
          </w:tcPr>
          <w:p w14:paraId="768B74A9" w14:textId="77777777" w:rsidR="00CC7657" w:rsidRPr="001D6365" w:rsidRDefault="00CC7657" w:rsidP="00F6643B">
            <w:pPr>
              <w:pStyle w:val="BodyText"/>
              <w:jc w:val="center"/>
              <w:rPr>
                <w:rFonts w:ascii="Times New Roman" w:hAnsi="Times New Roman" w:cs="Times New Roman"/>
                <w:sz w:val="18"/>
                <w:szCs w:val="18"/>
              </w:rPr>
            </w:pPr>
          </w:p>
        </w:tc>
      </w:tr>
      <w:tr w:rsidR="00CC7657" w14:paraId="01A82A39" w14:textId="77777777" w:rsidTr="00F6643B">
        <w:trPr>
          <w:jc w:val="center"/>
        </w:trPr>
        <w:tc>
          <w:tcPr>
            <w:tcW w:w="1599" w:type="dxa"/>
            <w:tcBorders>
              <w:top w:val="nil"/>
              <w:left w:val="nil"/>
              <w:bottom w:val="nil"/>
              <w:right w:val="nil"/>
            </w:tcBorders>
          </w:tcPr>
          <w:p w14:paraId="39F497D1" w14:textId="77777777" w:rsidR="00CC7657" w:rsidRPr="001D6365" w:rsidRDefault="00CC7657" w:rsidP="00F6643B">
            <w:pPr>
              <w:pStyle w:val="BodyText"/>
              <w:rPr>
                <w:rStyle w:val="TabletextChar"/>
                <w:rFonts w:eastAsiaTheme="minorHAnsi"/>
                <w:sz w:val="18"/>
                <w:szCs w:val="18"/>
              </w:rPr>
            </w:pPr>
            <w:r>
              <w:rPr>
                <w:rStyle w:val="TabletextChar"/>
                <w:rFonts w:eastAsiaTheme="minorHAnsi"/>
                <w:sz w:val="18"/>
                <w:szCs w:val="18"/>
              </w:rPr>
              <w:t>United Kingdom</w:t>
            </w:r>
          </w:p>
        </w:tc>
        <w:tc>
          <w:tcPr>
            <w:tcW w:w="1741" w:type="dxa"/>
            <w:tcBorders>
              <w:top w:val="nil"/>
              <w:left w:val="nil"/>
              <w:bottom w:val="nil"/>
              <w:right w:val="nil"/>
            </w:tcBorders>
          </w:tcPr>
          <w:p w14:paraId="7770F9CD" w14:textId="77777777" w:rsidR="00CC7657" w:rsidRPr="001D6365" w:rsidRDefault="00CC7657" w:rsidP="00F6643B">
            <w:pPr>
              <w:pStyle w:val="BodyText"/>
              <w:jc w:val="center"/>
              <w:rPr>
                <w:rFonts w:ascii="Times New Roman" w:hAnsi="Times New Roman" w:cs="Times New Roman"/>
                <w:sz w:val="18"/>
                <w:szCs w:val="18"/>
              </w:rPr>
            </w:pPr>
            <w:r>
              <w:rPr>
                <w:rFonts w:ascii="Times New Roman" w:hAnsi="Times New Roman" w:cs="Times New Roman"/>
                <w:sz w:val="18"/>
                <w:szCs w:val="18"/>
              </w:rPr>
              <w:t xml:space="preserve">  1</w:t>
            </w:r>
            <w:r w:rsidRPr="00454C45">
              <w:rPr>
                <w:rFonts w:ascii="Times New Roman" w:hAnsi="Times New Roman" w:cs="Times New Roman"/>
                <w:sz w:val="18"/>
                <w:szCs w:val="18"/>
              </w:rPr>
              <w:t>38.9</w:t>
            </w:r>
          </w:p>
        </w:tc>
        <w:tc>
          <w:tcPr>
            <w:tcW w:w="1741" w:type="dxa"/>
            <w:tcBorders>
              <w:top w:val="nil"/>
              <w:left w:val="nil"/>
              <w:bottom w:val="nil"/>
              <w:right w:val="nil"/>
            </w:tcBorders>
          </w:tcPr>
          <w:p w14:paraId="442C1540" w14:textId="77777777" w:rsidR="00CC7657" w:rsidRPr="001D6365" w:rsidRDefault="00CC7657" w:rsidP="00F6643B">
            <w:pPr>
              <w:pStyle w:val="BodyText"/>
              <w:jc w:val="center"/>
              <w:rPr>
                <w:rFonts w:ascii="Times New Roman" w:hAnsi="Times New Roman" w:cs="Times New Roman"/>
                <w:sz w:val="18"/>
                <w:szCs w:val="18"/>
              </w:rPr>
            </w:pPr>
          </w:p>
        </w:tc>
        <w:tc>
          <w:tcPr>
            <w:tcW w:w="1742" w:type="dxa"/>
            <w:tcBorders>
              <w:top w:val="nil"/>
              <w:left w:val="nil"/>
              <w:bottom w:val="nil"/>
              <w:right w:val="nil"/>
            </w:tcBorders>
          </w:tcPr>
          <w:p w14:paraId="6A3801C1" w14:textId="77777777" w:rsidR="00CC7657" w:rsidRPr="001D6365" w:rsidRDefault="00CC7657" w:rsidP="00F6643B">
            <w:pPr>
              <w:pStyle w:val="BodyText"/>
              <w:jc w:val="center"/>
              <w:rPr>
                <w:rFonts w:ascii="Times New Roman" w:hAnsi="Times New Roman" w:cs="Times New Roman"/>
                <w:sz w:val="18"/>
                <w:szCs w:val="18"/>
              </w:rPr>
            </w:pPr>
            <w:r w:rsidRPr="00454C45">
              <w:rPr>
                <w:rFonts w:ascii="Times New Roman" w:hAnsi="Times New Roman" w:cs="Times New Roman"/>
                <w:sz w:val="18"/>
                <w:szCs w:val="18"/>
              </w:rPr>
              <w:t>23.1</w:t>
            </w:r>
          </w:p>
        </w:tc>
      </w:tr>
      <w:tr w:rsidR="00CC7657" w14:paraId="2380C8F9" w14:textId="77777777" w:rsidTr="00F6643B">
        <w:trPr>
          <w:jc w:val="center"/>
        </w:trPr>
        <w:tc>
          <w:tcPr>
            <w:tcW w:w="1599" w:type="dxa"/>
            <w:tcBorders>
              <w:top w:val="nil"/>
              <w:left w:val="nil"/>
              <w:bottom w:val="nil"/>
              <w:right w:val="nil"/>
            </w:tcBorders>
          </w:tcPr>
          <w:p w14:paraId="2B688FC5" w14:textId="77777777" w:rsidR="00CC7657" w:rsidRPr="001D6365" w:rsidRDefault="00CC7657" w:rsidP="00F6643B">
            <w:pPr>
              <w:pStyle w:val="BodyText"/>
              <w:rPr>
                <w:rStyle w:val="TabletextChar"/>
                <w:rFonts w:eastAsiaTheme="minorHAnsi"/>
                <w:sz w:val="18"/>
                <w:szCs w:val="18"/>
              </w:rPr>
            </w:pPr>
            <w:r>
              <w:rPr>
                <w:rStyle w:val="TabletextChar"/>
                <w:rFonts w:eastAsiaTheme="minorHAnsi"/>
                <w:sz w:val="18"/>
                <w:szCs w:val="18"/>
              </w:rPr>
              <w:t>United States</w:t>
            </w:r>
          </w:p>
        </w:tc>
        <w:tc>
          <w:tcPr>
            <w:tcW w:w="1741" w:type="dxa"/>
            <w:tcBorders>
              <w:top w:val="nil"/>
              <w:left w:val="nil"/>
              <w:bottom w:val="nil"/>
              <w:right w:val="nil"/>
            </w:tcBorders>
          </w:tcPr>
          <w:p w14:paraId="656041D8" w14:textId="77777777" w:rsidR="00CC7657" w:rsidRPr="001D6365" w:rsidRDefault="00CC7657" w:rsidP="00F6643B">
            <w:pPr>
              <w:pStyle w:val="BodyText"/>
              <w:jc w:val="center"/>
              <w:rPr>
                <w:rFonts w:ascii="Times New Roman" w:hAnsi="Times New Roman" w:cs="Times New Roman"/>
                <w:sz w:val="18"/>
                <w:szCs w:val="18"/>
              </w:rPr>
            </w:pPr>
            <w:r w:rsidRPr="00454C4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54C45">
              <w:rPr>
                <w:rFonts w:ascii="Times New Roman" w:hAnsi="Times New Roman" w:cs="Times New Roman"/>
                <w:sz w:val="18"/>
                <w:szCs w:val="18"/>
              </w:rPr>
              <w:t xml:space="preserve">   49.3 (d)</w:t>
            </w:r>
          </w:p>
        </w:tc>
        <w:tc>
          <w:tcPr>
            <w:tcW w:w="1741" w:type="dxa"/>
            <w:tcBorders>
              <w:top w:val="nil"/>
              <w:left w:val="nil"/>
              <w:bottom w:val="nil"/>
              <w:right w:val="nil"/>
            </w:tcBorders>
          </w:tcPr>
          <w:p w14:paraId="38CAF989" w14:textId="77777777" w:rsidR="00CC7657" w:rsidRPr="001D6365" w:rsidRDefault="00CC7657" w:rsidP="00F6643B">
            <w:pPr>
              <w:pStyle w:val="BodyText"/>
              <w:jc w:val="center"/>
              <w:rPr>
                <w:rFonts w:ascii="Times New Roman" w:hAnsi="Times New Roman" w:cs="Times New Roman"/>
                <w:sz w:val="18"/>
                <w:szCs w:val="18"/>
              </w:rPr>
            </w:pPr>
          </w:p>
        </w:tc>
        <w:tc>
          <w:tcPr>
            <w:tcW w:w="1742" w:type="dxa"/>
            <w:tcBorders>
              <w:top w:val="nil"/>
              <w:left w:val="nil"/>
              <w:bottom w:val="nil"/>
              <w:right w:val="nil"/>
            </w:tcBorders>
          </w:tcPr>
          <w:p w14:paraId="5DD3DAE1" w14:textId="77777777" w:rsidR="00CC7657" w:rsidRPr="001D6365" w:rsidRDefault="00CC7657" w:rsidP="00F6643B">
            <w:pPr>
              <w:pStyle w:val="BodyText"/>
              <w:jc w:val="center"/>
              <w:rPr>
                <w:rFonts w:ascii="Times New Roman" w:hAnsi="Times New Roman" w:cs="Times New Roman"/>
                <w:sz w:val="18"/>
                <w:szCs w:val="18"/>
              </w:rPr>
            </w:pPr>
          </w:p>
        </w:tc>
      </w:tr>
      <w:tr w:rsidR="00CC7657" w14:paraId="2A8C8649" w14:textId="77777777" w:rsidTr="00F6643B">
        <w:trPr>
          <w:jc w:val="center"/>
        </w:trPr>
        <w:tc>
          <w:tcPr>
            <w:tcW w:w="1599" w:type="dxa"/>
            <w:tcBorders>
              <w:top w:val="nil"/>
              <w:left w:val="nil"/>
              <w:bottom w:val="single" w:sz="4" w:space="0" w:color="auto"/>
              <w:right w:val="nil"/>
            </w:tcBorders>
          </w:tcPr>
          <w:p w14:paraId="1EAACD21" w14:textId="77777777" w:rsidR="00CC7657" w:rsidRPr="001D6365" w:rsidRDefault="00CC7657" w:rsidP="00F6643B">
            <w:pPr>
              <w:pStyle w:val="BodyText"/>
              <w:rPr>
                <w:rStyle w:val="TabletextChar"/>
                <w:rFonts w:eastAsiaTheme="minorHAnsi"/>
                <w:sz w:val="18"/>
                <w:szCs w:val="18"/>
              </w:rPr>
            </w:pPr>
            <w:r>
              <w:rPr>
                <w:rStyle w:val="TabletextChar"/>
                <w:rFonts w:eastAsiaTheme="minorHAnsi"/>
                <w:sz w:val="18"/>
                <w:szCs w:val="18"/>
              </w:rPr>
              <w:t>Others</w:t>
            </w:r>
          </w:p>
        </w:tc>
        <w:tc>
          <w:tcPr>
            <w:tcW w:w="1741" w:type="dxa"/>
            <w:tcBorders>
              <w:top w:val="nil"/>
              <w:left w:val="nil"/>
              <w:bottom w:val="single" w:sz="4" w:space="0" w:color="auto"/>
              <w:right w:val="nil"/>
            </w:tcBorders>
          </w:tcPr>
          <w:p w14:paraId="198C2835" w14:textId="77777777" w:rsidR="00CC7657" w:rsidRPr="001D6365" w:rsidRDefault="00CC7657" w:rsidP="00F6643B">
            <w:pPr>
              <w:pStyle w:val="BodyText"/>
              <w:jc w:val="center"/>
              <w:rPr>
                <w:rFonts w:ascii="Times New Roman" w:hAnsi="Times New Roman" w:cs="Times New Roman"/>
                <w:sz w:val="18"/>
                <w:szCs w:val="18"/>
              </w:rPr>
            </w:pPr>
          </w:p>
        </w:tc>
        <w:tc>
          <w:tcPr>
            <w:tcW w:w="1741" w:type="dxa"/>
            <w:tcBorders>
              <w:top w:val="nil"/>
              <w:left w:val="nil"/>
              <w:bottom w:val="single" w:sz="4" w:space="0" w:color="auto"/>
              <w:right w:val="nil"/>
            </w:tcBorders>
          </w:tcPr>
          <w:p w14:paraId="30EF3C17" w14:textId="77777777" w:rsidR="00CC7657" w:rsidRPr="001D6365" w:rsidRDefault="00CC7657" w:rsidP="00F6643B">
            <w:pPr>
              <w:pStyle w:val="BodyText"/>
              <w:jc w:val="center"/>
              <w:rPr>
                <w:rFonts w:ascii="Times New Roman" w:hAnsi="Times New Roman" w:cs="Times New Roman"/>
                <w:sz w:val="18"/>
                <w:szCs w:val="18"/>
              </w:rPr>
            </w:pPr>
            <w:r w:rsidRPr="00454C45">
              <w:rPr>
                <w:rFonts w:ascii="Times New Roman" w:hAnsi="Times New Roman" w:cs="Times New Roman"/>
                <w:sz w:val="18"/>
                <w:szCs w:val="18"/>
              </w:rPr>
              <w:t xml:space="preserve">        1.9 (e)</w:t>
            </w:r>
          </w:p>
        </w:tc>
        <w:tc>
          <w:tcPr>
            <w:tcW w:w="1742" w:type="dxa"/>
            <w:tcBorders>
              <w:top w:val="nil"/>
              <w:left w:val="nil"/>
              <w:bottom w:val="single" w:sz="4" w:space="0" w:color="auto"/>
              <w:right w:val="nil"/>
            </w:tcBorders>
          </w:tcPr>
          <w:p w14:paraId="64E11917" w14:textId="77777777" w:rsidR="00CC7657" w:rsidRPr="001D6365" w:rsidRDefault="00CC7657" w:rsidP="00F6643B">
            <w:pPr>
              <w:pStyle w:val="BodyText"/>
              <w:jc w:val="center"/>
              <w:rPr>
                <w:rFonts w:ascii="Times New Roman" w:hAnsi="Times New Roman" w:cs="Times New Roman"/>
                <w:sz w:val="18"/>
                <w:szCs w:val="18"/>
              </w:rPr>
            </w:pPr>
          </w:p>
        </w:tc>
      </w:tr>
      <w:tr w:rsidR="00CC7657" w14:paraId="186A06FC" w14:textId="77777777" w:rsidTr="00F6643B">
        <w:trPr>
          <w:jc w:val="center"/>
        </w:trPr>
        <w:tc>
          <w:tcPr>
            <w:tcW w:w="1599" w:type="dxa"/>
            <w:tcBorders>
              <w:top w:val="single" w:sz="4" w:space="0" w:color="auto"/>
              <w:left w:val="nil"/>
              <w:bottom w:val="single" w:sz="4" w:space="0" w:color="auto"/>
              <w:right w:val="nil"/>
            </w:tcBorders>
            <w:hideMark/>
          </w:tcPr>
          <w:p w14:paraId="6C086CD1" w14:textId="77777777" w:rsidR="00CC7657" w:rsidRPr="001D6365" w:rsidRDefault="00CC7657" w:rsidP="00F6643B">
            <w:pPr>
              <w:pStyle w:val="BodyText"/>
              <w:rPr>
                <w:rFonts w:ascii="Times New Roman" w:hAnsi="Times New Roman" w:cs="Times New Roman"/>
                <w:sz w:val="18"/>
                <w:szCs w:val="18"/>
              </w:rPr>
            </w:pPr>
            <w:r>
              <w:rPr>
                <w:rFonts w:ascii="Times New Roman" w:hAnsi="Times New Roman" w:cs="Times New Roman"/>
                <w:sz w:val="18"/>
                <w:szCs w:val="18"/>
              </w:rPr>
              <w:t>Totals (rounded)</w:t>
            </w:r>
          </w:p>
        </w:tc>
        <w:tc>
          <w:tcPr>
            <w:tcW w:w="1741" w:type="dxa"/>
            <w:tcBorders>
              <w:top w:val="single" w:sz="4" w:space="0" w:color="auto"/>
              <w:left w:val="nil"/>
              <w:bottom w:val="single" w:sz="4" w:space="0" w:color="auto"/>
              <w:right w:val="nil"/>
            </w:tcBorders>
          </w:tcPr>
          <w:p w14:paraId="1A438703" w14:textId="77777777" w:rsidR="00CC7657" w:rsidRPr="001D6365" w:rsidRDefault="00CC7657" w:rsidP="00F6643B">
            <w:pPr>
              <w:pStyle w:val="BodyText"/>
              <w:jc w:val="center"/>
              <w:rPr>
                <w:rFonts w:ascii="Times New Roman" w:hAnsi="Times New Roman" w:cs="Times New Roman"/>
                <w:sz w:val="18"/>
                <w:szCs w:val="18"/>
              </w:rPr>
            </w:pPr>
            <w:r w:rsidRPr="00454C45">
              <w:rPr>
                <w:rFonts w:ascii="Times New Roman" w:hAnsi="Times New Roman" w:cs="Times New Roman"/>
                <w:sz w:val="18"/>
                <w:szCs w:val="18"/>
              </w:rPr>
              <w:t xml:space="preserve">  34</w:t>
            </w:r>
            <w:r>
              <w:rPr>
                <w:rFonts w:ascii="Times New Roman" w:hAnsi="Times New Roman" w:cs="Times New Roman"/>
                <w:sz w:val="18"/>
                <w:szCs w:val="18"/>
              </w:rPr>
              <w:t>8</w:t>
            </w:r>
            <w:r w:rsidRPr="00454C45">
              <w:rPr>
                <w:rFonts w:ascii="Times New Roman" w:hAnsi="Times New Roman" w:cs="Times New Roman"/>
                <w:sz w:val="18"/>
                <w:szCs w:val="18"/>
              </w:rPr>
              <w:t>.</w:t>
            </w:r>
            <w:r>
              <w:rPr>
                <w:rFonts w:ascii="Times New Roman" w:hAnsi="Times New Roman" w:cs="Times New Roman"/>
                <w:sz w:val="18"/>
                <w:szCs w:val="18"/>
              </w:rPr>
              <w:t>6</w:t>
            </w:r>
          </w:p>
        </w:tc>
        <w:tc>
          <w:tcPr>
            <w:tcW w:w="1741" w:type="dxa"/>
            <w:tcBorders>
              <w:top w:val="single" w:sz="4" w:space="0" w:color="auto"/>
              <w:left w:val="nil"/>
              <w:bottom w:val="single" w:sz="4" w:space="0" w:color="auto"/>
              <w:right w:val="nil"/>
            </w:tcBorders>
            <w:hideMark/>
          </w:tcPr>
          <w:p w14:paraId="2B9F45F3" w14:textId="77777777" w:rsidR="00CC7657" w:rsidRPr="001D6365" w:rsidRDefault="00CC7657" w:rsidP="00F6643B">
            <w:pPr>
              <w:pStyle w:val="BodyText"/>
              <w:jc w:val="center"/>
              <w:rPr>
                <w:rFonts w:ascii="Times New Roman" w:hAnsi="Times New Roman" w:cs="Times New Roman"/>
                <w:sz w:val="18"/>
                <w:szCs w:val="18"/>
              </w:rPr>
            </w:pPr>
            <w:r w:rsidRPr="00454C45">
              <w:rPr>
                <w:rFonts w:ascii="Times New Roman" w:hAnsi="Times New Roman" w:cs="Times New Roman"/>
                <w:sz w:val="18"/>
                <w:szCs w:val="18"/>
              </w:rPr>
              <w:t>38.6</w:t>
            </w:r>
          </w:p>
        </w:tc>
        <w:tc>
          <w:tcPr>
            <w:tcW w:w="1742" w:type="dxa"/>
            <w:tcBorders>
              <w:top w:val="single" w:sz="4" w:space="0" w:color="auto"/>
              <w:left w:val="nil"/>
              <w:bottom w:val="single" w:sz="4" w:space="0" w:color="auto"/>
              <w:right w:val="nil"/>
            </w:tcBorders>
            <w:hideMark/>
          </w:tcPr>
          <w:p w14:paraId="184B362C" w14:textId="77777777" w:rsidR="00CC7657" w:rsidRPr="001D6365" w:rsidRDefault="00CC7657" w:rsidP="00F6643B">
            <w:pPr>
              <w:pStyle w:val="BodyText"/>
              <w:jc w:val="center"/>
              <w:rPr>
                <w:rFonts w:ascii="Times New Roman" w:hAnsi="Times New Roman" w:cs="Times New Roman"/>
                <w:sz w:val="18"/>
                <w:szCs w:val="18"/>
              </w:rPr>
            </w:pPr>
            <w:r w:rsidRPr="00454C45">
              <w:rPr>
                <w:rFonts w:ascii="Times New Roman" w:hAnsi="Times New Roman" w:cs="Times New Roman"/>
                <w:sz w:val="18"/>
                <w:szCs w:val="18"/>
              </w:rPr>
              <w:t>38.6</w:t>
            </w:r>
          </w:p>
        </w:tc>
      </w:tr>
    </w:tbl>
    <w:p w14:paraId="369AB296" w14:textId="77777777" w:rsidR="00CC7657" w:rsidRDefault="00CC7657" w:rsidP="00CC7657">
      <w:pPr>
        <w:spacing w:after="0"/>
        <w:ind w:firstLine="567"/>
        <w:jc w:val="both"/>
        <w:rPr>
          <w:rFonts w:ascii="Times New Roman" w:hAnsi="Times New Roman" w:cs="Times New Roman"/>
          <w:sz w:val="20"/>
          <w:szCs w:val="20"/>
        </w:rPr>
      </w:pPr>
    </w:p>
    <w:p w14:paraId="67C1F171" w14:textId="77777777" w:rsidR="00CC7657" w:rsidRPr="00454C45" w:rsidRDefault="00CC7657" w:rsidP="00CC7657">
      <w:pPr>
        <w:tabs>
          <w:tab w:val="left" w:pos="709"/>
          <w:tab w:val="left" w:pos="1418"/>
        </w:tabs>
        <w:spacing w:after="0"/>
        <w:ind w:left="1701" w:hanging="1701"/>
        <w:rPr>
          <w:rFonts w:ascii="Times New Roman" w:hAnsi="Times New Roman" w:cs="Times New Roman"/>
          <w:sz w:val="18"/>
          <w:szCs w:val="18"/>
          <w:lang w:val="en-US"/>
        </w:rPr>
      </w:pPr>
      <w:r w:rsidRPr="00454C45">
        <w:rPr>
          <w:rFonts w:ascii="Times New Roman" w:hAnsi="Times New Roman" w:cs="Times New Roman"/>
          <w:sz w:val="18"/>
          <w:szCs w:val="18"/>
          <w:lang w:val="en-US"/>
        </w:rPr>
        <w:tab/>
      </w:r>
      <w:r w:rsidRPr="00454C45">
        <w:rPr>
          <w:rFonts w:ascii="Times New Roman" w:hAnsi="Times New Roman" w:cs="Times New Roman"/>
          <w:sz w:val="18"/>
          <w:szCs w:val="18"/>
          <w:u w:val="single"/>
          <w:lang w:val="en-US"/>
        </w:rPr>
        <w:t>Notes</w:t>
      </w:r>
      <w:r w:rsidRPr="00454C45">
        <w:rPr>
          <w:rFonts w:ascii="Times New Roman" w:hAnsi="Times New Roman" w:cs="Times New Roman"/>
          <w:sz w:val="18"/>
          <w:szCs w:val="18"/>
          <w:lang w:val="en-US"/>
        </w:rPr>
        <w:t>:</w:t>
      </w:r>
      <w:r w:rsidRPr="00454C45">
        <w:rPr>
          <w:rFonts w:ascii="Times New Roman" w:hAnsi="Times New Roman" w:cs="Times New Roman"/>
          <w:sz w:val="18"/>
          <w:szCs w:val="18"/>
          <w:lang w:val="en-US"/>
        </w:rPr>
        <w:tab/>
        <w:t>(a)</w:t>
      </w:r>
      <w:r w:rsidRPr="00454C45">
        <w:rPr>
          <w:rFonts w:ascii="Times New Roman" w:hAnsi="Times New Roman" w:cs="Times New Roman"/>
          <w:sz w:val="18"/>
          <w:szCs w:val="18"/>
          <w:lang w:val="en-US"/>
        </w:rPr>
        <w:tab/>
        <w:t xml:space="preserve">Based on INFCIRC/549 reports for 2018, except for India which does not participate in the INFCIRC/549 arrangements. </w:t>
      </w:r>
    </w:p>
    <w:p w14:paraId="16586ACC" w14:textId="77777777" w:rsidR="00CC7657" w:rsidRPr="00454C45" w:rsidRDefault="00CC7657" w:rsidP="00CC7657">
      <w:pPr>
        <w:tabs>
          <w:tab w:val="left" w:pos="709"/>
          <w:tab w:val="left" w:pos="1418"/>
        </w:tabs>
        <w:spacing w:after="0"/>
        <w:ind w:left="1701" w:hanging="1701"/>
        <w:rPr>
          <w:rFonts w:ascii="Times New Roman" w:hAnsi="Times New Roman" w:cs="Times New Roman"/>
          <w:sz w:val="18"/>
          <w:szCs w:val="18"/>
          <w:lang w:val="en-US"/>
        </w:rPr>
      </w:pPr>
      <w:r w:rsidRPr="00454C45">
        <w:rPr>
          <w:rFonts w:ascii="Times New Roman" w:hAnsi="Times New Roman" w:cs="Times New Roman"/>
          <w:sz w:val="18"/>
          <w:szCs w:val="18"/>
          <w:lang w:val="en-US"/>
        </w:rPr>
        <w:tab/>
      </w:r>
      <w:r w:rsidRPr="00454C45">
        <w:rPr>
          <w:rFonts w:ascii="Times New Roman" w:hAnsi="Times New Roman" w:cs="Times New Roman"/>
          <w:sz w:val="18"/>
          <w:szCs w:val="18"/>
          <w:lang w:val="en-US"/>
        </w:rPr>
        <w:tab/>
        <w:t>(b)</w:t>
      </w:r>
      <w:r w:rsidRPr="00454C45">
        <w:rPr>
          <w:rFonts w:ascii="Times New Roman" w:hAnsi="Times New Roman" w:cs="Times New Roman"/>
          <w:sz w:val="18"/>
          <w:szCs w:val="18"/>
          <w:lang w:val="en-US"/>
        </w:rPr>
        <w:tab/>
        <w:t xml:space="preserve">Comprises 0.4 tonnes under safeguards and a </w:t>
      </w:r>
      <w:r w:rsidRPr="00454C45">
        <w:rPr>
          <w:rFonts w:ascii="Times New Roman" w:hAnsi="Times New Roman" w:cs="Times New Roman"/>
          <w:i/>
          <w:iCs/>
          <w:sz w:val="18"/>
          <w:szCs w:val="18"/>
          <w:lang w:val="en-US"/>
        </w:rPr>
        <w:t>strategic reserve</w:t>
      </w:r>
      <w:r w:rsidRPr="00454C45">
        <w:rPr>
          <w:rFonts w:ascii="Times New Roman" w:hAnsi="Times New Roman" w:cs="Times New Roman"/>
          <w:sz w:val="18"/>
          <w:szCs w:val="18"/>
          <w:lang w:val="en-US"/>
        </w:rPr>
        <w:t xml:space="preserve"> of around 6.5 tonnes of unsafeguarded reactor-grade plutonium from power reactors which could be used for civilian or military purposes (SIPRI Yearbook 2019, Table 6.12).</w:t>
      </w:r>
    </w:p>
    <w:p w14:paraId="5905D96B" w14:textId="77777777" w:rsidR="00CC7657" w:rsidRPr="00454C45" w:rsidRDefault="00CC7657" w:rsidP="00CC7657">
      <w:pPr>
        <w:tabs>
          <w:tab w:val="left" w:pos="709"/>
          <w:tab w:val="left" w:pos="1418"/>
        </w:tabs>
        <w:spacing w:after="0"/>
        <w:ind w:left="1701" w:hanging="1701"/>
        <w:rPr>
          <w:rFonts w:ascii="Times New Roman" w:hAnsi="Times New Roman" w:cs="Times New Roman"/>
          <w:sz w:val="18"/>
          <w:szCs w:val="18"/>
          <w:lang w:val="en-US"/>
        </w:rPr>
      </w:pPr>
      <w:r w:rsidRPr="00454C45">
        <w:rPr>
          <w:rFonts w:ascii="Times New Roman" w:hAnsi="Times New Roman" w:cs="Times New Roman"/>
          <w:sz w:val="18"/>
          <w:szCs w:val="18"/>
          <w:lang w:val="en-US"/>
        </w:rPr>
        <w:tab/>
      </w:r>
      <w:r w:rsidRPr="00454C45">
        <w:rPr>
          <w:rFonts w:ascii="Times New Roman" w:hAnsi="Times New Roman" w:cs="Times New Roman"/>
          <w:sz w:val="18"/>
          <w:szCs w:val="18"/>
          <w:lang w:val="en-US"/>
        </w:rPr>
        <w:tab/>
        <w:t>(c)</w:t>
      </w:r>
      <w:r w:rsidRPr="00454C45">
        <w:rPr>
          <w:rFonts w:ascii="Times New Roman" w:hAnsi="Times New Roman" w:cs="Times New Roman"/>
          <w:sz w:val="18"/>
          <w:szCs w:val="18"/>
          <w:lang w:val="en-US"/>
        </w:rPr>
        <w:tab/>
        <w:t>In addition</w:t>
      </w:r>
      <w:r>
        <w:rPr>
          <w:rFonts w:ascii="Times New Roman" w:hAnsi="Times New Roman" w:cs="Times New Roman"/>
          <w:sz w:val="18"/>
          <w:szCs w:val="18"/>
          <w:lang w:val="en-US"/>
        </w:rPr>
        <w:t>,</w:t>
      </w:r>
      <w:r w:rsidRPr="00454C45">
        <w:rPr>
          <w:rFonts w:ascii="Times New Roman" w:hAnsi="Times New Roman" w:cs="Times New Roman"/>
          <w:sz w:val="18"/>
          <w:szCs w:val="18"/>
          <w:lang w:val="en-US"/>
        </w:rPr>
        <w:t xml:space="preserve"> Russia ha</w:t>
      </w:r>
      <w:r>
        <w:rPr>
          <w:rFonts w:ascii="Times New Roman" w:hAnsi="Times New Roman" w:cs="Times New Roman"/>
          <w:sz w:val="18"/>
          <w:szCs w:val="18"/>
          <w:lang w:val="en-US"/>
        </w:rPr>
        <w:t>s</w:t>
      </w:r>
      <w:r w:rsidRPr="00454C45">
        <w:rPr>
          <w:rFonts w:ascii="Times New Roman" w:hAnsi="Times New Roman" w:cs="Times New Roman"/>
          <w:sz w:val="18"/>
          <w:szCs w:val="18"/>
          <w:lang w:val="en-US"/>
        </w:rPr>
        <w:t xml:space="preserve"> announced that around 40 tonnes of </w:t>
      </w:r>
      <w:r>
        <w:rPr>
          <w:rFonts w:ascii="Times New Roman" w:hAnsi="Times New Roman" w:cs="Times New Roman"/>
          <w:sz w:val="18"/>
          <w:szCs w:val="18"/>
          <w:lang w:val="en-US"/>
        </w:rPr>
        <w:t>plutonium</w:t>
      </w:r>
      <w:r w:rsidRPr="00454C45">
        <w:rPr>
          <w:rFonts w:ascii="Times New Roman" w:hAnsi="Times New Roman" w:cs="Times New Roman"/>
          <w:sz w:val="18"/>
          <w:szCs w:val="18"/>
          <w:lang w:val="en-US"/>
        </w:rPr>
        <w:t xml:space="preserve"> will be released from its military program. </w:t>
      </w:r>
    </w:p>
    <w:p w14:paraId="5072B862" w14:textId="77777777" w:rsidR="00CC7657" w:rsidRPr="00454C45" w:rsidRDefault="00CC7657" w:rsidP="00CC7657">
      <w:pPr>
        <w:tabs>
          <w:tab w:val="left" w:pos="709"/>
          <w:tab w:val="left" w:pos="1418"/>
        </w:tabs>
        <w:spacing w:after="0"/>
        <w:ind w:left="1701" w:hanging="1701"/>
        <w:rPr>
          <w:rFonts w:ascii="Times New Roman" w:hAnsi="Times New Roman" w:cs="Times New Roman"/>
          <w:sz w:val="18"/>
          <w:szCs w:val="18"/>
          <w:lang w:val="en-US"/>
        </w:rPr>
      </w:pPr>
      <w:r w:rsidRPr="00454C45">
        <w:rPr>
          <w:rFonts w:ascii="Times New Roman" w:hAnsi="Times New Roman" w:cs="Times New Roman"/>
          <w:sz w:val="18"/>
          <w:szCs w:val="18"/>
          <w:lang w:val="en-US"/>
        </w:rPr>
        <w:tab/>
      </w:r>
      <w:r w:rsidRPr="00454C45">
        <w:rPr>
          <w:rFonts w:ascii="Times New Roman" w:hAnsi="Times New Roman" w:cs="Times New Roman"/>
          <w:sz w:val="18"/>
          <w:szCs w:val="18"/>
          <w:lang w:val="en-US"/>
        </w:rPr>
        <w:tab/>
        <w:t>(d)</w:t>
      </w:r>
      <w:r w:rsidRPr="00454C45">
        <w:rPr>
          <w:rFonts w:ascii="Times New Roman" w:hAnsi="Times New Roman" w:cs="Times New Roman"/>
          <w:sz w:val="18"/>
          <w:szCs w:val="18"/>
          <w:lang w:val="en-US"/>
        </w:rPr>
        <w:tab/>
        <w:t>Plutonium declared excess to national security needs.</w:t>
      </w:r>
    </w:p>
    <w:p w14:paraId="5C1871A0" w14:textId="77777777" w:rsidR="00CC7657" w:rsidRDefault="00CC7657" w:rsidP="00CC7657">
      <w:pPr>
        <w:tabs>
          <w:tab w:val="left" w:pos="709"/>
          <w:tab w:val="left" w:pos="1418"/>
        </w:tabs>
        <w:spacing w:after="0"/>
        <w:ind w:left="1701" w:hanging="1701"/>
        <w:rPr>
          <w:rFonts w:ascii="Times New Roman" w:hAnsi="Times New Roman" w:cs="Times New Roman"/>
          <w:sz w:val="18"/>
          <w:szCs w:val="18"/>
          <w:lang w:val="en-US"/>
        </w:rPr>
      </w:pPr>
      <w:r w:rsidRPr="00454C45">
        <w:rPr>
          <w:rFonts w:ascii="Times New Roman" w:hAnsi="Times New Roman" w:cs="Times New Roman"/>
          <w:sz w:val="18"/>
          <w:szCs w:val="18"/>
          <w:lang w:val="en-US"/>
        </w:rPr>
        <w:tab/>
      </w:r>
      <w:r w:rsidRPr="00454C45">
        <w:rPr>
          <w:rFonts w:ascii="Times New Roman" w:hAnsi="Times New Roman" w:cs="Times New Roman"/>
          <w:sz w:val="18"/>
          <w:szCs w:val="18"/>
          <w:lang w:val="en-US"/>
        </w:rPr>
        <w:tab/>
        <w:t>(e)</w:t>
      </w:r>
      <w:r w:rsidRPr="00454C45">
        <w:rPr>
          <w:rFonts w:ascii="Times New Roman" w:hAnsi="Times New Roman" w:cs="Times New Roman"/>
          <w:sz w:val="18"/>
          <w:szCs w:val="18"/>
          <w:lang w:val="en-US"/>
        </w:rPr>
        <w:tab/>
        <w:t xml:space="preserve">Estimate based on figures in column C less </w:t>
      </w:r>
      <w:r>
        <w:rPr>
          <w:rFonts w:ascii="Times New Roman" w:hAnsi="Times New Roman" w:cs="Times New Roman"/>
          <w:sz w:val="18"/>
          <w:szCs w:val="18"/>
          <w:lang w:val="en-US"/>
        </w:rPr>
        <w:t>plutonium</w:t>
      </w:r>
      <w:r w:rsidRPr="00454C45">
        <w:rPr>
          <w:rFonts w:ascii="Times New Roman" w:hAnsi="Times New Roman" w:cs="Times New Roman"/>
          <w:sz w:val="18"/>
          <w:szCs w:val="18"/>
          <w:lang w:val="en-US"/>
        </w:rPr>
        <w:t xml:space="preserve"> held for Japan (shown in column B).</w:t>
      </w:r>
    </w:p>
    <w:p w14:paraId="30CBE1CA" w14:textId="77777777" w:rsidR="00CC7657" w:rsidRPr="00CD6D1E" w:rsidRDefault="00CC7657" w:rsidP="00CC7657">
      <w:pPr>
        <w:spacing w:after="0" w:line="260" w:lineRule="exact"/>
        <w:ind w:firstLine="567"/>
        <w:jc w:val="both"/>
        <w:rPr>
          <w:rFonts w:ascii="Times New Roman" w:hAnsi="Times New Roman" w:cs="Times New Roman"/>
          <w:sz w:val="20"/>
          <w:szCs w:val="20"/>
        </w:rPr>
      </w:pPr>
    </w:p>
    <w:p w14:paraId="18A1D3FC" w14:textId="77777777" w:rsidR="00CC7657" w:rsidRDefault="00CC7657" w:rsidP="00CC7657">
      <w:pPr>
        <w:spacing w:after="0" w:line="260" w:lineRule="exact"/>
        <w:ind w:firstLine="567"/>
        <w:jc w:val="both"/>
        <w:rPr>
          <w:rFonts w:ascii="Times New Roman" w:hAnsi="Times New Roman" w:cs="Times New Roman"/>
          <w:sz w:val="20"/>
          <w:szCs w:val="20"/>
        </w:rPr>
      </w:pPr>
      <w:r>
        <w:rPr>
          <w:rFonts w:ascii="Times New Roman" w:hAnsi="Times New Roman" w:cs="Times New Roman"/>
          <w:sz w:val="20"/>
          <w:szCs w:val="20"/>
        </w:rPr>
        <w:t xml:space="preserve">As regards the capabilities of terrorist groups to produce a nuclear explosive device, </w:t>
      </w:r>
      <w:r w:rsidRPr="005E3865">
        <w:rPr>
          <w:rFonts w:ascii="Times New Roman" w:hAnsi="Times New Roman" w:cs="Times New Roman"/>
          <w:sz w:val="20"/>
          <w:szCs w:val="20"/>
        </w:rPr>
        <w:t xml:space="preserve">Matthew Bunn </w:t>
      </w:r>
      <w:r>
        <w:rPr>
          <w:rFonts w:ascii="Times New Roman" w:hAnsi="Times New Roman" w:cs="Times New Roman"/>
          <w:sz w:val="20"/>
          <w:szCs w:val="20"/>
        </w:rPr>
        <w:t xml:space="preserve">for one </w:t>
      </w:r>
      <w:r w:rsidRPr="005E3865">
        <w:rPr>
          <w:rFonts w:ascii="Times New Roman" w:hAnsi="Times New Roman" w:cs="Times New Roman"/>
          <w:sz w:val="20"/>
          <w:szCs w:val="20"/>
        </w:rPr>
        <w:t>has repeatedly raised concerns</w:t>
      </w:r>
      <w:r>
        <w:rPr>
          <w:rFonts w:ascii="Times New Roman" w:hAnsi="Times New Roman" w:cs="Times New Roman"/>
          <w:sz w:val="20"/>
          <w:szCs w:val="20"/>
        </w:rPr>
        <w:t xml:space="preserve"> about t</w:t>
      </w:r>
      <w:r w:rsidRPr="005E3865">
        <w:rPr>
          <w:rFonts w:ascii="Times New Roman" w:hAnsi="Times New Roman" w:cs="Times New Roman"/>
          <w:sz w:val="20"/>
          <w:szCs w:val="20"/>
        </w:rPr>
        <w:t>he possibility of terrorist</w:t>
      </w:r>
      <w:r>
        <w:rPr>
          <w:rFonts w:ascii="Times New Roman" w:hAnsi="Times New Roman" w:cs="Times New Roman"/>
          <w:sz w:val="20"/>
          <w:szCs w:val="20"/>
        </w:rPr>
        <w:t>s</w:t>
      </w:r>
      <w:r w:rsidRPr="005E3865">
        <w:rPr>
          <w:rFonts w:ascii="Times New Roman" w:hAnsi="Times New Roman" w:cs="Times New Roman"/>
          <w:sz w:val="20"/>
          <w:szCs w:val="20"/>
        </w:rPr>
        <w:t xml:space="preserve"> receiving expert assistance </w:t>
      </w:r>
      <w:r>
        <w:rPr>
          <w:rFonts w:ascii="Times New Roman" w:hAnsi="Times New Roman" w:cs="Times New Roman"/>
          <w:sz w:val="20"/>
          <w:szCs w:val="20"/>
        </w:rPr>
        <w:t>[5]</w:t>
      </w:r>
      <w:r w:rsidRPr="000A6871">
        <w:rPr>
          <w:rFonts w:ascii="Times New Roman" w:hAnsi="Times New Roman" w:cs="Times New Roman"/>
          <w:sz w:val="20"/>
          <w:szCs w:val="20"/>
        </w:rPr>
        <w:t xml:space="preserve">. </w:t>
      </w:r>
      <w:r>
        <w:rPr>
          <w:rFonts w:ascii="Times New Roman" w:hAnsi="Times New Roman" w:cs="Times New Roman"/>
          <w:sz w:val="20"/>
          <w:szCs w:val="20"/>
        </w:rPr>
        <w:t xml:space="preserve">The increase in the number of states with nuclear weapon programs (whether or not successful) has broadened the range of individuals with specialised expertise who conceivably might be prepared to help terrorists. </w:t>
      </w:r>
    </w:p>
    <w:p w14:paraId="134E169C" w14:textId="77777777" w:rsidR="00CC7657" w:rsidRPr="000A6871" w:rsidRDefault="00CC7657" w:rsidP="00CC7657">
      <w:pPr>
        <w:spacing w:after="0" w:line="260" w:lineRule="exact"/>
        <w:ind w:firstLine="567"/>
        <w:jc w:val="both"/>
        <w:rPr>
          <w:rFonts w:ascii="Times New Roman" w:hAnsi="Times New Roman" w:cs="Times New Roman"/>
          <w:sz w:val="20"/>
          <w:szCs w:val="20"/>
        </w:rPr>
      </w:pPr>
      <w:r>
        <w:rPr>
          <w:rFonts w:ascii="Times New Roman" w:hAnsi="Times New Roman" w:cs="Times New Roman"/>
          <w:sz w:val="20"/>
          <w:szCs w:val="20"/>
        </w:rPr>
        <w:t xml:space="preserve">Considering that the principal barrier to terrorists producing a nuclear explosive device is the difficulty of acquiring fissile material, it is hardly reassuring that civilian plutonium stocks continue to grow and are approaching twice the size of military stocks. The quantity of plutonium required to make an improvised nuclear explosive device, say, 10 kilograms, is a tiny fraction of the 349 tonnes in civilian programs. </w:t>
      </w:r>
      <w:r w:rsidRPr="000A6871">
        <w:rPr>
          <w:rFonts w:ascii="Times New Roman" w:hAnsi="Times New Roman" w:cs="Times New Roman"/>
          <w:sz w:val="20"/>
          <w:szCs w:val="20"/>
        </w:rPr>
        <w:t xml:space="preserve">After successful efforts in recent years to reduce global civilian HEU stocks, today the hundreds of tonnes of civil plutonium represent by far the greatest stock of civilian nuclear weapon-usable material remaining at risk. </w:t>
      </w:r>
    </w:p>
    <w:p w14:paraId="35C60AA8" w14:textId="77777777" w:rsidR="00CC7657" w:rsidRPr="00CD6D1E" w:rsidRDefault="00CC7657" w:rsidP="00CC7657">
      <w:pPr>
        <w:pStyle w:val="Heading2"/>
        <w:numPr>
          <w:ilvl w:val="0"/>
          <w:numId w:val="3"/>
        </w:numPr>
        <w:tabs>
          <w:tab w:val="left" w:pos="567"/>
        </w:tabs>
        <w:ind w:left="567" w:hanging="567"/>
      </w:pPr>
      <w:bookmarkStart w:id="3" w:name="_Hlk23324514"/>
      <w:r>
        <w:t xml:space="preserve">STRENGTHENING MANAGEMENT APPROACHES TO ADDRESS RISKS FROM UNIRRADIATED PLUTONIUM </w:t>
      </w:r>
      <w:bookmarkEnd w:id="3"/>
    </w:p>
    <w:p w14:paraId="09939A6A" w14:textId="77777777" w:rsidR="00CC7657" w:rsidRDefault="00CC7657" w:rsidP="00CC7657">
      <w:pPr>
        <w:spacing w:after="0" w:line="260" w:lineRule="atLeast"/>
        <w:ind w:firstLine="567"/>
        <w:jc w:val="both"/>
        <w:rPr>
          <w:rFonts w:ascii="Times New Roman" w:hAnsi="Times New Roman" w:cs="Times New Roman"/>
          <w:sz w:val="20"/>
          <w:szCs w:val="20"/>
        </w:rPr>
      </w:pPr>
      <w:r>
        <w:rPr>
          <w:rFonts w:ascii="Times New Roman" w:hAnsi="Times New Roman" w:cs="Times New Roman"/>
          <w:sz w:val="20"/>
          <w:szCs w:val="20"/>
        </w:rPr>
        <w:t>There is a need not only to address specific security measures for unirradiated plutonium, but to complement these with institutional and political measures, as well as technical measures, to mitigate risks from this material.</w:t>
      </w:r>
    </w:p>
    <w:p w14:paraId="5836D116" w14:textId="77777777" w:rsidR="00CC7657" w:rsidRDefault="00CC7657" w:rsidP="00CC7657">
      <w:pPr>
        <w:spacing w:after="0" w:line="260" w:lineRule="atLeast"/>
        <w:ind w:firstLine="567"/>
        <w:jc w:val="both"/>
        <w:rPr>
          <w:rFonts w:ascii="Times New Roman" w:hAnsi="Times New Roman" w:cs="Times New Roman"/>
          <w:sz w:val="20"/>
          <w:szCs w:val="20"/>
        </w:rPr>
      </w:pPr>
      <w:bookmarkStart w:id="4" w:name="_Hlk23515421"/>
      <w:r>
        <w:rPr>
          <w:rFonts w:ascii="Times New Roman" w:hAnsi="Times New Roman" w:cs="Times New Roman"/>
          <w:sz w:val="20"/>
          <w:szCs w:val="20"/>
        </w:rPr>
        <w:t xml:space="preserve">Effective physical protection of unirradiated plutonium is absolutely essential. This requires rigorous application of standards, overseen by a strong regulator and an appropriate peer review process. Unirradiated plutonium exists in a number of forms, processes and locations – rigorous standards must be applied at all stages in plutonium storage, handling, transport and use. The adequacy of security for plutonium should be regularly reviewed and appropriate mechanisms, such as various IAEA nuclear security missions, used to provide related assurances. Currently available measures are largely voluntary and have only been undertaken at the initiative of host states. The IAEA and nuclear suppliers should be more active in pressing plutonium holders to undertake such reviews and implement appropriate improvements accordingly. </w:t>
      </w:r>
    </w:p>
    <w:bookmarkEnd w:id="4"/>
    <w:p w14:paraId="4A00306D" w14:textId="77777777" w:rsidR="00CC7657" w:rsidRDefault="00CC7657" w:rsidP="00CC7657">
      <w:pPr>
        <w:spacing w:after="0" w:line="260" w:lineRule="atLeast"/>
        <w:ind w:firstLine="567"/>
        <w:jc w:val="both"/>
        <w:rPr>
          <w:rFonts w:ascii="Times New Roman" w:hAnsi="Times New Roman" w:cs="Times New Roman"/>
          <w:sz w:val="20"/>
          <w:szCs w:val="20"/>
        </w:rPr>
      </w:pPr>
      <w:r>
        <w:rPr>
          <w:rFonts w:ascii="Times New Roman" w:hAnsi="Times New Roman" w:cs="Times New Roman"/>
          <w:sz w:val="20"/>
          <w:szCs w:val="20"/>
        </w:rPr>
        <w:t xml:space="preserve">At the political level, permanent disposition of unirradiated civilian plutonium should be acknowledged as a problem common to all states possessing significant quantities of this material. It is also an important issue for the international community generally – a major terrorist incident involving plutonium would have global impact politically and economically. A multilateral forum should be established to promote international collaboration on plutonium management issues, including the development of strategies for the permanent disposition of civil plutonium [6]. Multilateral collaboration would enable efficient sharing of costs, resources, knowledge and experience, and would also enhance international transparency and confidence [7]. </w:t>
      </w:r>
    </w:p>
    <w:p w14:paraId="044EB3F9" w14:textId="77777777" w:rsidR="00CC7657" w:rsidRDefault="00CC7657" w:rsidP="00CC7657">
      <w:pPr>
        <w:pStyle w:val="ListParagraph"/>
        <w:numPr>
          <w:ilvl w:val="1"/>
          <w:numId w:val="4"/>
        </w:numPr>
        <w:spacing w:before="240" w:after="240" w:line="260" w:lineRule="atLeast"/>
        <w:ind w:left="357" w:hanging="357"/>
        <w:rPr>
          <w:rFonts w:ascii="Times New Roman" w:hAnsi="Times New Roman" w:cs="Times New Roman"/>
          <w:b/>
          <w:bCs/>
          <w:sz w:val="20"/>
          <w:szCs w:val="20"/>
        </w:rPr>
      </w:pPr>
      <w:r>
        <w:rPr>
          <w:rFonts w:ascii="Times New Roman" w:hAnsi="Times New Roman" w:cs="Times New Roman"/>
          <w:b/>
          <w:bCs/>
          <w:sz w:val="20"/>
          <w:szCs w:val="20"/>
        </w:rPr>
        <w:t>Limit existing reprocessing programs and their risks</w:t>
      </w:r>
    </w:p>
    <w:p w14:paraId="5A5AF9EC" w14:textId="77777777" w:rsidR="00CC7657" w:rsidRPr="00023243" w:rsidRDefault="00CC7657" w:rsidP="00CC7657">
      <w:pPr>
        <w:tabs>
          <w:tab w:val="left" w:pos="567"/>
        </w:tabs>
        <w:spacing w:before="240" w:after="240" w:line="260" w:lineRule="atLeast"/>
        <w:rPr>
          <w:rFonts w:ascii="Times New Roman" w:hAnsi="Times New Roman" w:cs="Times New Roman"/>
          <w:i/>
          <w:iCs/>
          <w:sz w:val="20"/>
          <w:szCs w:val="20"/>
        </w:rPr>
      </w:pPr>
      <w:r w:rsidRPr="00023243">
        <w:rPr>
          <w:rFonts w:ascii="Times New Roman" w:hAnsi="Times New Roman" w:cs="Times New Roman"/>
          <w:i/>
          <w:iCs/>
          <w:sz w:val="20"/>
          <w:szCs w:val="20"/>
        </w:rPr>
        <w:t>3.1.1</w:t>
      </w:r>
      <w:r w:rsidRPr="00023243">
        <w:rPr>
          <w:rFonts w:ascii="Times New Roman" w:hAnsi="Times New Roman" w:cs="Times New Roman"/>
          <w:i/>
          <w:iCs/>
          <w:sz w:val="20"/>
          <w:szCs w:val="20"/>
        </w:rPr>
        <w:tab/>
        <w:t>Political measures</w:t>
      </w:r>
    </w:p>
    <w:p w14:paraId="6F32C1DA" w14:textId="77777777" w:rsidR="00CC7657" w:rsidRDefault="00CC7657" w:rsidP="00CC7657">
      <w:pPr>
        <w:spacing w:after="0" w:line="260" w:lineRule="atLeast"/>
        <w:ind w:firstLine="567"/>
        <w:jc w:val="both"/>
        <w:rPr>
          <w:rFonts w:ascii="Times New Roman" w:hAnsi="Times New Roman" w:cs="Times New Roman"/>
          <w:sz w:val="20"/>
          <w:szCs w:val="20"/>
        </w:rPr>
      </w:pPr>
      <w:bookmarkStart w:id="5" w:name="_Hlk23515319"/>
      <w:r>
        <w:rPr>
          <w:rFonts w:ascii="Times New Roman" w:hAnsi="Times New Roman" w:cs="Times New Roman"/>
          <w:sz w:val="20"/>
          <w:szCs w:val="20"/>
        </w:rPr>
        <w:t>States with reprocessing programs should be encouraged to t</w:t>
      </w:r>
      <w:r w:rsidRPr="00DF1CA5">
        <w:rPr>
          <w:rFonts w:ascii="Times New Roman" w:hAnsi="Times New Roman" w:cs="Times New Roman"/>
          <w:sz w:val="20"/>
          <w:szCs w:val="20"/>
        </w:rPr>
        <w:t xml:space="preserve">horoughly review the technical and economic rationales for reprocessing, </w:t>
      </w:r>
      <w:r>
        <w:rPr>
          <w:rFonts w:ascii="Times New Roman" w:hAnsi="Times New Roman" w:cs="Times New Roman"/>
          <w:sz w:val="20"/>
          <w:szCs w:val="20"/>
        </w:rPr>
        <w:t xml:space="preserve">and the nuclear security aspects, </w:t>
      </w:r>
      <w:r w:rsidRPr="00DF1CA5">
        <w:rPr>
          <w:rFonts w:ascii="Times New Roman" w:hAnsi="Times New Roman" w:cs="Times New Roman"/>
          <w:sz w:val="20"/>
          <w:szCs w:val="20"/>
        </w:rPr>
        <w:t xml:space="preserve">and </w:t>
      </w:r>
      <w:r w:rsidRPr="00A50E3E">
        <w:rPr>
          <w:rFonts w:ascii="Times New Roman" w:hAnsi="Times New Roman" w:cs="Times New Roman"/>
          <w:sz w:val="20"/>
          <w:szCs w:val="20"/>
        </w:rPr>
        <w:t>to forswear the pursuit of plutonium-based fuels unless and until there is some unforeseen circumstance where such fuels make economic and technical sense.</w:t>
      </w:r>
      <w:r>
        <w:rPr>
          <w:rFonts w:ascii="Times New Roman" w:hAnsi="Times New Roman" w:cs="Times New Roman"/>
          <w:sz w:val="20"/>
          <w:szCs w:val="20"/>
        </w:rPr>
        <w:t xml:space="preserve"> </w:t>
      </w:r>
    </w:p>
    <w:p w14:paraId="0943B059" w14:textId="77777777" w:rsidR="00CC7657" w:rsidRDefault="00CC7657" w:rsidP="00CC7657">
      <w:pPr>
        <w:spacing w:after="0" w:line="260" w:lineRule="atLeast"/>
        <w:ind w:firstLine="567"/>
        <w:jc w:val="both"/>
        <w:rPr>
          <w:rFonts w:ascii="Times New Roman" w:hAnsi="Times New Roman" w:cs="Times New Roman"/>
          <w:sz w:val="20"/>
          <w:szCs w:val="20"/>
        </w:rPr>
      </w:pPr>
      <w:r>
        <w:rPr>
          <w:rFonts w:ascii="Times New Roman" w:hAnsi="Times New Roman" w:cs="Times New Roman"/>
          <w:sz w:val="20"/>
          <w:szCs w:val="20"/>
        </w:rPr>
        <w:t xml:space="preserve">These states should take into account whether the benefits of reprocessing are sufficient to justify the risks from this activity. Regarding the claimed benefits, the historic rationales for reprocessing and use of plutonium fuels </w:t>
      </w:r>
      <w:r w:rsidRPr="00486759">
        <w:rPr>
          <w:rFonts w:ascii="Times New Roman" w:hAnsi="Times New Roman" w:cs="Times New Roman"/>
          <w:sz w:val="20"/>
          <w:szCs w:val="20"/>
        </w:rPr>
        <w:t>no longer apply</w:t>
      </w:r>
      <w:r>
        <w:rPr>
          <w:rFonts w:ascii="Times New Roman" w:hAnsi="Times New Roman" w:cs="Times New Roman"/>
          <w:sz w:val="20"/>
          <w:szCs w:val="20"/>
        </w:rPr>
        <w:t xml:space="preserve">. Plutonium fuels are not required to ensure the sustainability or reliability of nuclear energy. Uranium is abundant and low-cost; plutonium is more expensive than use of even very high-cost uranium (including extraction of uranium from seawater). Use of plutonium fuels </w:t>
      </w:r>
      <w:r w:rsidRPr="00486759">
        <w:rPr>
          <w:rFonts w:ascii="Times New Roman" w:hAnsi="Times New Roman" w:cs="Times New Roman"/>
          <w:sz w:val="20"/>
          <w:szCs w:val="20"/>
        </w:rPr>
        <w:t xml:space="preserve">has no </w:t>
      </w:r>
      <w:r>
        <w:rPr>
          <w:rFonts w:ascii="Times New Roman" w:hAnsi="Times New Roman" w:cs="Times New Roman"/>
          <w:sz w:val="20"/>
          <w:szCs w:val="20"/>
        </w:rPr>
        <w:t xml:space="preserve">convincing </w:t>
      </w:r>
      <w:r w:rsidRPr="00486759">
        <w:rPr>
          <w:rFonts w:ascii="Times New Roman" w:hAnsi="Times New Roman" w:cs="Times New Roman"/>
          <w:sz w:val="20"/>
          <w:szCs w:val="20"/>
        </w:rPr>
        <w:t>waste management advantage</w:t>
      </w:r>
      <w:r>
        <w:rPr>
          <w:rFonts w:ascii="Times New Roman" w:hAnsi="Times New Roman" w:cs="Times New Roman"/>
          <w:sz w:val="20"/>
          <w:szCs w:val="20"/>
        </w:rPr>
        <w:t xml:space="preserve"> </w:t>
      </w:r>
      <w:bookmarkEnd w:id="5"/>
      <w:r>
        <w:rPr>
          <w:rFonts w:ascii="Times New Roman" w:hAnsi="Times New Roman" w:cs="Times New Roman"/>
          <w:sz w:val="20"/>
          <w:szCs w:val="20"/>
        </w:rPr>
        <w:t>[8]. These facts are implicitly recognised in the termination of fast breeder reactor (FBR) programs in Japan and France. Japan announced the closure of the Monju FBR in 2016. Subsequently Japan joined the ASTRID demonstration FBR project in France. However, in August 2019 France’s CEA (</w:t>
      </w:r>
      <w:r w:rsidRPr="00DA2D3A">
        <w:rPr>
          <w:rFonts w:ascii="Times New Roman" w:hAnsi="Times New Roman" w:cs="Times New Roman"/>
          <w:sz w:val="20"/>
          <w:szCs w:val="20"/>
        </w:rPr>
        <w:t xml:space="preserve">Atomic </w:t>
      </w:r>
      <w:r>
        <w:rPr>
          <w:rFonts w:ascii="Times New Roman" w:hAnsi="Times New Roman" w:cs="Times New Roman"/>
          <w:sz w:val="20"/>
          <w:szCs w:val="20"/>
        </w:rPr>
        <w:t>and</w:t>
      </w:r>
      <w:r w:rsidRPr="00DA2D3A">
        <w:rPr>
          <w:rFonts w:ascii="Times New Roman" w:hAnsi="Times New Roman" w:cs="Times New Roman"/>
          <w:sz w:val="20"/>
          <w:szCs w:val="20"/>
        </w:rPr>
        <w:t xml:space="preserve"> Alternative Energies Commission)</w:t>
      </w:r>
      <w:r>
        <w:rPr>
          <w:rFonts w:ascii="Times New Roman" w:hAnsi="Times New Roman" w:cs="Times New Roman"/>
          <w:sz w:val="20"/>
          <w:szCs w:val="20"/>
        </w:rPr>
        <w:t xml:space="preserve"> announced the termination of the ASTRID project. The CEA said that in </w:t>
      </w:r>
      <w:r w:rsidRPr="00E4564C">
        <w:rPr>
          <w:rFonts w:ascii="Times New Roman" w:hAnsi="Times New Roman" w:cs="Times New Roman"/>
          <w:sz w:val="20"/>
          <w:szCs w:val="20"/>
        </w:rPr>
        <w:t xml:space="preserve">the current energy market the industrial development of fourth-generation reactors </w:t>
      </w:r>
      <w:r>
        <w:rPr>
          <w:rFonts w:ascii="Times New Roman" w:hAnsi="Times New Roman" w:cs="Times New Roman"/>
          <w:sz w:val="20"/>
          <w:szCs w:val="20"/>
        </w:rPr>
        <w:t>was</w:t>
      </w:r>
      <w:r w:rsidRPr="00E4564C">
        <w:rPr>
          <w:rFonts w:ascii="Times New Roman" w:hAnsi="Times New Roman" w:cs="Times New Roman"/>
          <w:sz w:val="20"/>
          <w:szCs w:val="20"/>
        </w:rPr>
        <w:t xml:space="preserve"> not planned before the second half of this century</w:t>
      </w:r>
      <w:r>
        <w:rPr>
          <w:rFonts w:ascii="Times New Roman" w:hAnsi="Times New Roman" w:cs="Times New Roman"/>
          <w:sz w:val="20"/>
          <w:szCs w:val="20"/>
        </w:rPr>
        <w:t>.</w:t>
      </w:r>
    </w:p>
    <w:p w14:paraId="04D10C65" w14:textId="77777777" w:rsidR="00CC7657" w:rsidRDefault="00CC7657" w:rsidP="00CC7657">
      <w:pPr>
        <w:spacing w:after="0" w:line="260" w:lineRule="atLeast"/>
        <w:ind w:firstLine="567"/>
        <w:jc w:val="both"/>
        <w:rPr>
          <w:rFonts w:ascii="Times New Roman" w:hAnsi="Times New Roman" w:cs="Times New Roman"/>
          <w:sz w:val="20"/>
          <w:szCs w:val="20"/>
        </w:rPr>
      </w:pPr>
      <w:r>
        <w:rPr>
          <w:rFonts w:ascii="Times New Roman" w:hAnsi="Times New Roman" w:cs="Times New Roman"/>
          <w:sz w:val="20"/>
          <w:szCs w:val="20"/>
        </w:rPr>
        <w:t>With these decisions it is difficult to see how the continuation of reprocessing in these two states can be justified. Similar considerations should apply in the other states currently engaged in or considering reprocessing.</w:t>
      </w:r>
    </w:p>
    <w:p w14:paraId="62D52BCC" w14:textId="77777777" w:rsidR="00CC7657" w:rsidRDefault="00CC7657" w:rsidP="00CC7657">
      <w:pPr>
        <w:spacing w:after="0" w:line="260" w:lineRule="atLeast"/>
        <w:ind w:firstLine="567"/>
        <w:jc w:val="both"/>
        <w:rPr>
          <w:rFonts w:ascii="Times New Roman" w:hAnsi="Times New Roman" w:cs="Times New Roman"/>
          <w:sz w:val="20"/>
          <w:szCs w:val="20"/>
        </w:rPr>
      </w:pPr>
      <w:r w:rsidRPr="00486759">
        <w:rPr>
          <w:rFonts w:ascii="Times New Roman" w:hAnsi="Times New Roman" w:cs="Times New Roman"/>
          <w:sz w:val="20"/>
          <w:szCs w:val="20"/>
        </w:rPr>
        <w:t xml:space="preserve">Japan </w:t>
      </w:r>
      <w:r>
        <w:rPr>
          <w:rFonts w:ascii="Times New Roman" w:hAnsi="Times New Roman" w:cs="Times New Roman"/>
          <w:sz w:val="20"/>
          <w:szCs w:val="20"/>
        </w:rPr>
        <w:t xml:space="preserve">should be encouraged </w:t>
      </w:r>
      <w:r w:rsidRPr="00486759">
        <w:rPr>
          <w:rFonts w:ascii="Times New Roman" w:hAnsi="Times New Roman" w:cs="Times New Roman"/>
          <w:sz w:val="20"/>
          <w:szCs w:val="20"/>
        </w:rPr>
        <w:t xml:space="preserve">to </w:t>
      </w:r>
      <w:r>
        <w:rPr>
          <w:rFonts w:ascii="Times New Roman" w:hAnsi="Times New Roman" w:cs="Times New Roman"/>
          <w:sz w:val="20"/>
          <w:szCs w:val="20"/>
        </w:rPr>
        <w:t xml:space="preserve">make its moratorium on reprocessing at </w:t>
      </w:r>
      <w:r w:rsidRPr="00486759">
        <w:rPr>
          <w:rFonts w:ascii="Times New Roman" w:hAnsi="Times New Roman" w:cs="Times New Roman"/>
          <w:sz w:val="20"/>
          <w:szCs w:val="20"/>
        </w:rPr>
        <w:t>Rokkasho</w:t>
      </w:r>
      <w:r>
        <w:rPr>
          <w:rFonts w:ascii="Times New Roman" w:hAnsi="Times New Roman" w:cs="Times New Roman"/>
          <w:sz w:val="20"/>
          <w:szCs w:val="20"/>
        </w:rPr>
        <w:t xml:space="preserve"> permanent and to pursue </w:t>
      </w:r>
      <w:r w:rsidRPr="00486759">
        <w:rPr>
          <w:rFonts w:ascii="Times New Roman" w:hAnsi="Times New Roman" w:cs="Times New Roman"/>
          <w:sz w:val="20"/>
          <w:szCs w:val="20"/>
        </w:rPr>
        <w:t>dry cask storage as an alternative to reprocessing.</w:t>
      </w:r>
      <w:r>
        <w:rPr>
          <w:rFonts w:ascii="Times New Roman" w:hAnsi="Times New Roman" w:cs="Times New Roman"/>
          <w:sz w:val="20"/>
          <w:szCs w:val="20"/>
        </w:rPr>
        <w:t xml:space="preserve"> </w:t>
      </w:r>
      <w:r w:rsidRPr="00C82C60">
        <w:rPr>
          <w:rFonts w:ascii="Times New Roman" w:hAnsi="Times New Roman" w:cs="Times New Roman"/>
          <w:sz w:val="20"/>
          <w:szCs w:val="20"/>
        </w:rPr>
        <w:t xml:space="preserve">A complication is that currently Japanese legislation does not allow for final disposal of spent fuel (or </w:t>
      </w:r>
      <w:r>
        <w:rPr>
          <w:rFonts w:ascii="Times New Roman" w:hAnsi="Times New Roman" w:cs="Times New Roman"/>
          <w:sz w:val="20"/>
          <w:szCs w:val="20"/>
        </w:rPr>
        <w:t>unirradiated</w:t>
      </w:r>
      <w:r w:rsidRPr="00C82C60">
        <w:rPr>
          <w:rFonts w:ascii="Times New Roman" w:hAnsi="Times New Roman" w:cs="Times New Roman"/>
          <w:sz w:val="20"/>
          <w:szCs w:val="20"/>
        </w:rPr>
        <w:t xml:space="preserve"> plutonium)</w:t>
      </w:r>
      <w:r>
        <w:rPr>
          <w:rFonts w:ascii="Times New Roman" w:hAnsi="Times New Roman" w:cs="Times New Roman"/>
          <w:sz w:val="20"/>
          <w:szCs w:val="20"/>
        </w:rPr>
        <w:t>:</w:t>
      </w:r>
      <w:r w:rsidRPr="00C82C60">
        <w:rPr>
          <w:rFonts w:ascii="Times New Roman" w:hAnsi="Times New Roman" w:cs="Times New Roman"/>
          <w:sz w:val="20"/>
          <w:szCs w:val="20"/>
        </w:rPr>
        <w:t xml:space="preserve"> reprocessing is the only legal option for long-term management of spent fuel. Japan should be encouraged to change its laws to enable the most appropriate management strategy to be adopted.</w:t>
      </w:r>
    </w:p>
    <w:p w14:paraId="26FE184A" w14:textId="77777777" w:rsidR="00CC7657" w:rsidRPr="00486759" w:rsidRDefault="00CC7657" w:rsidP="00CC7657">
      <w:pPr>
        <w:spacing w:after="0" w:line="260" w:lineRule="atLeast"/>
        <w:ind w:firstLine="567"/>
        <w:jc w:val="both"/>
        <w:rPr>
          <w:rFonts w:ascii="Times New Roman" w:hAnsi="Times New Roman" w:cs="Times New Roman"/>
          <w:sz w:val="20"/>
          <w:szCs w:val="20"/>
        </w:rPr>
      </w:pPr>
      <w:r>
        <w:rPr>
          <w:rFonts w:ascii="Times New Roman" w:hAnsi="Times New Roman" w:cs="Times New Roman"/>
          <w:sz w:val="20"/>
          <w:szCs w:val="20"/>
        </w:rPr>
        <w:t xml:space="preserve">Likewise, France should be encouraged to pursue </w:t>
      </w:r>
      <w:r w:rsidRPr="00486759">
        <w:rPr>
          <w:rFonts w:ascii="Times New Roman" w:hAnsi="Times New Roman" w:cs="Times New Roman"/>
          <w:sz w:val="20"/>
          <w:szCs w:val="20"/>
        </w:rPr>
        <w:t>dry cask storage as an alternative to reprocessing</w:t>
      </w:r>
      <w:r>
        <w:rPr>
          <w:rFonts w:ascii="Times New Roman" w:hAnsi="Times New Roman" w:cs="Times New Roman"/>
          <w:sz w:val="20"/>
          <w:szCs w:val="20"/>
        </w:rPr>
        <w:t xml:space="preserve">. French companies are among the world’s leading dry storage system providers and French builder-operator EDF will implement dry storage rather than reprocessing at the Hinkley Point C plant currently under construction in the United Kingdom. The November 2019 law on energy and climate does not mention spent fuel management. However, according to the draft Multi-Annual Energy Plan, spent fuel reprocessing and plutonium use “must be maintained”. At the same time, the official abandoning of the ASTRID project pushes the realization of a plutonium-fuelled FBR, if ever, into the second half of the century and likely would also require the construction of a new generation of reprocessing and MOX fuel fabrication facilities absent any economic justification. This should be the occasion for France to reconsider its spent fuel management and plutonium research and development policies altogether, abandon plutonium separation and use, and engage with the international community to develop conditioning and disposal options for its considerable unirradiated plutonium stocks. France should also reconsider its proposal to </w:t>
      </w:r>
      <w:r w:rsidRPr="00486759">
        <w:rPr>
          <w:rFonts w:ascii="Times New Roman" w:hAnsi="Times New Roman" w:cs="Times New Roman"/>
          <w:sz w:val="20"/>
          <w:szCs w:val="20"/>
        </w:rPr>
        <w:t>export a reprocessing plant to China</w:t>
      </w:r>
      <w:r>
        <w:rPr>
          <w:rFonts w:ascii="Times New Roman" w:hAnsi="Times New Roman" w:cs="Times New Roman"/>
          <w:sz w:val="20"/>
          <w:szCs w:val="20"/>
        </w:rPr>
        <w:t xml:space="preserve"> [9]</w:t>
      </w:r>
      <w:r w:rsidRPr="00486759">
        <w:rPr>
          <w:rFonts w:ascii="Times New Roman" w:hAnsi="Times New Roman" w:cs="Times New Roman"/>
          <w:sz w:val="20"/>
          <w:szCs w:val="20"/>
        </w:rPr>
        <w:t>.</w:t>
      </w:r>
    </w:p>
    <w:p w14:paraId="7CF686ED" w14:textId="77777777" w:rsidR="00CC7657" w:rsidRPr="00DF1CA5" w:rsidRDefault="00CC7657" w:rsidP="00CC7657">
      <w:pPr>
        <w:tabs>
          <w:tab w:val="left" w:pos="567"/>
        </w:tabs>
        <w:spacing w:before="240" w:after="240" w:line="260" w:lineRule="atLeast"/>
        <w:rPr>
          <w:rFonts w:ascii="Times New Roman" w:hAnsi="Times New Roman" w:cs="Times New Roman"/>
          <w:i/>
          <w:iCs/>
          <w:sz w:val="20"/>
          <w:szCs w:val="20"/>
        </w:rPr>
      </w:pPr>
      <w:r>
        <w:rPr>
          <w:rFonts w:ascii="Times New Roman" w:hAnsi="Times New Roman" w:cs="Times New Roman"/>
          <w:i/>
          <w:iCs/>
          <w:sz w:val="20"/>
          <w:szCs w:val="20"/>
        </w:rPr>
        <w:t>3.1.2</w:t>
      </w:r>
      <w:r>
        <w:rPr>
          <w:rFonts w:ascii="Times New Roman" w:hAnsi="Times New Roman" w:cs="Times New Roman"/>
          <w:i/>
          <w:iCs/>
          <w:sz w:val="20"/>
          <w:szCs w:val="20"/>
        </w:rPr>
        <w:tab/>
        <w:t>Technical measures</w:t>
      </w:r>
    </w:p>
    <w:p w14:paraId="1D1C66D4" w14:textId="77777777" w:rsidR="00CC7657" w:rsidRDefault="00CC7657" w:rsidP="00CC7657">
      <w:pPr>
        <w:spacing w:after="0" w:line="260" w:lineRule="atLeast"/>
        <w:ind w:firstLine="567"/>
        <w:jc w:val="both"/>
        <w:rPr>
          <w:rFonts w:ascii="Times New Roman" w:hAnsi="Times New Roman" w:cs="Times New Roman"/>
          <w:sz w:val="20"/>
          <w:szCs w:val="20"/>
        </w:rPr>
      </w:pPr>
      <w:r>
        <w:rPr>
          <w:rFonts w:ascii="Times New Roman" w:hAnsi="Times New Roman" w:cs="Times New Roman"/>
          <w:sz w:val="20"/>
          <w:szCs w:val="20"/>
        </w:rPr>
        <w:t xml:space="preserve">As already noted, </w:t>
      </w:r>
      <w:r w:rsidRPr="00DF1CA5">
        <w:rPr>
          <w:rFonts w:ascii="Times New Roman" w:hAnsi="Times New Roman" w:cs="Times New Roman"/>
          <w:sz w:val="20"/>
          <w:szCs w:val="20"/>
        </w:rPr>
        <w:t xml:space="preserve">storage of spent fuel for extended periods in ponds </w:t>
      </w:r>
      <w:r>
        <w:rPr>
          <w:rFonts w:ascii="Times New Roman" w:hAnsi="Times New Roman" w:cs="Times New Roman"/>
          <w:sz w:val="20"/>
          <w:szCs w:val="20"/>
        </w:rPr>
        <w:t>awaiting</w:t>
      </w:r>
      <w:r w:rsidRPr="00DF1CA5">
        <w:rPr>
          <w:rFonts w:ascii="Times New Roman" w:hAnsi="Times New Roman" w:cs="Times New Roman"/>
          <w:sz w:val="20"/>
          <w:szCs w:val="20"/>
        </w:rPr>
        <w:t xml:space="preserve"> reprocessing presents considerably greater risks of sabotage</w:t>
      </w:r>
      <w:r>
        <w:rPr>
          <w:rFonts w:ascii="Times New Roman" w:hAnsi="Times New Roman" w:cs="Times New Roman"/>
          <w:sz w:val="20"/>
          <w:szCs w:val="20"/>
        </w:rPr>
        <w:t xml:space="preserve"> and outside terrorist or military attack, especially where high density storage is used, </w:t>
      </w:r>
      <w:r w:rsidRPr="00DF1CA5">
        <w:rPr>
          <w:rFonts w:ascii="Times New Roman" w:hAnsi="Times New Roman" w:cs="Times New Roman"/>
          <w:sz w:val="20"/>
          <w:szCs w:val="20"/>
        </w:rPr>
        <w:t>compared with expeditious transfer of spent fuel from ponds into dry storage</w:t>
      </w:r>
      <w:r>
        <w:rPr>
          <w:rFonts w:ascii="Times New Roman" w:hAnsi="Times New Roman" w:cs="Times New Roman"/>
          <w:sz w:val="20"/>
          <w:szCs w:val="20"/>
        </w:rPr>
        <w:t>. Termination of reprocessing programs would enable spent fuel to be held in safer conditions in dry storage casks.</w:t>
      </w:r>
    </w:p>
    <w:p w14:paraId="65A19566" w14:textId="77777777" w:rsidR="00CC7657" w:rsidRPr="00DF1CA5" w:rsidRDefault="00CC7657" w:rsidP="00CC7657">
      <w:pPr>
        <w:pStyle w:val="ListParagraph"/>
        <w:numPr>
          <w:ilvl w:val="1"/>
          <w:numId w:val="4"/>
        </w:numPr>
        <w:spacing w:before="240" w:after="240" w:line="260" w:lineRule="atLeast"/>
        <w:ind w:left="357" w:hanging="357"/>
        <w:rPr>
          <w:rFonts w:ascii="Times New Roman" w:hAnsi="Times New Roman" w:cs="Times New Roman"/>
          <w:b/>
          <w:bCs/>
          <w:sz w:val="20"/>
          <w:szCs w:val="20"/>
        </w:rPr>
      </w:pPr>
      <w:r w:rsidRPr="00DF1CA5">
        <w:rPr>
          <w:rFonts w:ascii="Times New Roman" w:hAnsi="Times New Roman" w:cs="Times New Roman"/>
          <w:b/>
          <w:bCs/>
          <w:sz w:val="20"/>
          <w:szCs w:val="20"/>
        </w:rPr>
        <w:t>Limit the risk of existing civil</w:t>
      </w:r>
      <w:r>
        <w:rPr>
          <w:rFonts w:ascii="Times New Roman" w:hAnsi="Times New Roman" w:cs="Times New Roman"/>
          <w:b/>
          <w:bCs/>
          <w:sz w:val="20"/>
          <w:szCs w:val="20"/>
        </w:rPr>
        <w:t>ian</w:t>
      </w:r>
      <w:r w:rsidRPr="00DF1CA5">
        <w:rPr>
          <w:rFonts w:ascii="Times New Roman" w:hAnsi="Times New Roman" w:cs="Times New Roman"/>
          <w:b/>
          <w:bCs/>
          <w:sz w:val="20"/>
          <w:szCs w:val="20"/>
        </w:rPr>
        <w:t xml:space="preserve"> plutonium stocks</w:t>
      </w:r>
    </w:p>
    <w:p w14:paraId="02ED67B7" w14:textId="77777777" w:rsidR="00CC7657" w:rsidRPr="00023243" w:rsidRDefault="00CC7657" w:rsidP="00CC7657">
      <w:pPr>
        <w:tabs>
          <w:tab w:val="left" w:pos="567"/>
        </w:tabs>
        <w:spacing w:before="240" w:after="240" w:line="260" w:lineRule="atLeast"/>
        <w:rPr>
          <w:rFonts w:ascii="Times New Roman" w:hAnsi="Times New Roman" w:cs="Times New Roman"/>
          <w:i/>
          <w:iCs/>
          <w:sz w:val="20"/>
          <w:szCs w:val="20"/>
        </w:rPr>
      </w:pPr>
      <w:r w:rsidRPr="00023243">
        <w:rPr>
          <w:rFonts w:ascii="Times New Roman" w:hAnsi="Times New Roman" w:cs="Times New Roman"/>
          <w:i/>
          <w:iCs/>
          <w:sz w:val="20"/>
          <w:szCs w:val="20"/>
        </w:rPr>
        <w:t>3.</w:t>
      </w:r>
      <w:r>
        <w:rPr>
          <w:rFonts w:ascii="Times New Roman" w:hAnsi="Times New Roman" w:cs="Times New Roman"/>
          <w:i/>
          <w:iCs/>
          <w:sz w:val="20"/>
          <w:szCs w:val="20"/>
        </w:rPr>
        <w:t>2</w:t>
      </w:r>
      <w:r w:rsidRPr="00023243">
        <w:rPr>
          <w:rFonts w:ascii="Times New Roman" w:hAnsi="Times New Roman" w:cs="Times New Roman"/>
          <w:i/>
          <w:iCs/>
          <w:sz w:val="20"/>
          <w:szCs w:val="20"/>
        </w:rPr>
        <w:t>.1</w:t>
      </w:r>
      <w:r w:rsidRPr="00023243">
        <w:rPr>
          <w:rFonts w:ascii="Times New Roman" w:hAnsi="Times New Roman" w:cs="Times New Roman"/>
          <w:i/>
          <w:iCs/>
          <w:sz w:val="20"/>
          <w:szCs w:val="20"/>
        </w:rPr>
        <w:tab/>
        <w:t>Political measures</w:t>
      </w:r>
    </w:p>
    <w:p w14:paraId="68B07C0B" w14:textId="77777777" w:rsidR="00CC7657" w:rsidRDefault="00CC7657" w:rsidP="00CC7657">
      <w:pPr>
        <w:spacing w:after="0" w:line="260" w:lineRule="atLeast"/>
        <w:ind w:firstLine="567"/>
        <w:jc w:val="both"/>
        <w:rPr>
          <w:rFonts w:ascii="Times New Roman" w:hAnsi="Times New Roman" w:cs="Times New Roman"/>
          <w:sz w:val="20"/>
          <w:szCs w:val="20"/>
        </w:rPr>
      </w:pPr>
      <w:r>
        <w:rPr>
          <w:rFonts w:ascii="Times New Roman" w:hAnsi="Times New Roman" w:cs="Times New Roman"/>
          <w:sz w:val="20"/>
          <w:szCs w:val="20"/>
        </w:rPr>
        <w:t xml:space="preserve">Options for multilateral management of plutonium stocks should be examined, including further consideration of international plutonium storage concepts. </w:t>
      </w:r>
    </w:p>
    <w:p w14:paraId="5593A46A" w14:textId="77777777" w:rsidR="00CC7657" w:rsidRPr="00DF1CA5" w:rsidRDefault="00CC7657" w:rsidP="00CC7657">
      <w:pPr>
        <w:tabs>
          <w:tab w:val="left" w:pos="567"/>
        </w:tabs>
        <w:spacing w:before="240" w:after="240" w:line="260" w:lineRule="atLeast"/>
        <w:rPr>
          <w:rFonts w:ascii="Times New Roman" w:hAnsi="Times New Roman" w:cs="Times New Roman"/>
          <w:i/>
          <w:iCs/>
          <w:sz w:val="20"/>
          <w:szCs w:val="20"/>
        </w:rPr>
      </w:pPr>
      <w:r>
        <w:rPr>
          <w:rFonts w:ascii="Times New Roman" w:hAnsi="Times New Roman" w:cs="Times New Roman"/>
          <w:i/>
          <w:iCs/>
          <w:sz w:val="20"/>
          <w:szCs w:val="20"/>
        </w:rPr>
        <w:t>3.2.2</w:t>
      </w:r>
      <w:r>
        <w:rPr>
          <w:rFonts w:ascii="Times New Roman" w:hAnsi="Times New Roman" w:cs="Times New Roman"/>
          <w:i/>
          <w:iCs/>
          <w:sz w:val="20"/>
          <w:szCs w:val="20"/>
        </w:rPr>
        <w:tab/>
        <w:t>Technical measures</w:t>
      </w:r>
    </w:p>
    <w:p w14:paraId="1C174F00" w14:textId="77777777" w:rsidR="00CC7657" w:rsidRDefault="00CC7657" w:rsidP="00CC7657">
      <w:pPr>
        <w:spacing w:after="0" w:line="260" w:lineRule="atLeast"/>
        <w:ind w:firstLine="567"/>
        <w:jc w:val="both"/>
        <w:rPr>
          <w:rFonts w:ascii="Times New Roman" w:hAnsi="Times New Roman" w:cs="Times New Roman"/>
          <w:sz w:val="20"/>
          <w:szCs w:val="20"/>
        </w:rPr>
      </w:pPr>
      <w:r>
        <w:rPr>
          <w:rFonts w:ascii="Times New Roman" w:hAnsi="Times New Roman" w:cs="Times New Roman"/>
          <w:sz w:val="20"/>
          <w:szCs w:val="20"/>
        </w:rPr>
        <w:t>The number of sites with unirradiated plutonium holdings and the number of transport movements of plutonium should be minimized, and regular reviews conducted of the security of such sites and transport arrangements.</w:t>
      </w:r>
    </w:p>
    <w:p w14:paraId="453E7A55" w14:textId="77777777" w:rsidR="00CC7657" w:rsidRDefault="00CC7657" w:rsidP="00CC7657">
      <w:pPr>
        <w:spacing w:after="0" w:line="260" w:lineRule="atLeast"/>
        <w:ind w:firstLine="567"/>
        <w:jc w:val="both"/>
        <w:rPr>
          <w:rFonts w:ascii="Times New Roman" w:hAnsi="Times New Roman" w:cs="Times New Roman"/>
          <w:sz w:val="20"/>
          <w:szCs w:val="20"/>
        </w:rPr>
      </w:pPr>
      <w:r>
        <w:rPr>
          <w:rFonts w:ascii="Times New Roman" w:hAnsi="Times New Roman" w:cs="Times New Roman"/>
          <w:sz w:val="20"/>
          <w:szCs w:val="20"/>
        </w:rPr>
        <w:t>Non-essential holdings of plutonium should be identified, and appropriate actions taken to deal with these, as has been done for HEU. Actions could include consolidating holdings (reducing the number of locations), and where possible, removal to the supplier state.</w:t>
      </w:r>
    </w:p>
    <w:p w14:paraId="08E7E5B9" w14:textId="77777777" w:rsidR="00CC7657" w:rsidRDefault="00CC7657" w:rsidP="00CC7657">
      <w:pPr>
        <w:spacing w:after="0" w:line="260" w:lineRule="atLeast"/>
        <w:ind w:firstLine="567"/>
        <w:jc w:val="both"/>
        <w:rPr>
          <w:rFonts w:ascii="Times New Roman" w:hAnsi="Times New Roman" w:cs="Times New Roman"/>
          <w:sz w:val="20"/>
          <w:szCs w:val="20"/>
        </w:rPr>
      </w:pPr>
      <w:r>
        <w:rPr>
          <w:rFonts w:ascii="Times New Roman" w:hAnsi="Times New Roman" w:cs="Times New Roman"/>
          <w:sz w:val="20"/>
          <w:szCs w:val="20"/>
        </w:rPr>
        <w:t>Where plutonium is held in the form of plutonium oxide, consideration should be given to converting it into less sensitive forms (such as MOX pellets and fuel assemblies) as early as practicable, in order to increase the time needed for any attempt at weaponization, provided this can be done without incurring additional security risks. Conversion to MOX could be extended to include plutonium insufficiently pure to be used in reactor fuel.</w:t>
      </w:r>
    </w:p>
    <w:p w14:paraId="4364B1B0" w14:textId="77777777" w:rsidR="00CC7657" w:rsidRDefault="00CC7657" w:rsidP="00CC7657">
      <w:pPr>
        <w:spacing w:after="0" w:line="260" w:lineRule="atLeast"/>
        <w:ind w:firstLine="567"/>
        <w:jc w:val="both"/>
        <w:rPr>
          <w:rFonts w:ascii="Times New Roman" w:hAnsi="Times New Roman" w:cs="Times New Roman"/>
          <w:sz w:val="20"/>
          <w:szCs w:val="20"/>
        </w:rPr>
      </w:pPr>
      <w:r w:rsidRPr="0084772A">
        <w:rPr>
          <w:rFonts w:ascii="Times New Roman" w:hAnsi="Times New Roman" w:cs="Times New Roman"/>
          <w:sz w:val="20"/>
          <w:szCs w:val="20"/>
        </w:rPr>
        <w:t xml:space="preserve">A state, in particular France, that has large stores of MOX with impurities unlikely to be re-reprocessed within a calendar year, should </w:t>
      </w:r>
      <w:r>
        <w:rPr>
          <w:rFonts w:ascii="Times New Roman" w:hAnsi="Times New Roman" w:cs="Times New Roman"/>
          <w:sz w:val="20"/>
          <w:szCs w:val="20"/>
        </w:rPr>
        <w:t>consider</w:t>
      </w:r>
      <w:r w:rsidRPr="0084772A">
        <w:rPr>
          <w:rFonts w:ascii="Times New Roman" w:hAnsi="Times New Roman" w:cs="Times New Roman"/>
          <w:sz w:val="20"/>
          <w:szCs w:val="20"/>
        </w:rPr>
        <w:t xml:space="preserve"> placing MOX fuel pins or assemblies in dry casks with highly radioactive spent fuel assemblies for final disposal. This strategy would combine high-quality conditioning, security level and proliferation resistance</w:t>
      </w:r>
      <w:r>
        <w:rPr>
          <w:rFonts w:ascii="Times New Roman" w:hAnsi="Times New Roman" w:cs="Times New Roman"/>
          <w:sz w:val="20"/>
          <w:szCs w:val="20"/>
        </w:rPr>
        <w:t>. Pending the ultimate disposal of such material, this would provide increased protection against access by non-state actors.</w:t>
      </w:r>
    </w:p>
    <w:p w14:paraId="090191B8" w14:textId="77777777" w:rsidR="00CC7657" w:rsidRDefault="00CC7657" w:rsidP="00CC7657">
      <w:pPr>
        <w:spacing w:after="0" w:line="260" w:lineRule="atLeast"/>
        <w:ind w:firstLine="567"/>
        <w:jc w:val="both"/>
        <w:rPr>
          <w:rFonts w:ascii="Times New Roman" w:hAnsi="Times New Roman" w:cs="Times New Roman"/>
          <w:sz w:val="20"/>
          <w:szCs w:val="20"/>
        </w:rPr>
      </w:pPr>
      <w:r>
        <w:rPr>
          <w:rFonts w:ascii="Times New Roman" w:hAnsi="Times New Roman" w:cs="Times New Roman"/>
          <w:sz w:val="20"/>
          <w:szCs w:val="20"/>
        </w:rPr>
        <w:t>Active strategies should be followed to run down plutonium stocks. If reprocessing cannot be terminated in the short term, the rate of plutonium separation should be kept well below the rate of consumption, to ensure that stocks are drawn down. There is a dilemma here – while plutonium use and disposition programs play a positive role in reducing the size of plutonium stockpiles, they also introduce new dangers through additional handling and transport of plutonium. There is a further dilemma – while transfer of excess military stocks of plutonium to civilian programs is important for disarmament, adding to civilian stocks adds to existing risks. Dilution, conditioning and direct disposal of plutonium in deep geological repositories should be rapidly developed as an alternative to the ongoing use of plutonium in fuels.</w:t>
      </w:r>
    </w:p>
    <w:p w14:paraId="1C3FFF16" w14:textId="77777777" w:rsidR="00CC7657" w:rsidRDefault="00CC7657" w:rsidP="00CC7657">
      <w:pPr>
        <w:spacing w:after="0" w:line="260" w:lineRule="atLeast"/>
        <w:ind w:firstLine="567"/>
        <w:jc w:val="both"/>
        <w:rPr>
          <w:rFonts w:ascii="Times New Roman" w:hAnsi="Times New Roman" w:cs="Times New Roman"/>
          <w:sz w:val="20"/>
          <w:szCs w:val="20"/>
        </w:rPr>
      </w:pPr>
      <w:r>
        <w:rPr>
          <w:rFonts w:ascii="Times New Roman" w:hAnsi="Times New Roman" w:cs="Times New Roman"/>
          <w:sz w:val="20"/>
          <w:szCs w:val="20"/>
        </w:rPr>
        <w:t>Dilution and direct disposal are particularly important strategies in states where MOX fuel is currently not being used, such as the United Kingdom and the United States. Given the poor economics and remaining security risks of MOX (plutonium can be chemically separated sufficiently easily that the IAEA considers MOX to be a “direct use material”) there is little reason today to initiate a plutonium fuel system. As the United States pursues its “dilute-and-dispose” option for the permanent disposal of excess military plutonium, it should be prepared to share dilution and conditioning technologies with other states and to include these states in unclassified aspects of ongoing US research and development activities.</w:t>
      </w:r>
    </w:p>
    <w:p w14:paraId="5E29AE28" w14:textId="77777777" w:rsidR="00CC7657" w:rsidRPr="00DF1CA5" w:rsidRDefault="00CC7657" w:rsidP="00CC7657">
      <w:pPr>
        <w:pStyle w:val="ListParagraph"/>
        <w:numPr>
          <w:ilvl w:val="1"/>
          <w:numId w:val="4"/>
        </w:numPr>
        <w:spacing w:before="240" w:after="240" w:line="260" w:lineRule="atLeast"/>
        <w:ind w:left="357" w:hanging="357"/>
        <w:rPr>
          <w:rFonts w:ascii="Times New Roman" w:hAnsi="Times New Roman" w:cs="Times New Roman"/>
          <w:b/>
          <w:bCs/>
          <w:sz w:val="20"/>
          <w:szCs w:val="20"/>
        </w:rPr>
      </w:pPr>
      <w:r w:rsidRPr="00DF1CA5">
        <w:rPr>
          <w:rFonts w:ascii="Times New Roman" w:hAnsi="Times New Roman" w:cs="Times New Roman"/>
          <w:b/>
          <w:bCs/>
          <w:sz w:val="20"/>
          <w:szCs w:val="20"/>
        </w:rPr>
        <w:t>Discourage new reprocessing programs</w:t>
      </w:r>
    </w:p>
    <w:p w14:paraId="000B1318" w14:textId="77777777" w:rsidR="00CC7657" w:rsidRPr="00023243" w:rsidRDefault="00CC7657" w:rsidP="00CC7657">
      <w:pPr>
        <w:tabs>
          <w:tab w:val="left" w:pos="567"/>
        </w:tabs>
        <w:spacing w:before="240" w:after="240" w:line="260" w:lineRule="atLeast"/>
        <w:rPr>
          <w:rFonts w:ascii="Times New Roman" w:hAnsi="Times New Roman" w:cs="Times New Roman"/>
          <w:i/>
          <w:iCs/>
          <w:sz w:val="20"/>
          <w:szCs w:val="20"/>
        </w:rPr>
      </w:pPr>
      <w:r w:rsidRPr="00023243">
        <w:rPr>
          <w:rFonts w:ascii="Times New Roman" w:hAnsi="Times New Roman" w:cs="Times New Roman"/>
          <w:i/>
          <w:iCs/>
          <w:sz w:val="20"/>
          <w:szCs w:val="20"/>
        </w:rPr>
        <w:t>3.</w:t>
      </w:r>
      <w:r>
        <w:rPr>
          <w:rFonts w:ascii="Times New Roman" w:hAnsi="Times New Roman" w:cs="Times New Roman"/>
          <w:i/>
          <w:iCs/>
          <w:sz w:val="20"/>
          <w:szCs w:val="20"/>
        </w:rPr>
        <w:t>3</w:t>
      </w:r>
      <w:r w:rsidRPr="00023243">
        <w:rPr>
          <w:rFonts w:ascii="Times New Roman" w:hAnsi="Times New Roman" w:cs="Times New Roman"/>
          <w:i/>
          <w:iCs/>
          <w:sz w:val="20"/>
          <w:szCs w:val="20"/>
        </w:rPr>
        <w:t>.1</w:t>
      </w:r>
      <w:r w:rsidRPr="00023243">
        <w:rPr>
          <w:rFonts w:ascii="Times New Roman" w:hAnsi="Times New Roman" w:cs="Times New Roman"/>
          <w:i/>
          <w:iCs/>
          <w:sz w:val="20"/>
          <w:szCs w:val="20"/>
        </w:rPr>
        <w:tab/>
        <w:t>Political measures</w:t>
      </w:r>
    </w:p>
    <w:p w14:paraId="43E83C09" w14:textId="77777777" w:rsidR="00CC7657" w:rsidRDefault="00CC7657" w:rsidP="00CC7657">
      <w:pPr>
        <w:spacing w:after="0" w:line="260" w:lineRule="atLeast"/>
        <w:ind w:firstLine="567"/>
        <w:jc w:val="both"/>
        <w:rPr>
          <w:rFonts w:ascii="Times New Roman" w:hAnsi="Times New Roman" w:cs="Times New Roman"/>
          <w:sz w:val="20"/>
          <w:szCs w:val="20"/>
        </w:rPr>
      </w:pPr>
      <w:r>
        <w:rPr>
          <w:rFonts w:ascii="Times New Roman" w:hAnsi="Times New Roman" w:cs="Times New Roman"/>
          <w:sz w:val="20"/>
          <w:szCs w:val="20"/>
        </w:rPr>
        <w:t>Policymakers considering proposals for reprocessing and plutonium fuels should be encouraged to ensure that the economic and technical rationales, as well as nuclear security aspects, are analysed rigorously. This is particularly relevant in the case of China, which is currently considering the establishment of a large-scale reprocessing program [10].</w:t>
      </w:r>
    </w:p>
    <w:p w14:paraId="684A58DC" w14:textId="77777777" w:rsidR="00CC7657" w:rsidRDefault="00CC7657" w:rsidP="00CC7657">
      <w:pPr>
        <w:spacing w:after="0" w:line="260" w:lineRule="atLeast"/>
        <w:ind w:firstLine="567"/>
        <w:jc w:val="both"/>
        <w:rPr>
          <w:rFonts w:ascii="Times New Roman" w:hAnsi="Times New Roman" w:cs="Times New Roman"/>
          <w:sz w:val="20"/>
          <w:szCs w:val="20"/>
        </w:rPr>
      </w:pPr>
      <w:r>
        <w:rPr>
          <w:rFonts w:ascii="Times New Roman" w:hAnsi="Times New Roman" w:cs="Times New Roman"/>
          <w:sz w:val="20"/>
          <w:szCs w:val="20"/>
        </w:rPr>
        <w:t>Current restraints on transfers of reprocessing equipment and technology should be maintained. Additional commitments, like those in US nuclear cooperation agreements (such as the agreement with the United Arab Emirates), where the US partners have agreed to renounce reprocessing into the indefinite future, should be pursued.</w:t>
      </w:r>
    </w:p>
    <w:p w14:paraId="073FD408" w14:textId="77777777" w:rsidR="00CC7657" w:rsidRDefault="00CC7657" w:rsidP="00CC7657">
      <w:pPr>
        <w:spacing w:after="0" w:line="260" w:lineRule="atLeast"/>
        <w:ind w:firstLine="567"/>
        <w:jc w:val="both"/>
        <w:rPr>
          <w:rFonts w:ascii="Times New Roman" w:hAnsi="Times New Roman" w:cs="Times New Roman"/>
          <w:sz w:val="20"/>
          <w:szCs w:val="20"/>
        </w:rPr>
      </w:pPr>
      <w:r>
        <w:rPr>
          <w:rFonts w:ascii="Times New Roman" w:hAnsi="Times New Roman" w:cs="Times New Roman"/>
          <w:sz w:val="20"/>
          <w:szCs w:val="20"/>
        </w:rPr>
        <w:t>Dry cask storage technology should be actively promoted as the fundamental principle of spent fuel management.</w:t>
      </w:r>
    </w:p>
    <w:p w14:paraId="36B5DDCC" w14:textId="77777777" w:rsidR="00CC7657" w:rsidRPr="00DF1CA5" w:rsidRDefault="00CC7657" w:rsidP="00CC7657">
      <w:pPr>
        <w:tabs>
          <w:tab w:val="left" w:pos="567"/>
        </w:tabs>
        <w:spacing w:before="240" w:after="240" w:line="260" w:lineRule="atLeast"/>
        <w:rPr>
          <w:rFonts w:ascii="Times New Roman" w:hAnsi="Times New Roman" w:cs="Times New Roman"/>
          <w:i/>
          <w:iCs/>
          <w:sz w:val="20"/>
          <w:szCs w:val="20"/>
        </w:rPr>
      </w:pPr>
      <w:r>
        <w:rPr>
          <w:rFonts w:ascii="Times New Roman" w:hAnsi="Times New Roman" w:cs="Times New Roman"/>
          <w:i/>
          <w:iCs/>
          <w:sz w:val="20"/>
          <w:szCs w:val="20"/>
        </w:rPr>
        <w:t>3.3.2</w:t>
      </w:r>
      <w:r>
        <w:rPr>
          <w:rFonts w:ascii="Times New Roman" w:hAnsi="Times New Roman" w:cs="Times New Roman"/>
          <w:i/>
          <w:iCs/>
          <w:sz w:val="20"/>
          <w:szCs w:val="20"/>
        </w:rPr>
        <w:tab/>
        <w:t>Technical measures</w:t>
      </w:r>
    </w:p>
    <w:p w14:paraId="7A0A98FF" w14:textId="77777777" w:rsidR="00CC7657" w:rsidRDefault="00CC7657" w:rsidP="00CC7657">
      <w:pPr>
        <w:spacing w:after="0" w:line="260" w:lineRule="atLeast"/>
        <w:ind w:firstLine="567"/>
        <w:jc w:val="both"/>
        <w:rPr>
          <w:rFonts w:ascii="Times New Roman" w:hAnsi="Times New Roman" w:cs="Times New Roman"/>
          <w:sz w:val="20"/>
          <w:szCs w:val="20"/>
        </w:rPr>
      </w:pPr>
      <w:r>
        <w:rPr>
          <w:rFonts w:ascii="Times New Roman" w:hAnsi="Times New Roman" w:cs="Times New Roman"/>
          <w:sz w:val="20"/>
          <w:szCs w:val="20"/>
        </w:rPr>
        <w:t>For the future</w:t>
      </w:r>
      <w:r w:rsidRPr="00367BD9">
        <w:rPr>
          <w:rFonts w:ascii="Times New Roman" w:hAnsi="Times New Roman" w:cs="Times New Roman"/>
          <w:sz w:val="20"/>
          <w:szCs w:val="20"/>
        </w:rPr>
        <w:t xml:space="preserve">, if </w:t>
      </w:r>
      <w:r>
        <w:rPr>
          <w:rFonts w:ascii="Times New Roman" w:hAnsi="Times New Roman" w:cs="Times New Roman"/>
          <w:sz w:val="20"/>
          <w:szCs w:val="20"/>
        </w:rPr>
        <w:t xml:space="preserve">use of plutonium fuels is warranted, this should not proceed unless </w:t>
      </w:r>
      <w:r w:rsidRPr="00367BD9">
        <w:rPr>
          <w:rFonts w:ascii="Times New Roman" w:hAnsi="Times New Roman" w:cs="Times New Roman"/>
          <w:sz w:val="20"/>
          <w:szCs w:val="20"/>
        </w:rPr>
        <w:t xml:space="preserve">technologies </w:t>
      </w:r>
      <w:r>
        <w:rPr>
          <w:rFonts w:ascii="Times New Roman" w:hAnsi="Times New Roman" w:cs="Times New Roman"/>
          <w:sz w:val="20"/>
          <w:szCs w:val="20"/>
        </w:rPr>
        <w:t xml:space="preserve">are developed </w:t>
      </w:r>
      <w:r w:rsidRPr="00367BD9">
        <w:rPr>
          <w:rFonts w:ascii="Times New Roman" w:hAnsi="Times New Roman" w:cs="Times New Roman"/>
          <w:sz w:val="20"/>
          <w:szCs w:val="20"/>
        </w:rPr>
        <w:t xml:space="preserve">that reduce the risk of subnational theft </w:t>
      </w:r>
      <w:r>
        <w:rPr>
          <w:rFonts w:ascii="Times New Roman" w:hAnsi="Times New Roman" w:cs="Times New Roman"/>
          <w:sz w:val="20"/>
          <w:szCs w:val="20"/>
        </w:rPr>
        <w:t xml:space="preserve">by ensuring plutonium remains difficult to access – for example, through techniques that avoid separation of pure plutonium and leave plutonium in a highly radioactive mix with other actinides and fission products. Security-by-design, safeguards-by-design and proliferation-resistance should be pursued as design objectives for new technologies. </w:t>
      </w:r>
    </w:p>
    <w:p w14:paraId="039C7031" w14:textId="77777777" w:rsidR="00CC7657" w:rsidRDefault="00CC7657" w:rsidP="00CC7657">
      <w:pPr>
        <w:pStyle w:val="Heading2"/>
        <w:numPr>
          <w:ilvl w:val="0"/>
          <w:numId w:val="3"/>
        </w:numPr>
        <w:tabs>
          <w:tab w:val="left" w:pos="567"/>
        </w:tabs>
        <w:ind w:left="567" w:hanging="567"/>
      </w:pPr>
      <w:r>
        <w:t>CONCLUSION</w:t>
      </w:r>
    </w:p>
    <w:p w14:paraId="2388BD87" w14:textId="77777777" w:rsidR="00CC7657" w:rsidRDefault="00CC7657" w:rsidP="00CC7657">
      <w:pPr>
        <w:spacing w:after="0" w:line="260" w:lineRule="atLeast"/>
        <w:ind w:firstLine="567"/>
        <w:jc w:val="both"/>
        <w:rPr>
          <w:rFonts w:ascii="Times New Roman" w:hAnsi="Times New Roman" w:cs="Times New Roman"/>
          <w:sz w:val="20"/>
          <w:szCs w:val="20"/>
        </w:rPr>
      </w:pPr>
      <w:r w:rsidRPr="00CD6D1E">
        <w:rPr>
          <w:rFonts w:ascii="Times New Roman" w:hAnsi="Times New Roman" w:cs="Times New Roman"/>
          <w:sz w:val="20"/>
          <w:szCs w:val="20"/>
        </w:rPr>
        <w:t>The existence of civil</w:t>
      </w:r>
      <w:r>
        <w:rPr>
          <w:rFonts w:ascii="Times New Roman" w:hAnsi="Times New Roman" w:cs="Times New Roman"/>
          <w:sz w:val="20"/>
          <w:szCs w:val="20"/>
        </w:rPr>
        <w:t>ian</w:t>
      </w:r>
      <w:r w:rsidRPr="00CD6D1E">
        <w:rPr>
          <w:rFonts w:ascii="Times New Roman" w:hAnsi="Times New Roman" w:cs="Times New Roman"/>
          <w:sz w:val="20"/>
          <w:szCs w:val="20"/>
        </w:rPr>
        <w:t xml:space="preserve"> </w:t>
      </w:r>
      <w:r>
        <w:rPr>
          <w:rFonts w:ascii="Times New Roman" w:hAnsi="Times New Roman" w:cs="Times New Roman"/>
          <w:sz w:val="20"/>
          <w:szCs w:val="20"/>
        </w:rPr>
        <w:t>unirradiated</w:t>
      </w:r>
      <w:r w:rsidRPr="00CD6D1E">
        <w:rPr>
          <w:rFonts w:ascii="Times New Roman" w:hAnsi="Times New Roman" w:cs="Times New Roman"/>
          <w:sz w:val="20"/>
          <w:szCs w:val="20"/>
        </w:rPr>
        <w:t xml:space="preserve"> plutonium stocks poses an ongoing risk – one that can never be fully eliminated – that plutonium will be </w:t>
      </w:r>
      <w:r>
        <w:rPr>
          <w:rFonts w:ascii="Times New Roman" w:hAnsi="Times New Roman" w:cs="Times New Roman"/>
          <w:sz w:val="20"/>
          <w:szCs w:val="20"/>
        </w:rPr>
        <w:t xml:space="preserve">accessed, acquired </w:t>
      </w:r>
      <w:r w:rsidRPr="00CD6D1E">
        <w:rPr>
          <w:rFonts w:ascii="Times New Roman" w:hAnsi="Times New Roman" w:cs="Times New Roman"/>
          <w:sz w:val="20"/>
          <w:szCs w:val="20"/>
        </w:rPr>
        <w:t xml:space="preserve">and used by terrorists. This risk </w:t>
      </w:r>
      <w:r>
        <w:rPr>
          <w:rFonts w:ascii="Times New Roman" w:hAnsi="Times New Roman" w:cs="Times New Roman"/>
          <w:sz w:val="20"/>
          <w:szCs w:val="20"/>
        </w:rPr>
        <w:t xml:space="preserve">is not limited to states with plutonium in their fuel cycles. Because any major terrorist incident involving plutonium will have global repercussions (political, economic, loss of public confidence in nuclear energy), this risk is shared by </w:t>
      </w:r>
      <w:r w:rsidRPr="00CD6D1E">
        <w:rPr>
          <w:rFonts w:ascii="Times New Roman" w:hAnsi="Times New Roman" w:cs="Times New Roman"/>
          <w:sz w:val="20"/>
          <w:szCs w:val="20"/>
        </w:rPr>
        <w:t>–</w:t>
      </w:r>
      <w:r>
        <w:rPr>
          <w:rFonts w:ascii="Times New Roman" w:hAnsi="Times New Roman" w:cs="Times New Roman"/>
          <w:sz w:val="20"/>
          <w:szCs w:val="20"/>
        </w:rPr>
        <w:t xml:space="preserve"> or imposed on </w:t>
      </w:r>
      <w:r w:rsidRPr="00CD6D1E">
        <w:rPr>
          <w:rFonts w:ascii="Times New Roman" w:hAnsi="Times New Roman" w:cs="Times New Roman"/>
          <w:sz w:val="20"/>
          <w:szCs w:val="20"/>
        </w:rPr>
        <w:t>–</w:t>
      </w:r>
      <w:r>
        <w:rPr>
          <w:rFonts w:ascii="Times New Roman" w:hAnsi="Times New Roman" w:cs="Times New Roman"/>
          <w:sz w:val="20"/>
          <w:szCs w:val="20"/>
        </w:rPr>
        <w:t xml:space="preserve"> the international community as a whole. Accordingly, decisions on plutonium issues are not the exclusive concern of the state involved, the international community has a legitimate interest. A multilateral forum is needed to foster consultation and collaboration on plutonium management, including safety and security aspects, and to ensure the international interest is well represented. </w:t>
      </w:r>
    </w:p>
    <w:p w14:paraId="4FDBA096" w14:textId="77777777" w:rsidR="00CC7657" w:rsidRDefault="00CC7657" w:rsidP="00CC7657">
      <w:pPr>
        <w:spacing w:after="0" w:line="260" w:lineRule="atLeast"/>
        <w:ind w:firstLine="567"/>
        <w:jc w:val="both"/>
        <w:rPr>
          <w:rFonts w:ascii="Times New Roman" w:hAnsi="Times New Roman" w:cs="Times New Roman"/>
          <w:sz w:val="20"/>
          <w:szCs w:val="20"/>
        </w:rPr>
      </w:pPr>
      <w:r>
        <w:rPr>
          <w:rFonts w:ascii="Times New Roman" w:hAnsi="Times New Roman" w:cs="Times New Roman"/>
          <w:sz w:val="20"/>
          <w:szCs w:val="20"/>
        </w:rPr>
        <w:t xml:space="preserve">Risk mitigation for plutonium requires not only application of rigorous safety and security standards, but also that the risks are contained, reduced and eliminated. This requires the current trend of increasing stocks of unirradiated plutonium to be reversed. Reprocessing should not continue unless it can be demonstrated that the overall benefits outweigh the risks. In foreseeable market conditions, it is difficult to see how reprocessing can be justified. Instead, dilution and disposal options should be considered for current plutonium stocks, and spent fuel held in ponds should be moved to dry storage without further delay. </w:t>
      </w:r>
    </w:p>
    <w:p w14:paraId="37AC6B57" w14:textId="77777777" w:rsidR="00CC7657" w:rsidRPr="001214FC" w:rsidRDefault="00CC7657" w:rsidP="00CC7657">
      <w:pPr>
        <w:pStyle w:val="Otherunnumberedheadings"/>
        <w:rPr>
          <w:sz w:val="20"/>
          <w:szCs w:val="20"/>
        </w:rPr>
      </w:pPr>
      <w:r w:rsidRPr="001214FC">
        <w:rPr>
          <w:sz w:val="20"/>
          <w:szCs w:val="20"/>
        </w:rPr>
        <w:t>References</w:t>
      </w:r>
    </w:p>
    <w:p w14:paraId="6C9EC211" w14:textId="77777777" w:rsidR="00CC7657" w:rsidRDefault="00CC7657" w:rsidP="00CC7657">
      <w:pPr>
        <w:pStyle w:val="Referencelist"/>
        <w:spacing w:line="240" w:lineRule="atLeast"/>
        <w:ind w:left="714" w:hanging="357"/>
        <w:rPr>
          <w:rFonts w:ascii="Times New Roman" w:hAnsi="Times New Roman" w:cs="Times New Roman"/>
        </w:rPr>
      </w:pPr>
      <w:r w:rsidRPr="001214FC">
        <w:rPr>
          <w:rFonts w:ascii="Times New Roman" w:hAnsi="Times New Roman" w:cs="Times New Roman"/>
        </w:rPr>
        <w:t>CPPNM (Convention on the Physical Protection of Nuclear Material), Annex II.</w:t>
      </w:r>
    </w:p>
    <w:p w14:paraId="218801BC" w14:textId="77777777" w:rsidR="00CC7657" w:rsidRPr="00225FBB" w:rsidRDefault="00CC7657" w:rsidP="00CC7657">
      <w:pPr>
        <w:pStyle w:val="Referencelist"/>
        <w:spacing w:line="240" w:lineRule="atLeast"/>
        <w:ind w:left="714" w:hanging="357"/>
        <w:rPr>
          <w:rFonts w:ascii="Times New Roman" w:hAnsi="Times New Roman" w:cs="Times New Roman"/>
        </w:rPr>
      </w:pPr>
      <w:r w:rsidRPr="00225FBB">
        <w:rPr>
          <w:rFonts w:ascii="Times New Roman" w:hAnsi="Times New Roman" w:cs="Times New Roman"/>
        </w:rPr>
        <w:t xml:space="preserve">VON HIPPEL, Frank and SCHOEPPNER, Michael, Reducing the Danger from Fires in Spent Fuel Pools, Science &amp; Global Security 2016, Vol. 24, No. 3, pp. 141-173; ZHANG, Hui, Radiological Terrorism: Sabotage of Spent Fuel Pools, INESAP: International Network of Engineers and Scientists Against Proliferation, no. 22. (December 2003): pp.75-78; NATIONAL ACADEMY OF SCIENCES, </w:t>
      </w:r>
      <w:r w:rsidRPr="00225FBB">
        <w:rPr>
          <w:rFonts w:ascii="Times New Roman" w:hAnsi="Times New Roman"/>
        </w:rPr>
        <w:t>Lessons Learned from the Fukushima Nuclear Accident for Improving Safety and Security of U.S. Nuclear Plants, Phase 2, Washington DC, 2016, Chapter 4.</w:t>
      </w:r>
    </w:p>
    <w:p w14:paraId="79B75100" w14:textId="77777777" w:rsidR="00CC7657" w:rsidRDefault="00CC7657" w:rsidP="00CC7657">
      <w:pPr>
        <w:pStyle w:val="Referencelist"/>
        <w:spacing w:line="240" w:lineRule="atLeast"/>
        <w:ind w:left="714" w:hanging="357"/>
        <w:rPr>
          <w:rFonts w:ascii="Times New Roman" w:hAnsi="Times New Roman" w:cs="Times New Roman"/>
        </w:rPr>
      </w:pPr>
      <w:r>
        <w:rPr>
          <w:rFonts w:ascii="Times New Roman" w:hAnsi="Times New Roman" w:cs="Times New Roman"/>
        </w:rPr>
        <w:t xml:space="preserve">CARLSON, </w:t>
      </w:r>
      <w:r w:rsidRPr="00A55492">
        <w:rPr>
          <w:rFonts w:ascii="Times New Roman" w:hAnsi="Times New Roman" w:cs="Times New Roman"/>
        </w:rPr>
        <w:t xml:space="preserve">John, </w:t>
      </w:r>
      <w:r>
        <w:rPr>
          <w:rFonts w:ascii="Times New Roman" w:hAnsi="Times New Roman" w:cs="Times New Roman"/>
        </w:rPr>
        <w:t xml:space="preserve">SPECTOR, </w:t>
      </w:r>
      <w:r w:rsidRPr="00A55492">
        <w:rPr>
          <w:rFonts w:ascii="Times New Roman" w:hAnsi="Times New Roman" w:cs="Times New Roman"/>
        </w:rPr>
        <w:t>Leonard S.</w:t>
      </w:r>
      <w:r>
        <w:rPr>
          <w:rFonts w:ascii="Times New Roman" w:hAnsi="Times New Roman" w:cs="Times New Roman"/>
        </w:rPr>
        <w:t xml:space="preserve"> </w:t>
      </w:r>
      <w:r w:rsidRPr="00A55492">
        <w:rPr>
          <w:rFonts w:ascii="Times New Roman" w:hAnsi="Times New Roman" w:cs="Times New Roman"/>
        </w:rPr>
        <w:t xml:space="preserve">and </w:t>
      </w:r>
      <w:r>
        <w:rPr>
          <w:rFonts w:ascii="Times New Roman" w:hAnsi="Times New Roman" w:cs="Times New Roman"/>
        </w:rPr>
        <w:t xml:space="preserve">POMPER, </w:t>
      </w:r>
      <w:r w:rsidRPr="00A55492">
        <w:rPr>
          <w:rFonts w:ascii="Times New Roman" w:hAnsi="Times New Roman" w:cs="Times New Roman"/>
        </w:rPr>
        <w:t>Miles A.</w:t>
      </w:r>
      <w:r>
        <w:rPr>
          <w:rFonts w:ascii="Times New Roman" w:hAnsi="Times New Roman" w:cs="Times New Roman"/>
        </w:rPr>
        <w:t xml:space="preserve">, </w:t>
      </w:r>
      <w:r w:rsidRPr="00A55492">
        <w:rPr>
          <w:rFonts w:ascii="Times New Roman" w:hAnsi="Times New Roman" w:cs="Times New Roman"/>
        </w:rPr>
        <w:t>The Other Fissile Material: Strengthening National and International Plutonium Management Approaches</w:t>
      </w:r>
      <w:r>
        <w:rPr>
          <w:rFonts w:ascii="Times New Roman" w:hAnsi="Times New Roman" w:cs="Times New Roman"/>
        </w:rPr>
        <w:t xml:space="preserve">, </w:t>
      </w:r>
      <w:r w:rsidRPr="00A55492">
        <w:rPr>
          <w:rFonts w:ascii="Times New Roman" w:hAnsi="Times New Roman" w:cs="Times New Roman"/>
        </w:rPr>
        <w:t>James Martin Center for Nonproliferation Studies</w:t>
      </w:r>
      <w:r>
        <w:rPr>
          <w:rFonts w:ascii="Times New Roman" w:hAnsi="Times New Roman" w:cs="Times New Roman"/>
        </w:rPr>
        <w:t xml:space="preserve">, </w:t>
      </w:r>
      <w:r w:rsidRPr="00A55492">
        <w:rPr>
          <w:rFonts w:ascii="Times New Roman" w:hAnsi="Times New Roman" w:cs="Times New Roman"/>
        </w:rPr>
        <w:t>Middlebury Institute for International Studies at Monterey</w:t>
      </w:r>
      <w:r>
        <w:rPr>
          <w:rFonts w:ascii="Times New Roman" w:hAnsi="Times New Roman" w:cs="Times New Roman"/>
        </w:rPr>
        <w:t>, 2018.</w:t>
      </w:r>
    </w:p>
    <w:p w14:paraId="08AB66B0" w14:textId="77777777" w:rsidR="00CC7657" w:rsidRDefault="00CC7657" w:rsidP="00CC7657">
      <w:pPr>
        <w:pStyle w:val="Referencelist"/>
        <w:spacing w:line="240" w:lineRule="atLeast"/>
        <w:ind w:left="714" w:hanging="357"/>
        <w:rPr>
          <w:rFonts w:ascii="Times New Roman" w:hAnsi="Times New Roman" w:cs="Times New Roman"/>
        </w:rPr>
      </w:pPr>
      <w:r w:rsidRPr="001214FC">
        <w:rPr>
          <w:rFonts w:ascii="Times New Roman" w:hAnsi="Times New Roman" w:cs="Times New Roman"/>
        </w:rPr>
        <w:t xml:space="preserve">SIPRI </w:t>
      </w:r>
      <w:r>
        <w:rPr>
          <w:rFonts w:ascii="Times New Roman" w:hAnsi="Times New Roman" w:cs="Times New Roman"/>
        </w:rPr>
        <w:t>(</w:t>
      </w:r>
      <w:r w:rsidRPr="00E37A64">
        <w:rPr>
          <w:rFonts w:ascii="Times New Roman" w:hAnsi="Times New Roman" w:cs="Times New Roman"/>
        </w:rPr>
        <w:t>Stockholm International Peace Research Institute</w:t>
      </w:r>
      <w:r>
        <w:rPr>
          <w:rFonts w:ascii="Times New Roman" w:hAnsi="Times New Roman" w:cs="Times New Roman"/>
        </w:rPr>
        <w:t>)</w:t>
      </w:r>
      <w:r w:rsidRPr="00E37A64">
        <w:rPr>
          <w:rFonts w:ascii="Times New Roman" w:hAnsi="Times New Roman" w:cs="Times New Roman"/>
        </w:rPr>
        <w:t xml:space="preserve"> </w:t>
      </w:r>
      <w:r w:rsidRPr="001214FC">
        <w:rPr>
          <w:rFonts w:ascii="Times New Roman" w:hAnsi="Times New Roman" w:cs="Times New Roman"/>
        </w:rPr>
        <w:t>Yearbook 2019, Table 6.12.</w:t>
      </w:r>
    </w:p>
    <w:p w14:paraId="328F20D1" w14:textId="77777777" w:rsidR="00CC7657" w:rsidRPr="005E3865" w:rsidRDefault="00CC7657" w:rsidP="00CC7657">
      <w:pPr>
        <w:pStyle w:val="Referencelist"/>
        <w:spacing w:line="240" w:lineRule="atLeast"/>
        <w:ind w:left="714" w:hanging="357"/>
        <w:rPr>
          <w:rFonts w:ascii="Times New Roman" w:hAnsi="Times New Roman" w:cs="Times New Roman"/>
        </w:rPr>
      </w:pPr>
      <w:r>
        <w:rPr>
          <w:rFonts w:ascii="Times New Roman" w:hAnsi="Times New Roman" w:cs="Times New Roman"/>
          <w:color w:val="000000"/>
          <w:w w:val="103"/>
        </w:rPr>
        <w:t xml:space="preserve">BUNN, </w:t>
      </w:r>
      <w:r w:rsidRPr="001214FC">
        <w:rPr>
          <w:rFonts w:ascii="Times New Roman" w:hAnsi="Times New Roman" w:cs="Times New Roman"/>
          <w:color w:val="000000"/>
          <w:w w:val="104"/>
        </w:rPr>
        <w:t xml:space="preserve">Matthew and </w:t>
      </w:r>
      <w:r>
        <w:rPr>
          <w:rFonts w:ascii="Times New Roman" w:hAnsi="Times New Roman" w:cs="Times New Roman"/>
          <w:color w:val="000000"/>
          <w:w w:val="104"/>
        </w:rPr>
        <w:t xml:space="preserve">WIER, </w:t>
      </w:r>
      <w:r w:rsidRPr="001214FC">
        <w:rPr>
          <w:rFonts w:ascii="Times New Roman" w:hAnsi="Times New Roman" w:cs="Times New Roman"/>
          <w:color w:val="000000"/>
          <w:w w:val="104"/>
        </w:rPr>
        <w:t xml:space="preserve">Anthony, Terrorist Nuclear </w:t>
      </w:r>
      <w:r w:rsidRPr="001214FC">
        <w:rPr>
          <w:rFonts w:ascii="Times New Roman" w:hAnsi="Times New Roman" w:cs="Times New Roman"/>
          <w:color w:val="000000"/>
          <w:w w:val="102"/>
        </w:rPr>
        <w:t xml:space="preserve">Weapon Construction: How Difficult?, Annals of the American Academy of Political and Social Science, Vol. 607 (September 2006), pp. 133-49. </w:t>
      </w:r>
      <w:r>
        <w:rPr>
          <w:rFonts w:ascii="Times New Roman" w:hAnsi="Times New Roman" w:cs="Times New Roman"/>
          <w:color w:val="000000"/>
          <w:w w:val="102"/>
        </w:rPr>
        <w:t>See a</w:t>
      </w:r>
      <w:r w:rsidRPr="001214FC">
        <w:rPr>
          <w:rFonts w:ascii="Times New Roman" w:hAnsi="Times New Roman" w:cs="Times New Roman"/>
          <w:color w:val="000000"/>
          <w:w w:val="102"/>
        </w:rPr>
        <w:t xml:space="preserve">lso US CONGRESS, Office of Technology Assessment, Nuclear Proliferation and Safeguards (Washington, </w:t>
      </w:r>
      <w:r w:rsidRPr="001214FC">
        <w:rPr>
          <w:rFonts w:ascii="Times New Roman" w:hAnsi="Times New Roman" w:cs="Times New Roman"/>
          <w:color w:val="000000"/>
          <w:w w:val="107"/>
        </w:rPr>
        <w:t xml:space="preserve">DC: OTA, 1977), </w:t>
      </w:r>
      <w:hyperlink r:id="rId7" w:history="1">
        <w:r w:rsidRPr="00486528">
          <w:rPr>
            <w:rStyle w:val="Hyperlink"/>
            <w:rFonts w:ascii="Times New Roman" w:hAnsi="Times New Roman" w:cs="Times New Roman"/>
            <w:w w:val="107"/>
          </w:rPr>
          <w:t>http://www.princeton.edu/~ota/disk3/1977/7705/7705.PDF p. 140</w:t>
        </w:r>
      </w:hyperlink>
      <w:r>
        <w:rPr>
          <w:rFonts w:ascii="Times New Roman" w:hAnsi="Times New Roman" w:cs="Times New Roman"/>
          <w:color w:val="000000"/>
          <w:w w:val="107"/>
        </w:rPr>
        <w:t>; and</w:t>
      </w:r>
      <w:r w:rsidRPr="001214FC">
        <w:rPr>
          <w:rFonts w:ascii="Times New Roman" w:hAnsi="Times New Roman" w:cs="Times New Roman"/>
          <w:color w:val="000000"/>
          <w:w w:val="107"/>
        </w:rPr>
        <w:t xml:space="preserve"> US DEPARTMENT OF ENERGY, Office of </w:t>
      </w:r>
      <w:r w:rsidRPr="001214FC">
        <w:rPr>
          <w:rFonts w:ascii="Times New Roman" w:hAnsi="Times New Roman" w:cs="Times New Roman"/>
          <w:color w:val="000000"/>
        </w:rPr>
        <w:t>Arms Control and Nonproliferation, Nonproliferation and Arms Control Assessment of Weapons-Usable Fissile Material Storage and Excess Plutonium Disposition Alternatives, DOE/NN-0007</w:t>
      </w:r>
      <w:r>
        <w:rPr>
          <w:rFonts w:ascii="Times New Roman" w:hAnsi="Times New Roman" w:cs="Times New Roman"/>
          <w:color w:val="000000"/>
        </w:rPr>
        <w:t>,</w:t>
      </w:r>
      <w:r w:rsidRPr="001214FC">
        <w:rPr>
          <w:rFonts w:ascii="Times New Roman" w:hAnsi="Times New Roman" w:cs="Times New Roman"/>
          <w:color w:val="000000"/>
        </w:rPr>
        <w:t xml:space="preserve"> Washington DC</w:t>
      </w:r>
      <w:r>
        <w:rPr>
          <w:rFonts w:ascii="Times New Roman" w:hAnsi="Times New Roman" w:cs="Times New Roman"/>
          <w:color w:val="000000"/>
        </w:rPr>
        <w:t xml:space="preserve">, </w:t>
      </w:r>
      <w:r w:rsidRPr="001214FC">
        <w:rPr>
          <w:rFonts w:ascii="Times New Roman" w:hAnsi="Times New Roman" w:cs="Times New Roman"/>
          <w:color w:val="000000"/>
          <w:w w:val="108"/>
        </w:rPr>
        <w:t xml:space="preserve">1997, </w:t>
      </w:r>
      <w:r w:rsidRPr="001214FC">
        <w:rPr>
          <w:rFonts w:ascii="Times New Roman" w:hAnsi="Times New Roman" w:cs="Times New Roman"/>
          <w:color w:val="0562C1"/>
          <w:w w:val="108"/>
        </w:rPr>
        <w:t>http://www.osti.gov/bridge/servlets/purl/425259-CXr7Qn/webviewable/425259.pdf</w:t>
      </w:r>
      <w:r w:rsidRPr="001214FC">
        <w:rPr>
          <w:rFonts w:ascii="Times New Roman" w:hAnsi="Times New Roman" w:cs="Times New Roman"/>
          <w:color w:val="000000"/>
          <w:w w:val="108"/>
        </w:rPr>
        <w:t>, pp. 37-39.</w:t>
      </w:r>
    </w:p>
    <w:p w14:paraId="37EAB237" w14:textId="77777777" w:rsidR="00CC7657" w:rsidRDefault="00CC7657" w:rsidP="00CC7657">
      <w:pPr>
        <w:pStyle w:val="Referencelist"/>
        <w:spacing w:line="240" w:lineRule="atLeast"/>
        <w:ind w:left="714" w:hanging="357"/>
        <w:rPr>
          <w:rFonts w:ascii="Times New Roman" w:hAnsi="Times New Roman" w:cs="Times New Roman"/>
        </w:rPr>
      </w:pPr>
      <w:r>
        <w:rPr>
          <w:rFonts w:ascii="Times New Roman" w:hAnsi="Times New Roman" w:cs="Times New Roman"/>
        </w:rPr>
        <w:t xml:space="preserve">CARLSON, John, </w:t>
      </w:r>
      <w:r w:rsidRPr="003C79AB">
        <w:rPr>
          <w:rFonts w:ascii="Times New Roman" w:hAnsi="Times New Roman" w:cs="Times New Roman"/>
        </w:rPr>
        <w:t>Mitigating Security Risks from Separated Plutonium: Some Near-Term Steps</w:t>
      </w:r>
      <w:r>
        <w:rPr>
          <w:rFonts w:ascii="Times New Roman" w:hAnsi="Times New Roman" w:cs="Times New Roman"/>
        </w:rPr>
        <w:t xml:space="preserve">, </w:t>
      </w:r>
      <w:bookmarkStart w:id="6" w:name="_Hlk23350940"/>
      <w:r>
        <w:rPr>
          <w:rFonts w:ascii="Times New Roman" w:hAnsi="Times New Roman" w:cs="Times New Roman"/>
        </w:rPr>
        <w:t xml:space="preserve">Nuclear Threat Initiative, Washington DC, 2018, </w:t>
      </w:r>
      <w:bookmarkEnd w:id="6"/>
      <w:r>
        <w:rPr>
          <w:rFonts w:ascii="Times New Roman" w:hAnsi="Times New Roman" w:cs="Times New Roman"/>
        </w:rPr>
        <w:t>pp. 11-12.</w:t>
      </w:r>
    </w:p>
    <w:p w14:paraId="28419C27" w14:textId="77777777" w:rsidR="00CC7657" w:rsidRDefault="00CC7657" w:rsidP="00CC7657">
      <w:pPr>
        <w:pStyle w:val="Referencelist"/>
        <w:spacing w:line="240" w:lineRule="atLeast"/>
        <w:ind w:left="714" w:hanging="357"/>
        <w:rPr>
          <w:rFonts w:ascii="Times New Roman" w:hAnsi="Times New Roman" w:cs="Times New Roman"/>
        </w:rPr>
      </w:pPr>
      <w:r>
        <w:rPr>
          <w:rFonts w:ascii="Times New Roman" w:hAnsi="Times New Roman" w:cs="Times New Roman"/>
        </w:rPr>
        <w:t xml:space="preserve">NEWMAN, Andrew, ISAACS, Thomas and CONSTANTIN, Alina, </w:t>
      </w:r>
      <w:r w:rsidRPr="002B26AB">
        <w:rPr>
          <w:rFonts w:ascii="Times New Roman" w:hAnsi="Times New Roman" w:cs="Times New Roman"/>
        </w:rPr>
        <w:t>A Step-by-Step Approach to Regional Spent Fuel Management Cooperation in the Pacific Rim, N</w:t>
      </w:r>
      <w:r>
        <w:rPr>
          <w:rFonts w:ascii="Times New Roman" w:hAnsi="Times New Roman" w:cs="Times New Roman"/>
        </w:rPr>
        <w:t xml:space="preserve">uclear Threat Initiative, Washington DC, </w:t>
      </w:r>
      <w:r w:rsidRPr="002B26AB">
        <w:rPr>
          <w:rFonts w:ascii="Times New Roman" w:hAnsi="Times New Roman" w:cs="Times New Roman"/>
        </w:rPr>
        <w:t>October 2019</w:t>
      </w:r>
      <w:r>
        <w:rPr>
          <w:rFonts w:ascii="Times New Roman" w:hAnsi="Times New Roman" w:cs="Times New Roman"/>
        </w:rPr>
        <w:t>.</w:t>
      </w:r>
    </w:p>
    <w:p w14:paraId="78105430" w14:textId="77777777" w:rsidR="00CC7657" w:rsidRDefault="00CC7657" w:rsidP="00CC7657">
      <w:pPr>
        <w:pStyle w:val="Referencelist"/>
        <w:spacing w:line="240" w:lineRule="atLeast"/>
        <w:ind w:left="714" w:hanging="357"/>
        <w:rPr>
          <w:rFonts w:ascii="Times New Roman" w:hAnsi="Times New Roman" w:cs="Times New Roman"/>
        </w:rPr>
      </w:pPr>
      <w:r>
        <w:rPr>
          <w:rFonts w:ascii="Times New Roman" w:hAnsi="Times New Roman" w:cs="Times New Roman"/>
        </w:rPr>
        <w:t xml:space="preserve">CARLSON, John, </w:t>
      </w:r>
      <w:r w:rsidRPr="00486759">
        <w:rPr>
          <w:rFonts w:ascii="Times New Roman" w:hAnsi="Times New Roman" w:cs="Times New Roman"/>
        </w:rPr>
        <w:t>The Case for a Pause in Reprocessing in East Asia: Economic Aspects</w:t>
      </w:r>
      <w:r>
        <w:rPr>
          <w:rFonts w:ascii="Times New Roman" w:hAnsi="Times New Roman" w:cs="Times New Roman"/>
        </w:rPr>
        <w:t>, Nuclear Threat Initiative, Washington DC, 2016.</w:t>
      </w:r>
    </w:p>
    <w:p w14:paraId="257AB558" w14:textId="77777777" w:rsidR="00CC7657" w:rsidRDefault="00CC7657" w:rsidP="00CC7657">
      <w:pPr>
        <w:pStyle w:val="Referencelist"/>
        <w:spacing w:line="240" w:lineRule="atLeast"/>
        <w:ind w:left="714" w:hanging="357"/>
        <w:rPr>
          <w:rFonts w:ascii="Times New Roman" w:hAnsi="Times New Roman" w:cs="Times New Roman"/>
        </w:rPr>
      </w:pPr>
      <w:r>
        <w:rPr>
          <w:rFonts w:ascii="Times New Roman" w:hAnsi="Times New Roman" w:cs="Times New Roman"/>
        </w:rPr>
        <w:tab/>
      </w:r>
      <w:r w:rsidRPr="0064273B">
        <w:rPr>
          <w:rFonts w:ascii="Times New Roman" w:hAnsi="Times New Roman" w:cs="Times New Roman"/>
        </w:rPr>
        <w:t xml:space="preserve">China still pursuing nuclear fuel reprocessing plant with France, Reuters, </w:t>
      </w:r>
      <w:r>
        <w:rPr>
          <w:rFonts w:ascii="Times New Roman" w:hAnsi="Times New Roman" w:cs="Times New Roman"/>
        </w:rPr>
        <w:t xml:space="preserve">3 </w:t>
      </w:r>
      <w:r w:rsidRPr="0064273B">
        <w:rPr>
          <w:rFonts w:ascii="Times New Roman" w:hAnsi="Times New Roman" w:cs="Times New Roman"/>
        </w:rPr>
        <w:t>Se</w:t>
      </w:r>
      <w:r>
        <w:rPr>
          <w:rFonts w:ascii="Times New Roman" w:hAnsi="Times New Roman" w:cs="Times New Roman"/>
        </w:rPr>
        <w:t>p</w:t>
      </w:r>
      <w:r w:rsidRPr="0064273B">
        <w:rPr>
          <w:rFonts w:ascii="Times New Roman" w:hAnsi="Times New Roman" w:cs="Times New Roman"/>
        </w:rPr>
        <w:t>tember 2019</w:t>
      </w:r>
      <w:r>
        <w:rPr>
          <w:rFonts w:ascii="Times New Roman" w:hAnsi="Times New Roman" w:cs="Times New Roman"/>
        </w:rPr>
        <w:t xml:space="preserve">, </w:t>
      </w:r>
      <w:hyperlink r:id="rId8" w:history="1">
        <w:r w:rsidRPr="00737ED5">
          <w:rPr>
            <w:rStyle w:val="Hyperlink"/>
            <w:rFonts w:ascii="Times New Roman" w:hAnsi="Times New Roman" w:cs="Times New Roman"/>
          </w:rPr>
          <w:t>https://uk.reuters.com/article/uk-china-nuclear/china-still-pursuing-nuclear-fuel-reprocessing-plant-with-france-idUKKCN1VO1IG</w:t>
        </w:r>
      </w:hyperlink>
      <w:r>
        <w:rPr>
          <w:rFonts w:ascii="Times New Roman" w:hAnsi="Times New Roman" w:cs="Times New Roman"/>
        </w:rPr>
        <w:t>.</w:t>
      </w:r>
    </w:p>
    <w:p w14:paraId="6F8BA6D7" w14:textId="77777777" w:rsidR="00CC7657" w:rsidRDefault="00CC7657" w:rsidP="00CC7657">
      <w:pPr>
        <w:pStyle w:val="Referencelist"/>
        <w:spacing w:line="240" w:lineRule="atLeast"/>
        <w:ind w:left="714" w:hanging="357"/>
        <w:rPr>
          <w:rFonts w:ascii="Times New Roman" w:hAnsi="Times New Roman" w:cs="Times New Roman"/>
        </w:rPr>
      </w:pPr>
      <w:r>
        <w:rPr>
          <w:rFonts w:ascii="Times New Roman" w:hAnsi="Times New Roman" w:cs="Times New Roman"/>
        </w:rPr>
        <w:tab/>
      </w:r>
      <w:r w:rsidRPr="0064273B">
        <w:rPr>
          <w:rFonts w:ascii="Times New Roman" w:hAnsi="Times New Roman" w:cs="Times New Roman"/>
        </w:rPr>
        <w:t>BUNN, Matthew, ZHANG, Hui and KANG, Li, The Cost of Reprocessing in China, Project on Managing the Atom, Belfer Center for Science and International Affairs, Harvard Kennedy School, Cambridge, MA, 2016</w:t>
      </w:r>
      <w:r>
        <w:rPr>
          <w:rFonts w:ascii="Times New Roman" w:hAnsi="Times New Roman" w:cs="Times New Roman"/>
        </w:rPr>
        <w:t>.</w:t>
      </w:r>
    </w:p>
    <w:p w14:paraId="5B8C76F2" w14:textId="77777777" w:rsidR="00CC7657" w:rsidRDefault="00CC7657" w:rsidP="00CC7657">
      <w:pPr>
        <w:pStyle w:val="Referencelist"/>
        <w:numPr>
          <w:ilvl w:val="0"/>
          <w:numId w:val="0"/>
        </w:numPr>
        <w:spacing w:line="240" w:lineRule="atLeast"/>
        <w:ind w:left="720" w:hanging="360"/>
        <w:rPr>
          <w:rFonts w:ascii="Times New Roman" w:hAnsi="Times New Roman" w:cs="Times New Roman"/>
        </w:rPr>
      </w:pPr>
    </w:p>
    <w:sectPr w:rsidR="00CC7657" w:rsidSect="000A0955">
      <w:headerReference w:type="default" r:id="rId9"/>
      <w:footerReference w:type="default" r:id="rId10"/>
      <w:pgSz w:w="11906" w:h="16838"/>
      <w:pgMar w:top="1440" w:right="1440" w:bottom="1440" w:left="1440" w:header="53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FEB64" w14:textId="77777777" w:rsidR="00542030" w:rsidRDefault="00542030" w:rsidP="000A0955">
      <w:pPr>
        <w:spacing w:after="0"/>
      </w:pPr>
      <w:r>
        <w:separator/>
      </w:r>
    </w:p>
  </w:endnote>
  <w:endnote w:type="continuationSeparator" w:id="0">
    <w:p w14:paraId="12C807F9" w14:textId="77777777" w:rsidR="00542030" w:rsidRDefault="00542030" w:rsidP="000A09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261652"/>
      <w:docPartObj>
        <w:docPartGallery w:val="Page Numbers (Bottom of Page)"/>
        <w:docPartUnique/>
      </w:docPartObj>
    </w:sdtPr>
    <w:sdtEndPr>
      <w:rPr>
        <w:rFonts w:ascii="Times New Roman" w:hAnsi="Times New Roman" w:cs="Times New Roman"/>
        <w:noProof/>
        <w:sz w:val="20"/>
        <w:szCs w:val="20"/>
      </w:rPr>
    </w:sdtEndPr>
    <w:sdtContent>
      <w:p w14:paraId="0FCA26C2" w14:textId="77777777" w:rsidR="000A0955" w:rsidRPr="000A0955" w:rsidRDefault="000A0955">
        <w:pPr>
          <w:pStyle w:val="Footer"/>
          <w:jc w:val="right"/>
          <w:rPr>
            <w:rFonts w:ascii="Times New Roman" w:hAnsi="Times New Roman" w:cs="Times New Roman"/>
            <w:sz w:val="24"/>
            <w:szCs w:val="24"/>
          </w:rPr>
        </w:pPr>
      </w:p>
      <w:p w14:paraId="337A29D8" w14:textId="289C5088" w:rsidR="000A0955" w:rsidRPr="00AB78D7" w:rsidRDefault="000A0955">
        <w:pPr>
          <w:pStyle w:val="Footer"/>
          <w:jc w:val="right"/>
          <w:rPr>
            <w:rFonts w:ascii="Times New Roman" w:hAnsi="Times New Roman" w:cs="Times New Roman"/>
            <w:sz w:val="20"/>
            <w:szCs w:val="20"/>
          </w:rPr>
        </w:pPr>
        <w:r w:rsidRPr="00AB78D7">
          <w:rPr>
            <w:rFonts w:ascii="Times New Roman" w:hAnsi="Times New Roman" w:cs="Times New Roman"/>
            <w:sz w:val="20"/>
            <w:szCs w:val="20"/>
          </w:rPr>
          <w:fldChar w:fldCharType="begin"/>
        </w:r>
        <w:r w:rsidRPr="00AB78D7">
          <w:rPr>
            <w:rFonts w:ascii="Times New Roman" w:hAnsi="Times New Roman" w:cs="Times New Roman"/>
            <w:sz w:val="20"/>
            <w:szCs w:val="20"/>
          </w:rPr>
          <w:instrText xml:space="preserve"> PAGE   \* MERGEFORMAT </w:instrText>
        </w:r>
        <w:r w:rsidRPr="00AB78D7">
          <w:rPr>
            <w:rFonts w:ascii="Times New Roman" w:hAnsi="Times New Roman" w:cs="Times New Roman"/>
            <w:sz w:val="20"/>
            <w:szCs w:val="20"/>
          </w:rPr>
          <w:fldChar w:fldCharType="separate"/>
        </w:r>
        <w:r w:rsidRPr="00AB78D7">
          <w:rPr>
            <w:rFonts w:ascii="Times New Roman" w:hAnsi="Times New Roman" w:cs="Times New Roman"/>
            <w:noProof/>
            <w:sz w:val="20"/>
            <w:szCs w:val="20"/>
          </w:rPr>
          <w:t>2</w:t>
        </w:r>
        <w:r w:rsidRPr="00AB78D7">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C9CF2" w14:textId="77777777" w:rsidR="00542030" w:rsidRDefault="00542030" w:rsidP="000A0955">
      <w:pPr>
        <w:spacing w:after="0"/>
      </w:pPr>
      <w:r>
        <w:separator/>
      </w:r>
    </w:p>
  </w:footnote>
  <w:footnote w:type="continuationSeparator" w:id="0">
    <w:p w14:paraId="526A0720" w14:textId="77777777" w:rsidR="00542030" w:rsidRDefault="00542030" w:rsidP="000A09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10CD3" w14:textId="67ADAA68" w:rsidR="000A0955" w:rsidRPr="000A0955" w:rsidRDefault="000A0955" w:rsidP="000A0955">
    <w:pPr>
      <w:pStyle w:val="Header"/>
      <w:jc w:val="center"/>
      <w:rPr>
        <w:rFonts w:ascii="Times New Roman" w:hAnsi="Times New Roman" w:cs="Times New Roman"/>
        <w:b/>
        <w:bCs/>
        <w:sz w:val="16"/>
        <w:szCs w:val="16"/>
      </w:rPr>
    </w:pPr>
    <w:r>
      <w:rPr>
        <w:rFonts w:ascii="Times New Roman" w:hAnsi="Times New Roman" w:cs="Times New Roman"/>
        <w:b/>
        <w:bCs/>
        <w:sz w:val="16"/>
        <w:szCs w:val="16"/>
      </w:rPr>
      <w:t>POMPER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347E"/>
    <w:multiLevelType w:val="multilevel"/>
    <w:tmpl w:val="ED1C034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F3D4ED3"/>
    <w:multiLevelType w:val="hybridMultilevel"/>
    <w:tmpl w:val="80B060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D18048A"/>
    <w:multiLevelType w:val="hybridMultilevel"/>
    <w:tmpl w:val="1642268C"/>
    <w:name w:val="HeadingTemplate222"/>
    <w:lvl w:ilvl="0" w:tplc="309A0324">
      <w:start w:val="1"/>
      <w:numFmt w:val="decimal"/>
      <w:pStyle w:val="Referencelist"/>
      <w:lvlText w:val="[%1]"/>
      <w:lvlJc w:val="left"/>
      <w:pPr>
        <w:ind w:left="928"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15:restartNumberingAfterBreak="0">
    <w:nsid w:val="4D6841BE"/>
    <w:multiLevelType w:val="hybridMultilevel"/>
    <w:tmpl w:val="90FC7956"/>
    <w:lvl w:ilvl="0" w:tplc="9FD059DA">
      <w:start w:val="23"/>
      <w:numFmt w:val="bullet"/>
      <w:lvlText w:val="-"/>
      <w:lvlJc w:val="left"/>
      <w:pPr>
        <w:ind w:left="420" w:hanging="360"/>
      </w:pPr>
      <w:rPr>
        <w:rFonts w:ascii="Georgia" w:eastAsiaTheme="minorHAnsi" w:hAnsi="Georgia"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6FD51093"/>
    <w:multiLevelType w:val="multilevel"/>
    <w:tmpl w:val="D8FA943C"/>
    <w:name w:val="HeadingTemplate"/>
    <w:lvl w:ilvl="0">
      <w:start w:val="1"/>
      <w:numFmt w:val="none"/>
      <w:lvlText w:val=""/>
      <w:lvlJc w:val="left"/>
      <w:pPr>
        <w:tabs>
          <w:tab w:val="num" w:pos="459"/>
        </w:tabs>
        <w:ind w:left="0" w:firstLine="0"/>
      </w:pPr>
    </w:lvl>
    <w:lvl w:ilvl="1">
      <w:start w:val="1"/>
      <w:numFmt w:val="decimal"/>
      <w:lvlRestart w:val="0"/>
      <w:pStyle w:val="Heading2"/>
      <w:suff w:val="space"/>
      <w:lvlText w:val="%1%2."/>
      <w:lvlJc w:val="left"/>
      <w:pPr>
        <w:ind w:left="0" w:firstLine="0"/>
      </w:pPr>
      <w:rPr>
        <w:color w:val="auto"/>
      </w:rPr>
    </w:lvl>
    <w:lvl w:ilvl="2">
      <w:start w:val="1"/>
      <w:numFmt w:val="decimal"/>
      <w:lvlRestart w:val="0"/>
      <w:pStyle w:val="Heading3"/>
      <w:lvlText w:val="%1%2.%3."/>
      <w:lvlJc w:val="left"/>
      <w:pPr>
        <w:ind w:left="0" w:firstLine="0"/>
      </w:pPr>
    </w:lvl>
    <w:lvl w:ilvl="3">
      <w:start w:val="1"/>
      <w:numFmt w:val="decimal"/>
      <w:lvlRestart w:val="0"/>
      <w:pStyle w:val="Heading4"/>
      <w:lvlText w:val="%2.%3.%4."/>
      <w:lvlJc w:val="left"/>
      <w:pPr>
        <w:ind w:left="1701" w:firstLine="0"/>
      </w:pPr>
    </w:lvl>
    <w:lvl w:ilvl="4">
      <w:start w:val="1"/>
      <w:numFmt w:val="lowerLetter"/>
      <w:lvlRestart w:val="0"/>
      <w:lvlText w:val="%1(%5)"/>
      <w:lvlJc w:val="left"/>
      <w:pPr>
        <w:tabs>
          <w:tab w:val="num" w:pos="3345"/>
        </w:tabs>
        <w:ind w:left="2268" w:firstLine="0"/>
      </w:pPr>
      <w:rPr>
        <w:sz w:val="20"/>
      </w:r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num w:numId="1">
    <w:abstractNumId w:val="3"/>
  </w:num>
  <w:num w:numId="2">
    <w:abstractNumId w:val="4"/>
    <w:lvlOverride w:ilvl="0">
      <w:lvl w:ilvl="0">
        <w:start w:val="1"/>
        <w:numFmt w:val="decimal"/>
        <w:lvlText w:val=""/>
        <w:lvlJc w:val="left"/>
        <w:pPr>
          <w:tabs>
            <w:tab w:val="num" w:pos="459"/>
          </w:tabs>
          <w:ind w:left="0" w:firstLine="0"/>
        </w:pPr>
        <w:rPr>
          <w:rFonts w:hint="default"/>
        </w:rPr>
      </w:lvl>
    </w:lvlOverride>
    <w:lvlOverride w:ilvl="1">
      <w:lvl w:ilv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decimal"/>
        <w:lvlRestart w:val="0"/>
        <w:pStyle w:val="Heading4"/>
        <w:lvlText w:val=""/>
        <w:lvlJc w:val="left"/>
        <w:pPr>
          <w:tabs>
            <w:tab w:val="num" w:pos="2058"/>
          </w:tabs>
          <w:ind w:left="1701" w:firstLine="0"/>
        </w:pPr>
        <w:rPr>
          <w:rFonts w:hint="default"/>
        </w:rPr>
      </w:lvl>
    </w:lvlOverride>
    <w:lvlOverride w:ilvl="4">
      <w:lvl w:ilvl="4">
        <w:start w:val="1"/>
        <w:numFmt w:val="decimal"/>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3">
    <w:abstractNumId w:val="1"/>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evenAndOddHeaders/>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D2"/>
    <w:rsid w:val="000A0955"/>
    <w:rsid w:val="002E0AA9"/>
    <w:rsid w:val="0041369E"/>
    <w:rsid w:val="00433F23"/>
    <w:rsid w:val="00542030"/>
    <w:rsid w:val="005A1921"/>
    <w:rsid w:val="005D634C"/>
    <w:rsid w:val="007407D2"/>
    <w:rsid w:val="008C1E3B"/>
    <w:rsid w:val="009546D5"/>
    <w:rsid w:val="00AB78D7"/>
    <w:rsid w:val="00B54354"/>
    <w:rsid w:val="00CC76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D3DB"/>
  <w15:chartTrackingRefBased/>
  <w15:docId w15:val="{31C62C66-2096-43B1-997C-D39B6575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657"/>
  </w:style>
  <w:style w:type="paragraph" w:styleId="Heading1">
    <w:name w:val="heading 1"/>
    <w:aliases w:val="Paper title"/>
    <w:next w:val="Subtitle"/>
    <w:link w:val="Heading1Char"/>
    <w:uiPriority w:val="4"/>
    <w:qFormat/>
    <w:rsid w:val="00CC7657"/>
    <w:pPr>
      <w:spacing w:after="0" w:line="280" w:lineRule="atLeast"/>
      <w:ind w:left="567" w:right="567"/>
      <w:outlineLvl w:val="0"/>
    </w:pPr>
    <w:rPr>
      <w:rFonts w:ascii="Times New Roman Bold" w:eastAsia="Times New Roman" w:hAnsi="Times New Roman Bold" w:cs="Times New Roman"/>
      <w:caps/>
      <w:sz w:val="24"/>
      <w:szCs w:val="20"/>
      <w:lang w:val="en-US"/>
    </w:rPr>
  </w:style>
  <w:style w:type="paragraph" w:styleId="Heading2">
    <w:name w:val="heading 2"/>
    <w:aliases w:val="1st level paper heading"/>
    <w:next w:val="BodyText"/>
    <w:link w:val="Heading2Char"/>
    <w:uiPriority w:val="4"/>
    <w:unhideWhenUsed/>
    <w:qFormat/>
    <w:rsid w:val="00CC7657"/>
    <w:pPr>
      <w:widowControl w:val="0"/>
      <w:numPr>
        <w:ilvl w:val="1"/>
        <w:numId w:val="2"/>
      </w:numPr>
      <w:spacing w:before="100" w:beforeAutospacing="1" w:after="100" w:afterAutospacing="1" w:line="280" w:lineRule="atLeast"/>
      <w:outlineLvl w:val="1"/>
    </w:pPr>
    <w:rPr>
      <w:rFonts w:ascii="Times New Roman" w:eastAsia="Times New Roman" w:hAnsi="Times New Roman" w:cs="Times New Roman"/>
      <w:caps/>
      <w:sz w:val="20"/>
      <w:szCs w:val="20"/>
      <w:lang w:val="en-GB"/>
    </w:rPr>
  </w:style>
  <w:style w:type="paragraph" w:styleId="Heading3">
    <w:name w:val="heading 3"/>
    <w:aliases w:val="2nd level paper heading"/>
    <w:next w:val="BodyText"/>
    <w:link w:val="Heading3Char"/>
    <w:uiPriority w:val="4"/>
    <w:semiHidden/>
    <w:unhideWhenUsed/>
    <w:qFormat/>
    <w:rsid w:val="00CC7657"/>
    <w:pPr>
      <w:widowControl w:val="0"/>
      <w:numPr>
        <w:ilvl w:val="2"/>
        <w:numId w:val="2"/>
      </w:numPr>
      <w:spacing w:before="240" w:after="240" w:line="240" w:lineRule="exact"/>
      <w:outlineLvl w:val="2"/>
    </w:pPr>
    <w:rPr>
      <w:rFonts w:ascii="Times New Roman" w:eastAsia="Times New Roman" w:hAnsi="Times New Roman" w:cs="Times New Roman"/>
      <w:sz w:val="20"/>
      <w:szCs w:val="20"/>
      <w:lang w:val="en-GB"/>
    </w:rPr>
  </w:style>
  <w:style w:type="paragraph" w:styleId="Heading4">
    <w:name w:val="heading 4"/>
    <w:aliases w:val="3rd level paper heading"/>
    <w:basedOn w:val="Normal"/>
    <w:next w:val="BodyText"/>
    <w:link w:val="Heading4Char"/>
    <w:uiPriority w:val="4"/>
    <w:semiHidden/>
    <w:unhideWhenUsed/>
    <w:qFormat/>
    <w:rsid w:val="00CC7657"/>
    <w:pPr>
      <w:widowControl w:val="0"/>
      <w:numPr>
        <w:ilvl w:val="3"/>
        <w:numId w:val="2"/>
      </w:numPr>
      <w:overflowPunct w:val="0"/>
      <w:autoSpaceDE w:val="0"/>
      <w:autoSpaceDN w:val="0"/>
      <w:adjustRightInd w:val="0"/>
      <w:spacing w:before="100" w:beforeAutospacing="1" w:after="100" w:afterAutospacing="1" w:line="240" w:lineRule="atLeast"/>
      <w:outlineLvl w:val="3"/>
    </w:pPr>
    <w:rPr>
      <w:rFonts w:ascii="Times New Roman" w:eastAsia="Times New Roman" w:hAnsi="Times New Roman" w:cs="Times New Roman"/>
      <w:i/>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7D2"/>
    <w:pPr>
      <w:ind w:left="720"/>
      <w:contextualSpacing/>
    </w:pPr>
  </w:style>
  <w:style w:type="paragraph" w:styleId="BalloonText">
    <w:name w:val="Balloon Text"/>
    <w:basedOn w:val="Normal"/>
    <w:link w:val="BalloonTextChar"/>
    <w:uiPriority w:val="99"/>
    <w:semiHidden/>
    <w:unhideWhenUsed/>
    <w:rsid w:val="00433F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F23"/>
    <w:rPr>
      <w:rFonts w:ascii="Segoe UI" w:hAnsi="Segoe UI" w:cs="Segoe UI"/>
      <w:sz w:val="18"/>
      <w:szCs w:val="18"/>
    </w:rPr>
  </w:style>
  <w:style w:type="character" w:customStyle="1" w:styleId="Heading1Char">
    <w:name w:val="Heading 1 Char"/>
    <w:aliases w:val="Paper title Char"/>
    <w:basedOn w:val="DefaultParagraphFont"/>
    <w:link w:val="Heading1"/>
    <w:uiPriority w:val="4"/>
    <w:rsid w:val="00CC7657"/>
    <w:rPr>
      <w:rFonts w:ascii="Times New Roman Bold" w:eastAsia="Times New Roman" w:hAnsi="Times New Roman Bold" w:cs="Times New Roman"/>
      <w:caps/>
      <w:sz w:val="24"/>
      <w:szCs w:val="20"/>
      <w:lang w:val="en-US"/>
    </w:rPr>
  </w:style>
  <w:style w:type="character" w:customStyle="1" w:styleId="Heading2Char">
    <w:name w:val="Heading 2 Char"/>
    <w:aliases w:val="1st level paper heading Char"/>
    <w:basedOn w:val="DefaultParagraphFont"/>
    <w:link w:val="Heading2"/>
    <w:uiPriority w:val="4"/>
    <w:rsid w:val="00CC7657"/>
    <w:rPr>
      <w:rFonts w:ascii="Times New Roman" w:eastAsia="Times New Roman" w:hAnsi="Times New Roman" w:cs="Times New Roman"/>
      <w:caps/>
      <w:sz w:val="20"/>
      <w:szCs w:val="20"/>
      <w:lang w:val="en-GB"/>
    </w:rPr>
  </w:style>
  <w:style w:type="character" w:customStyle="1" w:styleId="Heading3Char">
    <w:name w:val="Heading 3 Char"/>
    <w:basedOn w:val="DefaultParagraphFont"/>
    <w:link w:val="Heading3"/>
    <w:uiPriority w:val="4"/>
    <w:semiHidden/>
    <w:rsid w:val="00CC7657"/>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uiPriority w:val="4"/>
    <w:semiHidden/>
    <w:rsid w:val="00CC7657"/>
    <w:rPr>
      <w:rFonts w:ascii="Times New Roman" w:eastAsia="Times New Roman" w:hAnsi="Times New Roman" w:cs="Times New Roman"/>
      <w:i/>
      <w:sz w:val="20"/>
      <w:szCs w:val="20"/>
      <w:lang w:val="en-US"/>
    </w:rPr>
  </w:style>
  <w:style w:type="character" w:customStyle="1" w:styleId="AuthornameandaffiliationChar">
    <w:name w:val="Author name and affiliation Char"/>
    <w:basedOn w:val="BodyTextChar"/>
    <w:link w:val="Authornameandaffiliation"/>
    <w:uiPriority w:val="49"/>
    <w:locked/>
    <w:rsid w:val="00CC7657"/>
    <w:rPr>
      <w:lang w:val="en-US"/>
    </w:rPr>
  </w:style>
  <w:style w:type="paragraph" w:customStyle="1" w:styleId="Authornameandaffiliation">
    <w:name w:val="Author name and affiliation"/>
    <w:link w:val="AuthornameandaffiliationChar"/>
    <w:uiPriority w:val="49"/>
    <w:qFormat/>
    <w:rsid w:val="00CC7657"/>
    <w:pPr>
      <w:spacing w:after="0"/>
      <w:ind w:left="567"/>
      <w:contextualSpacing/>
    </w:pPr>
    <w:rPr>
      <w:lang w:val="en-US"/>
    </w:rPr>
  </w:style>
  <w:style w:type="paragraph" w:styleId="Subtitle">
    <w:name w:val="Subtitle"/>
    <w:basedOn w:val="Normal"/>
    <w:next w:val="Normal"/>
    <w:link w:val="SubtitleChar"/>
    <w:uiPriority w:val="11"/>
    <w:qFormat/>
    <w:rsid w:val="00CC7657"/>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CC7657"/>
    <w:rPr>
      <w:rFonts w:asciiTheme="minorHAnsi" w:eastAsiaTheme="minorEastAsia" w:hAnsiTheme="minorHAnsi"/>
      <w:color w:val="5A5A5A" w:themeColor="text1" w:themeTint="A5"/>
      <w:spacing w:val="15"/>
    </w:rPr>
  </w:style>
  <w:style w:type="paragraph" w:styleId="BodyText">
    <w:name w:val="Body Text"/>
    <w:basedOn w:val="Normal"/>
    <w:link w:val="BodyTextChar"/>
    <w:semiHidden/>
    <w:unhideWhenUsed/>
    <w:qFormat/>
    <w:rsid w:val="00CC7657"/>
  </w:style>
  <w:style w:type="character" w:customStyle="1" w:styleId="BodyTextChar">
    <w:name w:val="Body Text Char"/>
    <w:basedOn w:val="DefaultParagraphFont"/>
    <w:link w:val="BodyText"/>
    <w:semiHidden/>
    <w:rsid w:val="00CC7657"/>
  </w:style>
  <w:style w:type="table" w:styleId="TableGrid">
    <w:name w:val="Table Grid"/>
    <w:basedOn w:val="TableNormal"/>
    <w:rsid w:val="00CC7657"/>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BodyTextChar"/>
    <w:link w:val="Tabletext"/>
    <w:uiPriority w:val="49"/>
    <w:locked/>
    <w:rsid w:val="00CC7657"/>
    <w:rPr>
      <w:rFonts w:ascii="Times New Roman" w:eastAsia="Times New Roman" w:hAnsi="Times New Roman" w:cs="Times New Roman"/>
      <w:sz w:val="20"/>
      <w:szCs w:val="20"/>
      <w:lang w:val="en-GB"/>
    </w:rPr>
  </w:style>
  <w:style w:type="paragraph" w:customStyle="1" w:styleId="Tabletext">
    <w:name w:val="Table text"/>
    <w:basedOn w:val="BodyText"/>
    <w:link w:val="TabletextChar"/>
    <w:uiPriority w:val="49"/>
    <w:qFormat/>
    <w:rsid w:val="00CC7657"/>
    <w:pPr>
      <w:spacing w:after="0" w:line="260" w:lineRule="atLeast"/>
      <w:contextualSpacing/>
      <w:jc w:val="both"/>
    </w:pPr>
    <w:rPr>
      <w:rFonts w:ascii="Times New Roman" w:eastAsia="Times New Roman" w:hAnsi="Times New Roman" w:cs="Times New Roman"/>
      <w:sz w:val="20"/>
      <w:szCs w:val="20"/>
      <w:lang w:val="en-GB"/>
    </w:rPr>
  </w:style>
  <w:style w:type="character" w:customStyle="1" w:styleId="OtherunnumberedheadingsChar">
    <w:name w:val="Other unnumbered headings Char"/>
    <w:basedOn w:val="DefaultParagraphFont"/>
    <w:link w:val="Otherunnumberedheadings"/>
    <w:uiPriority w:val="49"/>
    <w:locked/>
    <w:rsid w:val="00CC7657"/>
    <w:rPr>
      <w:rFonts w:ascii="Times New Roman Bold" w:hAnsi="Times New Roman Bold"/>
      <w:b/>
      <w:caps/>
    </w:rPr>
  </w:style>
  <w:style w:type="paragraph" w:customStyle="1" w:styleId="Otherunnumberedheadings">
    <w:name w:val="Other unnumbered headings"/>
    <w:next w:val="BodyText"/>
    <w:link w:val="OtherunnumberedheadingsChar"/>
    <w:uiPriority w:val="49"/>
    <w:qFormat/>
    <w:locked/>
    <w:rsid w:val="00CC7657"/>
    <w:pPr>
      <w:spacing w:before="100" w:beforeAutospacing="1" w:after="100" w:afterAutospacing="1" w:line="260" w:lineRule="atLeast"/>
      <w:jc w:val="center"/>
    </w:pPr>
    <w:rPr>
      <w:rFonts w:ascii="Times New Roman Bold" w:hAnsi="Times New Roman Bold"/>
      <w:b/>
      <w:caps/>
    </w:rPr>
  </w:style>
  <w:style w:type="character" w:customStyle="1" w:styleId="ReferencelistChar">
    <w:name w:val="Reference list Char"/>
    <w:basedOn w:val="BodyTextChar"/>
    <w:link w:val="Referencelist"/>
    <w:uiPriority w:val="49"/>
    <w:locked/>
    <w:rsid w:val="00CC7657"/>
    <w:rPr>
      <w:sz w:val="18"/>
      <w:szCs w:val="18"/>
    </w:rPr>
  </w:style>
  <w:style w:type="paragraph" w:customStyle="1" w:styleId="Referencelist">
    <w:name w:val="Reference list"/>
    <w:basedOn w:val="BodyText"/>
    <w:link w:val="ReferencelistChar"/>
    <w:uiPriority w:val="49"/>
    <w:qFormat/>
    <w:rsid w:val="00CC7657"/>
    <w:pPr>
      <w:numPr>
        <w:numId w:val="5"/>
      </w:numPr>
      <w:spacing w:after="0" w:line="260" w:lineRule="atLeast"/>
      <w:ind w:left="644"/>
      <w:contextualSpacing/>
      <w:jc w:val="both"/>
    </w:pPr>
    <w:rPr>
      <w:sz w:val="18"/>
      <w:szCs w:val="18"/>
    </w:rPr>
  </w:style>
  <w:style w:type="character" w:styleId="Hyperlink">
    <w:name w:val="Hyperlink"/>
    <w:basedOn w:val="DefaultParagraphFont"/>
    <w:uiPriority w:val="99"/>
    <w:unhideWhenUsed/>
    <w:rsid w:val="00CC7657"/>
    <w:rPr>
      <w:color w:val="0563C1" w:themeColor="hyperlink"/>
      <w:u w:val="single"/>
    </w:rPr>
  </w:style>
  <w:style w:type="paragraph" w:styleId="Header">
    <w:name w:val="header"/>
    <w:basedOn w:val="Normal"/>
    <w:link w:val="HeaderChar"/>
    <w:uiPriority w:val="99"/>
    <w:unhideWhenUsed/>
    <w:rsid w:val="000A0955"/>
    <w:pPr>
      <w:tabs>
        <w:tab w:val="center" w:pos="4513"/>
        <w:tab w:val="right" w:pos="9026"/>
      </w:tabs>
      <w:spacing w:after="0"/>
    </w:pPr>
  </w:style>
  <w:style w:type="character" w:customStyle="1" w:styleId="HeaderChar">
    <w:name w:val="Header Char"/>
    <w:basedOn w:val="DefaultParagraphFont"/>
    <w:link w:val="Header"/>
    <w:uiPriority w:val="99"/>
    <w:rsid w:val="000A0955"/>
  </w:style>
  <w:style w:type="paragraph" w:styleId="Footer">
    <w:name w:val="footer"/>
    <w:basedOn w:val="Normal"/>
    <w:link w:val="FooterChar"/>
    <w:uiPriority w:val="99"/>
    <w:unhideWhenUsed/>
    <w:rsid w:val="000A0955"/>
    <w:pPr>
      <w:tabs>
        <w:tab w:val="center" w:pos="4513"/>
        <w:tab w:val="right" w:pos="9026"/>
      </w:tabs>
      <w:spacing w:after="0"/>
    </w:pPr>
  </w:style>
  <w:style w:type="character" w:customStyle="1" w:styleId="FooterChar">
    <w:name w:val="Footer Char"/>
    <w:basedOn w:val="DefaultParagraphFont"/>
    <w:link w:val="Footer"/>
    <w:uiPriority w:val="99"/>
    <w:rsid w:val="000A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www.princeton.edu/~ota/disk3/1977/7705/7705.PDF%20p.%201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4018</Words>
  <Characters>22903</Characters>
  <Application>Microsoft Office Word</Application>
  <DocSecurity>0</DocSecurity>
  <Lines>190</Lines>
  <Paragraphs>53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STRENGTHENING NATIONAL AND INTERNATIONAL PLUTONIUM MANAGEMENT APPROACHES</vt:lpstr>
      <vt:lpstr>    INTRODUCTION</vt:lpstr>
      <vt:lpstr>    Civilian stocks of UNIRRADIATED plutonium CONTINUE TO increasE</vt:lpstr>
      <vt:lpstr>    STRENGTHENING MANAGEMENT APPROACHES TO ADDRESS RISKS FROM UNIRRADIATED PLUTONIUM</vt:lpstr>
      <vt:lpstr>    CONCLUSION</vt:lpstr>
    </vt:vector>
  </TitlesOfParts>
  <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Carlson</dc:creator>
  <cp:keywords/>
  <dc:description/>
  <cp:lastModifiedBy>John Carlson</cp:lastModifiedBy>
  <cp:revision>5</cp:revision>
  <dcterms:created xsi:type="dcterms:W3CDTF">2019-11-26T01:18:00Z</dcterms:created>
  <dcterms:modified xsi:type="dcterms:W3CDTF">2019-11-26T04:24:00Z</dcterms:modified>
</cp:coreProperties>
</file>