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BF1C" w14:textId="7E5C84C0" w:rsidR="006A0040" w:rsidRPr="000C5E44" w:rsidRDefault="00D15C7E" w:rsidP="00D15C7E">
      <w:pPr>
        <w:suppressAutoHyphens/>
        <w:ind w:right="52"/>
        <w:jc w:val="center"/>
        <w:rPr>
          <w:b/>
          <w:sz w:val="28"/>
          <w:szCs w:val="28"/>
        </w:rPr>
      </w:pPr>
      <w:bookmarkStart w:id="0" w:name="_GoBack"/>
      <w:bookmarkEnd w:id="0"/>
      <w:r w:rsidRPr="000C5E44">
        <w:rPr>
          <w:b/>
          <w:sz w:val="28"/>
          <w:szCs w:val="28"/>
        </w:rPr>
        <w:t xml:space="preserve">International Conference on </w:t>
      </w:r>
      <w:r w:rsidR="000C5E44" w:rsidRPr="000C5E44">
        <w:rPr>
          <w:b/>
          <w:sz w:val="28"/>
          <w:szCs w:val="28"/>
        </w:rPr>
        <w:t>Nuclear Security</w:t>
      </w:r>
    </w:p>
    <w:p w14:paraId="5EB84904" w14:textId="16871C4C" w:rsidR="00D15C7E" w:rsidRDefault="000C5E44" w:rsidP="00D15C7E">
      <w:pPr>
        <w:suppressAutoHyphens/>
        <w:ind w:right="52"/>
        <w:jc w:val="center"/>
        <w:rPr>
          <w:b/>
          <w:sz w:val="20"/>
        </w:rPr>
      </w:pPr>
      <w:r w:rsidRPr="000C5E44">
        <w:rPr>
          <w:b/>
          <w:sz w:val="20"/>
        </w:rPr>
        <w:t>Vienna, Austria, 10-14 February 2020</w:t>
      </w:r>
    </w:p>
    <w:p w14:paraId="58554D80" w14:textId="77777777" w:rsidR="000C5E44" w:rsidRPr="000C5E44" w:rsidRDefault="000C5E44" w:rsidP="00D15C7E">
      <w:pPr>
        <w:suppressAutoHyphens/>
        <w:ind w:right="52"/>
        <w:jc w:val="center"/>
        <w:rPr>
          <w:b/>
          <w:sz w:val="20"/>
        </w:rPr>
      </w:pPr>
    </w:p>
    <w:p w14:paraId="4C2BE5E9" w14:textId="22215F07" w:rsidR="00D15C7E" w:rsidRDefault="000C5E44" w:rsidP="005943E0">
      <w:pPr>
        <w:jc w:val="center"/>
        <w:rPr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  <w:r>
        <w:rPr>
          <w:rFonts w:cs="Calibri"/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890265" w:rsidRPr="00890265" w14:paraId="052D57A0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2FFDF937" w14:textId="70CEE35C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D4E700C" w14:textId="27651616" w:rsidR="00890265" w:rsidRPr="00A06947" w:rsidRDefault="005059A3" w:rsidP="008902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 w:rsidRPr="00A06947">
              <w:rPr>
                <w:rFonts w:eastAsia="Calibri"/>
                <w:sz w:val="24"/>
                <w:szCs w:val="24"/>
              </w:rPr>
              <w:t>Dr.</w:t>
            </w:r>
            <w:proofErr w:type="spellEnd"/>
            <w:r w:rsidRPr="00A06947">
              <w:rPr>
                <w:rFonts w:eastAsia="Calibri"/>
                <w:sz w:val="24"/>
                <w:szCs w:val="24"/>
              </w:rPr>
              <w:t xml:space="preserve"> Simon </w:t>
            </w:r>
            <w:proofErr w:type="spellStart"/>
            <w:r w:rsidRPr="00A06947">
              <w:rPr>
                <w:rFonts w:eastAsia="Calibri"/>
                <w:sz w:val="24"/>
                <w:szCs w:val="24"/>
              </w:rPr>
              <w:t>Adu</w:t>
            </w:r>
            <w:proofErr w:type="spellEnd"/>
          </w:p>
        </w:tc>
      </w:tr>
      <w:tr w:rsidR="00890265" w:rsidRPr="00890265" w14:paraId="0A1AB674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8751BE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D57BDD7" w14:textId="609C21F9" w:rsidR="00890265" w:rsidRPr="00A06947" w:rsidRDefault="005059A3" w:rsidP="008902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A06947">
              <w:rPr>
                <w:color w:val="222222"/>
                <w:sz w:val="24"/>
                <w:szCs w:val="24"/>
                <w:shd w:val="clear" w:color="auto" w:fill="FFFFFF"/>
              </w:rPr>
              <w:t>RESEARCH REACTOR SECURITY</w:t>
            </w:r>
          </w:p>
        </w:tc>
      </w:tr>
      <w:tr w:rsidR="00890265" w:rsidRPr="00890265" w14:paraId="1253262A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DD62F59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127D3D1" w14:textId="77777777" w:rsidR="005059A3" w:rsidRPr="00A06947" w:rsidRDefault="005059A3" w:rsidP="005059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A06947">
              <w:rPr>
                <w:rFonts w:eastAsia="Calibri"/>
                <w:sz w:val="24"/>
                <w:szCs w:val="24"/>
              </w:rPr>
              <w:t>Review the Assessment</w:t>
            </w:r>
          </w:p>
          <w:p w14:paraId="4FF5DE4E" w14:textId="77777777" w:rsidR="005059A3" w:rsidRPr="00A06947" w:rsidRDefault="005059A3" w:rsidP="005059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A06947">
              <w:rPr>
                <w:rFonts w:eastAsia="Calibri"/>
                <w:sz w:val="24"/>
                <w:szCs w:val="24"/>
              </w:rPr>
              <w:t>Methodologies for Nuclear Security</w:t>
            </w:r>
          </w:p>
          <w:p w14:paraId="265E26F6" w14:textId="77777777" w:rsidR="005059A3" w:rsidRPr="00A06947" w:rsidRDefault="005059A3" w:rsidP="005059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A06947">
              <w:rPr>
                <w:rFonts w:eastAsia="Calibri"/>
                <w:sz w:val="24"/>
                <w:szCs w:val="24"/>
              </w:rPr>
              <w:t>for Research Reactors and</w:t>
            </w:r>
          </w:p>
          <w:p w14:paraId="5CE32D71" w14:textId="05096FEE" w:rsidR="00890265" w:rsidRPr="00A06947" w:rsidRDefault="005059A3" w:rsidP="005059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A06947">
              <w:rPr>
                <w:rFonts w:eastAsia="Calibri"/>
                <w:sz w:val="24"/>
                <w:szCs w:val="24"/>
              </w:rPr>
              <w:t>Associated Facilities (RRAF)</w:t>
            </w:r>
          </w:p>
        </w:tc>
      </w:tr>
      <w:tr w:rsidR="00890265" w:rsidRPr="00890265" w14:paraId="7F30E09B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AEBD222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3E910A8" w14:textId="5617B8A7" w:rsidR="00890265" w:rsidRPr="00A06947" w:rsidRDefault="005059A3" w:rsidP="008902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A06947">
              <w:rPr>
                <w:rFonts w:eastAsia="Calibri"/>
                <w:sz w:val="24"/>
                <w:szCs w:val="24"/>
              </w:rPr>
              <w:t>Nuclear Regulatory Authority</w:t>
            </w:r>
          </w:p>
        </w:tc>
      </w:tr>
      <w:tr w:rsidR="00890265" w:rsidRPr="00890265" w14:paraId="348D6051" w14:textId="77777777" w:rsidTr="001C4E2E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1125A9E0" w14:textId="010407E1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SHORT BACKGROUND FOR INTRODUCTION (2-3 LINES)</w:t>
            </w:r>
            <w:r>
              <w:rPr>
                <w:rFonts w:ascii="Calibri" w:eastAsia="Calibri" w:hAnsi="Calibri" w:cs="Calibri"/>
                <w:szCs w:val="22"/>
              </w:rPr>
              <w:t xml:space="preserve"> to be included in the IAEA Conference and Meetings App</w:t>
            </w:r>
            <w:r w:rsidRPr="00890265">
              <w:rPr>
                <w:rFonts w:ascii="Calibri" w:eastAsia="Calibri" w:hAnsi="Calibri" w:cs="Calibri"/>
                <w:szCs w:val="22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443C83D" w14:textId="77777777" w:rsidR="00861E28" w:rsidRPr="00A06947" w:rsidRDefault="00861E28" w:rsidP="00861E28">
            <w:pPr>
              <w:jc w:val="both"/>
              <w:rPr>
                <w:sz w:val="24"/>
                <w:szCs w:val="24"/>
              </w:rPr>
            </w:pPr>
            <w:proofErr w:type="spellStart"/>
            <w:r w:rsidRPr="00A06947">
              <w:rPr>
                <w:sz w:val="24"/>
                <w:szCs w:val="24"/>
              </w:rPr>
              <w:t>Dr.</w:t>
            </w:r>
            <w:proofErr w:type="spellEnd"/>
            <w:r w:rsidRPr="00A06947">
              <w:rPr>
                <w:sz w:val="24"/>
                <w:szCs w:val="24"/>
              </w:rPr>
              <w:t xml:space="preserve"> Simon </w:t>
            </w:r>
            <w:proofErr w:type="spellStart"/>
            <w:r w:rsidRPr="00A06947">
              <w:rPr>
                <w:sz w:val="24"/>
                <w:szCs w:val="24"/>
              </w:rPr>
              <w:t>Adu</w:t>
            </w:r>
            <w:proofErr w:type="spellEnd"/>
            <w:r w:rsidRPr="00A06947">
              <w:rPr>
                <w:sz w:val="24"/>
                <w:szCs w:val="24"/>
              </w:rPr>
              <w:t xml:space="preserve"> is currently the Ag. Head of Nuclear Security Department of the Nuclear Regulatory Authority. Prior to that, </w:t>
            </w:r>
            <w:proofErr w:type="spellStart"/>
            <w:r w:rsidRPr="00A06947">
              <w:rPr>
                <w:sz w:val="24"/>
                <w:szCs w:val="24"/>
              </w:rPr>
              <w:t>Dr.</w:t>
            </w:r>
            <w:proofErr w:type="spellEnd"/>
            <w:r w:rsidRPr="00A06947">
              <w:rPr>
                <w:sz w:val="24"/>
                <w:szCs w:val="24"/>
              </w:rPr>
              <w:t xml:space="preserve"> </w:t>
            </w:r>
            <w:proofErr w:type="spellStart"/>
            <w:r w:rsidRPr="00A06947">
              <w:rPr>
                <w:sz w:val="24"/>
                <w:szCs w:val="24"/>
              </w:rPr>
              <w:t>Adu</w:t>
            </w:r>
            <w:proofErr w:type="spellEnd"/>
            <w:r w:rsidRPr="00A06947">
              <w:rPr>
                <w:sz w:val="24"/>
                <w:szCs w:val="24"/>
              </w:rPr>
              <w:t xml:space="preserve"> worked with Ghana Atomic Energy Commission, Radiation Protection Institute for 8 years as Research Scientist and was Manager of Safety, Security and Safeguards. His </w:t>
            </w:r>
            <w:r w:rsidRPr="00A06947">
              <w:rPr>
                <w:b/>
                <w:sz w:val="24"/>
                <w:szCs w:val="24"/>
              </w:rPr>
              <w:t xml:space="preserve">Area of interest includes </w:t>
            </w:r>
            <w:r w:rsidRPr="00A06947">
              <w:rPr>
                <w:sz w:val="24"/>
                <w:szCs w:val="24"/>
              </w:rPr>
              <w:t>Radiation Protection, Nuclear Security, Non Proliferation and Nuclear Safety.</w:t>
            </w:r>
          </w:p>
          <w:p w14:paraId="57659584" w14:textId="77777777" w:rsidR="00861E28" w:rsidRPr="00A06947" w:rsidRDefault="00861E28" w:rsidP="00861E28">
            <w:pPr>
              <w:jc w:val="both"/>
              <w:rPr>
                <w:sz w:val="24"/>
                <w:szCs w:val="24"/>
              </w:rPr>
            </w:pPr>
            <w:r w:rsidRPr="00A06947">
              <w:rPr>
                <w:b/>
                <w:sz w:val="24"/>
                <w:szCs w:val="24"/>
              </w:rPr>
              <w:t xml:space="preserve">My duties includes </w:t>
            </w:r>
            <w:r w:rsidRPr="00A06947">
              <w:rPr>
                <w:sz w:val="24"/>
                <w:szCs w:val="24"/>
              </w:rPr>
              <w:t>drafting of Nuclear Security regulations, Inspection and training of FLOs.</w:t>
            </w:r>
          </w:p>
          <w:p w14:paraId="6CF2AABF" w14:textId="77777777" w:rsidR="00890265" w:rsidRPr="00A06947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2EB4D1E1" w14:textId="75474B56" w:rsidR="00890265" w:rsidRDefault="00890265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4B2205A2" w14:textId="733F02EC" w:rsidR="000C5E44" w:rsidRDefault="000C5E44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5360073A" w14:textId="77777777" w:rsidR="000C5E44" w:rsidRPr="00890265" w:rsidRDefault="000C5E44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42FE609F" w14:textId="77777777" w:rsidR="0059639E" w:rsidRPr="00514DB4" w:rsidRDefault="0059639E" w:rsidP="0070605F">
      <w:pPr>
        <w:widowControl w:val="0"/>
        <w:tabs>
          <w:tab w:val="left" w:pos="720"/>
        </w:tabs>
        <w:spacing w:line="320" w:lineRule="exact"/>
        <w:outlineLvl w:val="1"/>
        <w:rPr>
          <w:b/>
          <w:sz w:val="24"/>
          <w:szCs w:val="24"/>
          <w:lang w:eastAsia="en-GB"/>
        </w:rPr>
      </w:pPr>
    </w:p>
    <w:p w14:paraId="14035B66" w14:textId="6C42264D" w:rsidR="00DA0E7C" w:rsidRPr="000C5E44" w:rsidRDefault="005943E0" w:rsidP="000C5E44">
      <w:pPr>
        <w:widowControl w:val="0"/>
        <w:tabs>
          <w:tab w:val="left" w:pos="720"/>
        </w:tabs>
        <w:spacing w:line="320" w:lineRule="exact"/>
        <w:outlineLvl w:val="1"/>
        <w:rPr>
          <w:b/>
          <w:sz w:val="32"/>
          <w:szCs w:val="32"/>
          <w:lang w:eastAsia="en-GB"/>
        </w:rPr>
      </w:pPr>
      <w:r w:rsidRPr="000C5E44">
        <w:rPr>
          <w:b/>
          <w:sz w:val="32"/>
          <w:szCs w:val="32"/>
          <w:lang w:eastAsia="en-GB"/>
        </w:rPr>
        <w:t xml:space="preserve">Release of Electronic </w:t>
      </w:r>
      <w:r w:rsidR="00DA0E7C" w:rsidRPr="000C5E44">
        <w:rPr>
          <w:b/>
          <w:sz w:val="32"/>
          <w:szCs w:val="32"/>
          <w:lang w:eastAsia="en-GB"/>
        </w:rPr>
        <w:t>Presentation</w:t>
      </w:r>
    </w:p>
    <w:p w14:paraId="14035B67" w14:textId="77777777" w:rsidR="00362FBA" w:rsidRPr="00514DB4" w:rsidRDefault="00362FBA" w:rsidP="00DA0E7C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hAnsiTheme="minorHAnsi"/>
          <w:sz w:val="24"/>
          <w:szCs w:val="24"/>
          <w:lang w:eastAsia="en-GB"/>
        </w:rPr>
      </w:pPr>
    </w:p>
    <w:p w14:paraId="14035B68" w14:textId="309B4D31" w:rsidR="00DA0E7C" w:rsidRPr="00514DB4" w:rsidRDefault="00DA0E7C" w:rsidP="00DA0E7C">
      <w:pPr>
        <w:widowControl w:val="0"/>
        <w:tabs>
          <w:tab w:val="left" w:pos="720"/>
        </w:tabs>
        <w:spacing w:line="320" w:lineRule="exact"/>
        <w:jc w:val="both"/>
        <w:outlineLvl w:val="1"/>
        <w:rPr>
          <w:sz w:val="24"/>
          <w:szCs w:val="24"/>
          <w:lang w:eastAsia="en-GB"/>
        </w:rPr>
      </w:pPr>
      <w:r w:rsidRPr="00514DB4">
        <w:rPr>
          <w:sz w:val="24"/>
          <w:szCs w:val="24"/>
          <w:lang w:eastAsia="en-GB"/>
        </w:rPr>
        <w:t xml:space="preserve">I agree that my electronic presentation </w:t>
      </w:r>
      <w:r w:rsidR="005943E0">
        <w:rPr>
          <w:sz w:val="24"/>
          <w:szCs w:val="24"/>
          <w:lang w:eastAsia="en-GB"/>
        </w:rPr>
        <w:t>provided</w:t>
      </w:r>
      <w:r w:rsidRPr="00514DB4">
        <w:rPr>
          <w:sz w:val="24"/>
          <w:szCs w:val="24"/>
          <w:lang w:eastAsia="en-GB"/>
        </w:rPr>
        <w:t xml:space="preserve"> at </w:t>
      </w:r>
      <w:r w:rsidR="00362FBA" w:rsidRPr="00514DB4">
        <w:rPr>
          <w:sz w:val="24"/>
          <w:szCs w:val="24"/>
          <w:lang w:eastAsia="en-GB"/>
        </w:rPr>
        <w:t xml:space="preserve">the </w:t>
      </w:r>
      <w:r w:rsidR="000C5E44" w:rsidRPr="0075762E">
        <w:rPr>
          <w:b/>
          <w:bCs/>
          <w:color w:val="000000" w:themeColor="text1"/>
          <w:szCs w:val="22"/>
        </w:rPr>
        <w:t>International Conference on Nuclear Security: Sustaining and Strengthening Efforts</w:t>
      </w:r>
      <w:r w:rsidR="000C5E44" w:rsidRPr="00982490">
        <w:rPr>
          <w:b/>
          <w:bCs/>
          <w:color w:val="000000" w:themeColor="text1"/>
        </w:rPr>
        <w:t xml:space="preserve"> </w:t>
      </w:r>
      <w:r w:rsidR="000C5E44" w:rsidRPr="00982490">
        <w:rPr>
          <w:bCs/>
          <w:color w:val="000000" w:themeColor="text1"/>
        </w:rPr>
        <w:t>to be held at the IAEA’s Headquarters in Vienna, Austria, from</w:t>
      </w:r>
      <w:r w:rsidR="000C5E44" w:rsidRPr="00982490">
        <w:rPr>
          <w:b/>
          <w:bCs/>
          <w:color w:val="000000" w:themeColor="text1"/>
        </w:rPr>
        <w:t xml:space="preserve"> </w:t>
      </w:r>
      <w:r w:rsidR="000C5E44">
        <w:rPr>
          <w:b/>
          <w:bCs/>
          <w:color w:val="000000" w:themeColor="text1"/>
        </w:rPr>
        <w:t>10</w:t>
      </w:r>
      <w:r w:rsidR="000C5E44" w:rsidRPr="00982490">
        <w:rPr>
          <w:b/>
          <w:bCs/>
          <w:color w:val="000000" w:themeColor="text1"/>
        </w:rPr>
        <w:t xml:space="preserve"> to </w:t>
      </w:r>
      <w:r w:rsidR="000C5E44">
        <w:rPr>
          <w:b/>
          <w:bCs/>
          <w:color w:val="000000" w:themeColor="text1"/>
        </w:rPr>
        <w:t>14 February</w:t>
      </w:r>
      <w:r w:rsidR="000C5E44" w:rsidRPr="00982490">
        <w:rPr>
          <w:b/>
          <w:bCs/>
          <w:color w:val="000000" w:themeColor="text1"/>
        </w:rPr>
        <w:t xml:space="preserve"> 20</w:t>
      </w:r>
      <w:r w:rsidR="000C5E44">
        <w:rPr>
          <w:b/>
          <w:bCs/>
          <w:color w:val="000000" w:themeColor="text1"/>
        </w:rPr>
        <w:t xml:space="preserve">20 </w:t>
      </w:r>
      <w:r w:rsidR="005943E0">
        <w:rPr>
          <w:sz w:val="24"/>
          <w:szCs w:val="24"/>
          <w:lang w:eastAsia="en-GB"/>
        </w:rPr>
        <w:t>is</w:t>
      </w:r>
      <w:r w:rsidRPr="00514DB4">
        <w:rPr>
          <w:sz w:val="24"/>
          <w:szCs w:val="24"/>
          <w:lang w:eastAsia="en-GB"/>
        </w:rPr>
        <w:t xml:space="preserve"> </w:t>
      </w:r>
      <w:r w:rsidR="00307581">
        <w:rPr>
          <w:sz w:val="24"/>
          <w:szCs w:val="24"/>
          <w:lang w:eastAsia="en-GB"/>
        </w:rPr>
        <w:t xml:space="preserve">included in the conference proceeding and </w:t>
      </w:r>
      <w:r w:rsidRPr="00514DB4">
        <w:rPr>
          <w:sz w:val="24"/>
          <w:szCs w:val="24"/>
          <w:lang w:eastAsia="en-GB"/>
        </w:rPr>
        <w:t xml:space="preserve">made available </w:t>
      </w:r>
      <w:r w:rsidR="00890265">
        <w:rPr>
          <w:sz w:val="24"/>
          <w:szCs w:val="24"/>
          <w:lang w:eastAsia="en-GB"/>
        </w:rPr>
        <w:t>in the IAEA Conference and Meetings App</w:t>
      </w:r>
      <w:r w:rsidRPr="00514DB4">
        <w:rPr>
          <w:sz w:val="24"/>
          <w:szCs w:val="24"/>
          <w:lang w:eastAsia="en-GB"/>
        </w:rPr>
        <w:t xml:space="preserve"> as a PDF.</w:t>
      </w:r>
    </w:p>
    <w:p w14:paraId="14035B6E" w14:textId="77777777" w:rsidR="00A65763" w:rsidRPr="00514DB4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6F" w14:textId="77777777" w:rsidR="00A65763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0" w14:textId="7818EA1B" w:rsidR="00514DB4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sz w:val="24"/>
          <w:szCs w:val="24"/>
          <w:lang w:val="en-US"/>
        </w:rPr>
        <w:t>Signature</w:t>
      </w:r>
    </w:p>
    <w:p w14:paraId="22139C0D" w14:textId="77777777" w:rsidR="00861E28" w:rsidRDefault="00861E28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655675CA" w14:textId="40F1A2C5" w:rsidR="00861E28" w:rsidRDefault="00861E28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 w:rsidRPr="0090420B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0FE37FC" wp14:editId="03B67EEA">
            <wp:extent cx="11334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C7FD" w14:textId="77777777" w:rsidR="005943E0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6EDA0CA9" w14:textId="1DAE3225" w:rsidR="005943E0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sz w:val="24"/>
          <w:szCs w:val="24"/>
          <w:lang w:val="en-US"/>
        </w:rPr>
        <w:t>________________________________</w:t>
      </w:r>
    </w:p>
    <w:p w14:paraId="3E249D2A" w14:textId="77777777" w:rsidR="005943E0" w:rsidRPr="00514DB4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1" w14:textId="77777777" w:rsidR="00A65763" w:rsidRPr="00514DB4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2" w14:textId="77777777" w:rsidR="00514DB4" w:rsidRDefault="00DA0E7C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8"/>
          <w:szCs w:val="28"/>
          <w:lang w:val="en-US"/>
        </w:rPr>
      </w:pPr>
      <w:r w:rsidRPr="00514DB4">
        <w:rPr>
          <w:rFonts w:cs="Calibri"/>
          <w:b/>
          <w:i/>
          <w:sz w:val="28"/>
          <w:szCs w:val="28"/>
          <w:lang w:val="en-US"/>
        </w:rPr>
        <w:t xml:space="preserve">Please complete and return this form by email to: </w:t>
      </w:r>
    </w:p>
    <w:p w14:paraId="14035B73" w14:textId="1BDC9D4F" w:rsidR="002A112E" w:rsidRPr="00514DB4" w:rsidRDefault="000C5E44" w:rsidP="00362FBA">
      <w:pPr>
        <w:tabs>
          <w:tab w:val="left" w:pos="-720"/>
        </w:tabs>
        <w:suppressAutoHyphens/>
        <w:jc w:val="center"/>
        <w:rPr>
          <w:i/>
          <w:sz w:val="28"/>
          <w:szCs w:val="28"/>
          <w:lang w:val="en-US"/>
        </w:rPr>
      </w:pPr>
      <w:r w:rsidRPr="000C5E44">
        <w:rPr>
          <w:rStyle w:val="Hyperlink"/>
          <w:rFonts w:cs="Calibri"/>
          <w:b/>
          <w:i/>
          <w:sz w:val="28"/>
          <w:szCs w:val="28"/>
          <w:highlight w:val="yellow"/>
          <w:lang w:val="en-US"/>
        </w:rPr>
        <w:t>Technical officer</w:t>
      </w:r>
      <w:r>
        <w:rPr>
          <w:rStyle w:val="Hyperlink"/>
          <w:rFonts w:cs="Calibri"/>
          <w:b/>
          <w:i/>
          <w:sz w:val="28"/>
          <w:szCs w:val="28"/>
          <w:lang w:val="en-US"/>
        </w:rPr>
        <w:t xml:space="preserve"> </w:t>
      </w:r>
      <w:r w:rsidR="00890265" w:rsidRPr="00890265">
        <w:rPr>
          <w:rStyle w:val="Hyperlink"/>
          <w:rFonts w:cs="Calibri"/>
          <w:b/>
          <w:i/>
          <w:sz w:val="28"/>
          <w:szCs w:val="28"/>
          <w:lang w:val="en-US"/>
        </w:rPr>
        <w:t>@iaea.org</w:t>
      </w:r>
      <w:r w:rsidR="00A65763" w:rsidRPr="00514DB4">
        <w:rPr>
          <w:rFonts w:cs="Calibri"/>
          <w:b/>
          <w:i/>
          <w:sz w:val="28"/>
          <w:szCs w:val="28"/>
          <w:lang w:val="en-US"/>
        </w:rPr>
        <w:t xml:space="preserve"> by </w:t>
      </w:r>
      <w:r>
        <w:rPr>
          <w:rFonts w:cs="Calibri"/>
          <w:b/>
          <w:i/>
          <w:color w:val="000000" w:themeColor="text1"/>
          <w:sz w:val="28"/>
          <w:szCs w:val="28"/>
          <w:u w:val="single"/>
          <w:lang w:val="en-US"/>
        </w:rPr>
        <w:t>27 January 2020</w:t>
      </w:r>
    </w:p>
    <w:sectPr w:rsidR="002A112E" w:rsidRPr="00514DB4" w:rsidSect="00514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17" w:bottom="1440" w:left="1440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4178" w14:textId="77777777" w:rsidR="001E6AE4" w:rsidRDefault="001E6AE4">
      <w:r>
        <w:separator/>
      </w:r>
    </w:p>
  </w:endnote>
  <w:endnote w:type="continuationSeparator" w:id="0">
    <w:p w14:paraId="03C1AB31" w14:textId="77777777" w:rsidR="001E6AE4" w:rsidRDefault="001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81" w14:textId="668B63E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4035B82" w14:textId="52AD76B6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83" w14:textId="74DECCF2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4035B84" w14:textId="3C9C930C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14035B93" w14:textId="77777777">
      <w:trPr>
        <w:cantSplit/>
      </w:trPr>
      <w:tc>
        <w:tcPr>
          <w:tcW w:w="4644" w:type="dxa"/>
        </w:tcPr>
        <w:p w14:paraId="14035B8F" w14:textId="1CD5EC9C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14035B90" w14:textId="7D7FA39F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14035B91" w14:textId="51D6E771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14035B92" w14:textId="16150D9F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14:paraId="14035B94" w14:textId="77777777" w:rsidR="00E20E70" w:rsidRDefault="00E20E70" w:rsidP="006B7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9030" w14:textId="77777777" w:rsidR="001E6AE4" w:rsidRDefault="001E6AE4">
      <w:r>
        <w:t>___________________________________________________________________________</w:t>
      </w:r>
    </w:p>
  </w:footnote>
  <w:footnote w:type="continuationSeparator" w:id="0">
    <w:p w14:paraId="02D7AFEC" w14:textId="77777777" w:rsidR="001E6AE4" w:rsidRDefault="001E6AE4">
      <w:r>
        <w:t>___________________________________________________________________________</w:t>
      </w:r>
    </w:p>
  </w:footnote>
  <w:footnote w:type="continuationNotice" w:id="1">
    <w:p w14:paraId="271537DD" w14:textId="77777777" w:rsidR="001E6AE4" w:rsidRDefault="001E6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7A" w14:textId="77777777" w:rsidR="00E20E70" w:rsidRDefault="00E20E70">
    <w:pPr>
      <w:pStyle w:val="Header"/>
      <w:spacing w:after="0"/>
      <w:rPr>
        <w:sz w:val="8"/>
      </w:rPr>
    </w:pPr>
    <w:r>
      <w:br/>
    </w:r>
  </w:p>
  <w:p w14:paraId="14035B7B" w14:textId="3AAD4AB2" w:rsidR="00E20E70" w:rsidRPr="00BC4578" w:rsidRDefault="00BC4578">
    <w:pPr>
      <w:pStyle w:val="zyxClassification1"/>
      <w:rPr>
        <w:rFonts w:ascii="Times New Roman" w:hAnsi="Times New Roman" w:cs="Times New Roman"/>
        <w:b w:val="0"/>
      </w:rPr>
    </w:pPr>
    <w:r w:rsidRPr="00BC4578">
      <w:rPr>
        <w:rFonts w:ascii="Times New Roman" w:hAnsi="Times New Roman" w:cs="Times New Roman"/>
        <w:b w:val="0"/>
      </w:rPr>
      <w:t>CN-226</w:t>
    </w:r>
    <w:r w:rsidR="00E20E70" w:rsidRPr="00BC4578">
      <w:rPr>
        <w:rFonts w:ascii="Times New Roman" w:hAnsi="Times New Roman" w:cs="Times New Roman"/>
        <w:b w:val="0"/>
      </w:rPr>
      <w:fldChar w:fldCharType="begin"/>
    </w:r>
    <w:r w:rsidR="00E20E70" w:rsidRPr="00BC4578">
      <w:rPr>
        <w:rFonts w:ascii="Times New Roman" w:hAnsi="Times New Roman" w:cs="Times New Roman"/>
        <w:b w:val="0"/>
      </w:rPr>
      <w:instrText xml:space="preserve"> DOCPROPERTY "IaeaClassification"  \* MERGEFORMAT </w:instrText>
    </w:r>
    <w:r w:rsidR="00E20E70" w:rsidRPr="00BC4578">
      <w:rPr>
        <w:rFonts w:ascii="Times New Roman" w:hAnsi="Times New Roman" w:cs="Times New Roman"/>
        <w:b w:val="0"/>
      </w:rPr>
      <w:fldChar w:fldCharType="end"/>
    </w:r>
  </w:p>
  <w:p w14:paraId="14035B7C" w14:textId="0B4DCE5A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7D" w14:textId="77777777" w:rsidR="00E20E70" w:rsidRDefault="00696B3A" w:rsidP="00696B3A">
    <w:pPr>
      <w:pStyle w:val="Header"/>
      <w:spacing w:after="0"/>
      <w:jc w:val="right"/>
      <w:rPr>
        <w:sz w:val="8"/>
      </w:rPr>
    </w:pPr>
    <w:r>
      <w:t>CN-226</w:t>
    </w:r>
    <w:r w:rsidR="00E20E70">
      <w:br/>
    </w:r>
  </w:p>
  <w:p w14:paraId="14035B7E" w14:textId="5C44FC3D" w:rsidR="00E20E70" w:rsidRPr="00696B3A" w:rsidRDefault="00696B3A" w:rsidP="00696B3A">
    <w:pPr>
      <w:pStyle w:val="zyxClassification1"/>
      <w:jc w:val="center"/>
    </w:pPr>
    <w:r w:rsidRPr="00696B3A">
      <w:rPr>
        <w:sz w:val="32"/>
        <w:szCs w:val="32"/>
      </w:rPr>
      <w:t>FORM FOR SPEAKERS</w:t>
    </w:r>
    <w:r w:rsidRPr="00696B3A">
      <w:t xml:space="preserve"> </w:t>
    </w:r>
    <w:r w:rsidR="00E20E70" w:rsidRPr="00696B3A">
      <w:fldChar w:fldCharType="begin"/>
    </w:r>
    <w:r w:rsidR="00E20E70" w:rsidRPr="00696B3A">
      <w:instrText xml:space="preserve"> DOCPROPERTY "IaeaClassification"  \* MERGEFORMAT </w:instrText>
    </w:r>
    <w:r w:rsidR="00E20E70" w:rsidRPr="00696B3A">
      <w:fldChar w:fldCharType="end"/>
    </w:r>
  </w:p>
  <w:p w14:paraId="14035B7F" w14:textId="1B302573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14035B80" w14:textId="77777777"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035B89" w14:textId="77777777">
      <w:trPr>
        <w:cantSplit/>
        <w:trHeight w:val="716"/>
      </w:trPr>
      <w:tc>
        <w:tcPr>
          <w:tcW w:w="979" w:type="dxa"/>
          <w:vMerge w:val="restart"/>
        </w:tcPr>
        <w:p w14:paraId="14035B85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4035B86" w14:textId="77777777" w:rsidR="00E20E70" w:rsidRDefault="00E20E70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14:paraId="14035B87" w14:textId="7708A023" w:rsidR="00E20E70" w:rsidRPr="002A112E" w:rsidRDefault="002A112E">
          <w:pPr>
            <w:pStyle w:val="zyxConfidBlack"/>
            <w:framePr w:wrap="auto" w:vAnchor="margin" w:hAnchor="text" w:xAlign="left" w:yAlign="inline"/>
            <w:suppressOverlap w:val="0"/>
            <w:rPr>
              <w:b w:val="0"/>
              <w:sz w:val="24"/>
              <w:szCs w:val="24"/>
            </w:rPr>
          </w:pPr>
          <w:bookmarkStart w:id="1" w:name="DOC_bkmClassification1"/>
          <w:r w:rsidRPr="002A112E">
            <w:rPr>
              <w:b w:val="0"/>
              <w:sz w:val="24"/>
              <w:szCs w:val="24"/>
            </w:rPr>
            <w:t>CN-2</w:t>
          </w:r>
          <w:r w:rsidR="00216551">
            <w:rPr>
              <w:b w:val="0"/>
              <w:sz w:val="24"/>
              <w:szCs w:val="24"/>
            </w:rPr>
            <w:t>7</w:t>
          </w:r>
          <w:r w:rsidR="000C5E44">
            <w:rPr>
              <w:b w:val="0"/>
              <w:sz w:val="24"/>
              <w:szCs w:val="24"/>
            </w:rPr>
            <w:t>8</w:t>
          </w:r>
          <w:r w:rsidR="00E20E70" w:rsidRPr="002A112E">
            <w:rPr>
              <w:b w:val="0"/>
              <w:sz w:val="24"/>
              <w:szCs w:val="24"/>
            </w:rPr>
            <w:fldChar w:fldCharType="begin"/>
          </w:r>
          <w:r w:rsidR="00E20E70" w:rsidRPr="002A112E">
            <w:rPr>
              <w:b w:val="0"/>
              <w:sz w:val="24"/>
              <w:szCs w:val="24"/>
            </w:rPr>
            <w:instrText xml:space="preserve"> DOCPROPERTY "IaeaClassification"  \* MERGEFORMAT </w:instrText>
          </w:r>
          <w:r w:rsidR="00E20E70" w:rsidRPr="002A112E">
            <w:rPr>
              <w:b w:val="0"/>
              <w:sz w:val="24"/>
              <w:szCs w:val="24"/>
            </w:rPr>
            <w:fldChar w:fldCharType="end"/>
          </w:r>
        </w:p>
        <w:bookmarkEnd w:id="1"/>
        <w:p w14:paraId="14035B88" w14:textId="55AA3166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14035B8D" w14:textId="77777777">
      <w:trPr>
        <w:cantSplit/>
        <w:trHeight w:val="167"/>
      </w:trPr>
      <w:tc>
        <w:tcPr>
          <w:tcW w:w="979" w:type="dxa"/>
          <w:vMerge/>
        </w:tcPr>
        <w:p w14:paraId="14035B8A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4035B8B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14035B8C" w14:textId="77777777" w:rsidR="00E20E70" w:rsidRDefault="00E20E70">
          <w:pPr>
            <w:pStyle w:val="Heading9"/>
            <w:spacing w:before="0" w:after="10"/>
          </w:pPr>
        </w:p>
      </w:tc>
    </w:tr>
  </w:tbl>
  <w:p w14:paraId="14035B8E" w14:textId="77777777"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094"/>
    <w:multiLevelType w:val="hybridMultilevel"/>
    <w:tmpl w:val="9C7C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91820"/>
    <w:multiLevelType w:val="hybridMultilevel"/>
    <w:tmpl w:val="7904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17F62EC"/>
    <w:multiLevelType w:val="hybridMultilevel"/>
    <w:tmpl w:val="E2B8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469D0"/>
    <w:multiLevelType w:val="hybridMultilevel"/>
    <w:tmpl w:val="3CEED358"/>
    <w:lvl w:ilvl="0" w:tplc="30F6A9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30F66"/>
    <w:multiLevelType w:val="hybridMultilevel"/>
    <w:tmpl w:val="AEA4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79D733A"/>
    <w:multiLevelType w:val="hybridMultilevel"/>
    <w:tmpl w:val="2BCC8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2A112E"/>
    <w:rsid w:val="000229AB"/>
    <w:rsid w:val="0005447B"/>
    <w:rsid w:val="00054E56"/>
    <w:rsid w:val="000858E4"/>
    <w:rsid w:val="00091D36"/>
    <w:rsid w:val="000C5E44"/>
    <w:rsid w:val="000F7E94"/>
    <w:rsid w:val="00136618"/>
    <w:rsid w:val="00191C1E"/>
    <w:rsid w:val="001A0F3E"/>
    <w:rsid w:val="001C4511"/>
    <w:rsid w:val="001C5FA4"/>
    <w:rsid w:val="001E6AE4"/>
    <w:rsid w:val="00216551"/>
    <w:rsid w:val="0025727D"/>
    <w:rsid w:val="00274790"/>
    <w:rsid w:val="002A112E"/>
    <w:rsid w:val="003071C8"/>
    <w:rsid w:val="00307581"/>
    <w:rsid w:val="0032231A"/>
    <w:rsid w:val="00362FBA"/>
    <w:rsid w:val="003D255A"/>
    <w:rsid w:val="00461509"/>
    <w:rsid w:val="00476A00"/>
    <w:rsid w:val="004C6A10"/>
    <w:rsid w:val="004C729E"/>
    <w:rsid w:val="004E69ED"/>
    <w:rsid w:val="004E6B8D"/>
    <w:rsid w:val="004F0D62"/>
    <w:rsid w:val="004F508D"/>
    <w:rsid w:val="005059A3"/>
    <w:rsid w:val="00514DB4"/>
    <w:rsid w:val="00540091"/>
    <w:rsid w:val="00566CF6"/>
    <w:rsid w:val="0058422D"/>
    <w:rsid w:val="005943E0"/>
    <w:rsid w:val="0059639E"/>
    <w:rsid w:val="005A1CB5"/>
    <w:rsid w:val="005A2B91"/>
    <w:rsid w:val="0062419D"/>
    <w:rsid w:val="0063507C"/>
    <w:rsid w:val="00696B3A"/>
    <w:rsid w:val="006A0040"/>
    <w:rsid w:val="006B7D4E"/>
    <w:rsid w:val="0070605F"/>
    <w:rsid w:val="007122CF"/>
    <w:rsid w:val="007445DA"/>
    <w:rsid w:val="007B4144"/>
    <w:rsid w:val="007C0D8E"/>
    <w:rsid w:val="007C1A4F"/>
    <w:rsid w:val="007F238F"/>
    <w:rsid w:val="007F3167"/>
    <w:rsid w:val="008227F9"/>
    <w:rsid w:val="00847DF8"/>
    <w:rsid w:val="00861E28"/>
    <w:rsid w:val="00890265"/>
    <w:rsid w:val="009121D5"/>
    <w:rsid w:val="00930E4D"/>
    <w:rsid w:val="00951F76"/>
    <w:rsid w:val="00954994"/>
    <w:rsid w:val="009D0B86"/>
    <w:rsid w:val="009D4986"/>
    <w:rsid w:val="009E4F9B"/>
    <w:rsid w:val="009F5C31"/>
    <w:rsid w:val="00A06947"/>
    <w:rsid w:val="00A13AED"/>
    <w:rsid w:val="00A65763"/>
    <w:rsid w:val="00A94A93"/>
    <w:rsid w:val="00AE26F1"/>
    <w:rsid w:val="00BC4578"/>
    <w:rsid w:val="00BD1400"/>
    <w:rsid w:val="00BE2A76"/>
    <w:rsid w:val="00C116E5"/>
    <w:rsid w:val="00CB16AB"/>
    <w:rsid w:val="00CE5A52"/>
    <w:rsid w:val="00CF11F9"/>
    <w:rsid w:val="00D15C7E"/>
    <w:rsid w:val="00D24453"/>
    <w:rsid w:val="00D42ABD"/>
    <w:rsid w:val="00D87BEC"/>
    <w:rsid w:val="00DA0E7C"/>
    <w:rsid w:val="00DA46CA"/>
    <w:rsid w:val="00DC3AD6"/>
    <w:rsid w:val="00E20E70"/>
    <w:rsid w:val="00EB7AAD"/>
    <w:rsid w:val="00E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35B36"/>
  <w15:docId w15:val="{87EF0EC9-0BA4-4DBA-977D-5EF635A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49"/>
    <w:rsid w:val="00054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4C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6A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4C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4C6A1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49"/>
    <w:rsid w:val="004C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4C6A1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4C6A10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62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43E0"/>
    <w:rPr>
      <w:sz w:val="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72D8323497419D0B0D490876AA9F" ma:contentTypeVersion="15" ma:contentTypeDescription="Create a new document." ma:contentTypeScope="" ma:versionID="3a24465035cb8b25a2285c02f74eba9b">
  <xsd:schema xmlns:xsd="http://www.w3.org/2001/XMLSchema" xmlns:xs="http://www.w3.org/2001/XMLSchema" xmlns:p="http://schemas.microsoft.com/office/2006/metadata/properties" xmlns:ns2="http://schemas.microsoft.com/sharepoint/v3/fields" xmlns:ns3="9a0cca68-9885-4579-a121-0ff71e341cd0" targetNamespace="http://schemas.microsoft.com/office/2006/metadata/properties" ma:root="true" ma:fieldsID="6df0075af1bdf4a1181bb0cd339a45ba" ns2:_="" ns3:_="">
    <xsd:import namespace="http://schemas.microsoft.com/sharepoint/v3/fields"/>
    <xsd:import namespace="9a0cca68-9885-4579-a121-0ff71e341cd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Version" ma:index="3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ca68-9885-4579-a121-0ff71e341cd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PersistId xmlns="9a0cca68-9885-4579-a121-0ff71e341cd0" xsi:nil="true"/>
    <_DCDateCreated xmlns="http://schemas.microsoft.com/sharepoint/v3/fields" xsi:nil="true"/>
    <_dlc_DocId xmlns="9a0cca68-9885-4579-a121-0ff71e341cd0">4HWPYYT6XAN2-2121337104-24532</_dlc_DocId>
    <_dlc_DocIdUrl xmlns="9a0cca68-9885-4579-a121-0ff71e341cd0">
      <Url>https://nsns-new.sg.iaea.org/meetings/_layouts/15/DocIdRedir.aspx?ID=4HWPYYT6XAN2-2121337104-24532</Url>
      <Description>4HWPYYT6XAN2-2121337104-24532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A9567-E990-4E15-AB36-B9E8CA17D3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3EB13-EB8D-42DF-990F-AACEB0BB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0cca68-9885-4579-a121-0ff71e34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3CFDC-4383-4C63-907D-5F57DDE1C4A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a0cca68-9885-4579-a121-0ff71e341cd0"/>
  </ds:schemaRefs>
</ds:datastoreItem>
</file>

<file path=customXml/itemProps4.xml><?xml version="1.0" encoding="utf-8"?>
<ds:datastoreItem xmlns:ds="http://schemas.openxmlformats.org/officeDocument/2006/customXml" ds:itemID="{2CD2C083-F022-4794-AEFE-64A054839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MORRISON, Karen</dc:creator>
  <cp:lastModifiedBy>elijah</cp:lastModifiedBy>
  <cp:revision>2</cp:revision>
  <cp:lastPrinted>2015-03-25T13:45:00Z</cp:lastPrinted>
  <dcterms:created xsi:type="dcterms:W3CDTF">2020-01-27T23:45:00Z</dcterms:created>
  <dcterms:modified xsi:type="dcterms:W3CDTF">2020-01-27T23:45:00Z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0x010100D90D72D8323497419D0B0D490876AA9F</vt:lpwstr>
  </property>
  <property fmtid="{D5CDD505-2E9C-101B-9397-08002B2CF9AE}" pid="12" name="_dlc_DocIdItemGuid">
    <vt:lpwstr>7c9904fe-890b-4495-83e6-58a041f9753c</vt:lpwstr>
  </property>
</Properties>
</file>