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0C77B" w14:textId="0FD83AD4" w:rsidR="00B82FA5" w:rsidRPr="00EE29B9" w:rsidRDefault="004D7F4F" w:rsidP="000A1293">
      <w:pPr>
        <w:pStyle w:val="Heading1"/>
        <w:ind w:right="2907"/>
      </w:pPr>
      <w:r w:rsidRPr="004D7F4F">
        <w:t>Developing Computer Security</w:t>
      </w:r>
      <w:r w:rsidR="000B4F4A">
        <w:t xml:space="preserve"> </w:t>
      </w:r>
      <w:r w:rsidRPr="004D7F4F">
        <w:t>Regulations for Radioactive Material and Associated Facilities</w:t>
      </w:r>
    </w:p>
    <w:p w14:paraId="0D9180F2" w14:textId="77777777" w:rsidR="00802381" w:rsidRDefault="00802381" w:rsidP="00537496">
      <w:pPr>
        <w:pStyle w:val="Authornameandaffiliation"/>
      </w:pPr>
    </w:p>
    <w:p w14:paraId="220C6D6D" w14:textId="77777777" w:rsidR="003B5E0E" w:rsidRPr="000A1293" w:rsidRDefault="000A1293" w:rsidP="00537496">
      <w:pPr>
        <w:pStyle w:val="Authornameandaffiliation"/>
        <w:rPr>
          <w:caps/>
        </w:rPr>
      </w:pPr>
      <w:r>
        <w:rPr>
          <w:caps/>
        </w:rPr>
        <w:t>F.A. morris</w:t>
      </w:r>
    </w:p>
    <w:p w14:paraId="51CEBA33" w14:textId="77777777" w:rsidR="00FF386F" w:rsidRDefault="000A1293" w:rsidP="00537496">
      <w:pPr>
        <w:pStyle w:val="Authornameandaffiliation"/>
      </w:pPr>
      <w:r>
        <w:t>Pacific Northwest National Laboratory</w:t>
      </w:r>
    </w:p>
    <w:p w14:paraId="02CA1AEF" w14:textId="77777777" w:rsidR="00FF386F" w:rsidRDefault="000A1293" w:rsidP="00537496">
      <w:pPr>
        <w:pStyle w:val="Authornameandaffiliation"/>
      </w:pPr>
      <w:r>
        <w:t>Seattle</w:t>
      </w:r>
      <w:r w:rsidR="00FF386F">
        <w:t xml:space="preserve">, </w:t>
      </w:r>
      <w:r>
        <w:t>WA, United States of America</w:t>
      </w:r>
    </w:p>
    <w:p w14:paraId="1E780596" w14:textId="77777777" w:rsidR="00FF386F" w:rsidRDefault="00FF386F" w:rsidP="00537496">
      <w:pPr>
        <w:pStyle w:val="Authornameandaffiliation"/>
      </w:pPr>
      <w:r>
        <w:t>Email:</w:t>
      </w:r>
      <w:r w:rsidR="000A1293">
        <w:t xml:space="preserve"> fa.morris@pnnl.gov</w:t>
      </w:r>
    </w:p>
    <w:p w14:paraId="7D7B1F43" w14:textId="77777777" w:rsidR="00FF386F" w:rsidRDefault="00FF386F" w:rsidP="00537496">
      <w:pPr>
        <w:pStyle w:val="Authornameandaffiliation"/>
      </w:pPr>
    </w:p>
    <w:p w14:paraId="26494713" w14:textId="77777777" w:rsidR="00D14070" w:rsidRPr="000A1293" w:rsidRDefault="00D14070" w:rsidP="00D14070">
      <w:pPr>
        <w:pStyle w:val="Authornameandaffiliation"/>
        <w:rPr>
          <w:caps/>
        </w:rPr>
      </w:pPr>
      <w:r>
        <w:rPr>
          <w:caps/>
        </w:rPr>
        <w:t>r.a. weise</w:t>
      </w:r>
    </w:p>
    <w:p w14:paraId="643859C6" w14:textId="77777777" w:rsidR="00D14070" w:rsidRDefault="00D14070" w:rsidP="00D14070">
      <w:pPr>
        <w:pStyle w:val="Authornameandaffiliation"/>
      </w:pPr>
      <w:r>
        <w:t>Pacific Northwest National Laboratory</w:t>
      </w:r>
    </w:p>
    <w:p w14:paraId="60D8F1C5" w14:textId="77777777" w:rsidR="00D14070" w:rsidRPr="00FF386F" w:rsidRDefault="00D14070" w:rsidP="00D14070">
      <w:pPr>
        <w:pStyle w:val="Authornameandaffiliation"/>
      </w:pPr>
      <w:r>
        <w:t>Seattle, WA, United States of America</w:t>
      </w:r>
    </w:p>
    <w:p w14:paraId="176672D0" w14:textId="77777777" w:rsidR="00D14070" w:rsidRDefault="00D14070" w:rsidP="00E75F5D">
      <w:pPr>
        <w:pStyle w:val="Authornameandaffiliation"/>
        <w:rPr>
          <w:caps/>
        </w:rPr>
      </w:pPr>
    </w:p>
    <w:p w14:paraId="776B4107" w14:textId="263697B3" w:rsidR="00E75F5D" w:rsidRPr="000A1293" w:rsidRDefault="005538B0" w:rsidP="00E75F5D">
      <w:pPr>
        <w:pStyle w:val="Authornameandaffiliation"/>
        <w:rPr>
          <w:caps/>
        </w:rPr>
      </w:pPr>
      <w:r>
        <w:rPr>
          <w:caps/>
        </w:rPr>
        <w:t>d.a. donnelly</w:t>
      </w:r>
    </w:p>
    <w:p w14:paraId="68AA94C3" w14:textId="77777777" w:rsidR="00E75F5D" w:rsidRDefault="00E75F5D" w:rsidP="00E75F5D">
      <w:pPr>
        <w:pStyle w:val="Authornameandaffiliation"/>
      </w:pPr>
      <w:r>
        <w:t>Pacific Northwest National Laboratory</w:t>
      </w:r>
    </w:p>
    <w:p w14:paraId="7319FA58" w14:textId="77777777" w:rsidR="00E75F5D" w:rsidRDefault="00E75F5D" w:rsidP="00E75F5D">
      <w:pPr>
        <w:pStyle w:val="Authornameandaffiliation"/>
        <w:rPr>
          <w:caps/>
        </w:rPr>
      </w:pPr>
      <w:r>
        <w:t>Seattle, WA, United States of America</w:t>
      </w:r>
    </w:p>
    <w:p w14:paraId="22F083F7" w14:textId="77777777" w:rsidR="00FF386F" w:rsidRDefault="00FF386F" w:rsidP="00D14070">
      <w:pPr>
        <w:pStyle w:val="Authornameandaffiliation"/>
        <w:ind w:left="0"/>
      </w:pPr>
    </w:p>
    <w:p w14:paraId="00036301" w14:textId="77777777" w:rsidR="00647F33" w:rsidRPr="00647F33" w:rsidRDefault="00647F33" w:rsidP="00537496">
      <w:pPr>
        <w:pStyle w:val="Authornameandaffiliation"/>
        <w:rPr>
          <w:b/>
        </w:rPr>
      </w:pPr>
      <w:r w:rsidRPr="00647F33">
        <w:rPr>
          <w:b/>
        </w:rPr>
        <w:t>Abstract</w:t>
      </w:r>
    </w:p>
    <w:p w14:paraId="1CF9C50A" w14:textId="77777777" w:rsidR="00647F33" w:rsidRDefault="00647F33" w:rsidP="00537496">
      <w:pPr>
        <w:pStyle w:val="Authornameandaffiliation"/>
      </w:pPr>
    </w:p>
    <w:p w14:paraId="4765A92F" w14:textId="01E5171C" w:rsidR="00C57E66" w:rsidRPr="00C57E66" w:rsidRDefault="00C57E66" w:rsidP="00642F09">
      <w:pPr>
        <w:pStyle w:val="Abstracttext"/>
        <w:jc w:val="both"/>
      </w:pPr>
      <w:r w:rsidRPr="00C57E66">
        <w:t>Radioactive material and associated facilities are vulnerable to cyberattack. Possible adversary scenarios include disabling or spoofing computer-based security systems to gain unauthorized access to radioactive material, to an associated facility, or to security-sensitive information; compromise of computer-based accounting and inventory systems to mask theft or diversion of radioactive material by insiders; and sabotage of computer-based safety or operational systems in order to cause the release of radiation. To counter such scenarios, many regulatory bodies are developing or considering the development of regulatory requirements for computer security, as recommended by current and forthcoming International Atomic Energy Agency (IAEA) guidance.</w:t>
      </w:r>
    </w:p>
    <w:p w14:paraId="2218571A" w14:textId="77777777" w:rsidR="00C57E66" w:rsidRPr="00C57E66" w:rsidRDefault="00C57E66" w:rsidP="00642F09">
      <w:pPr>
        <w:pStyle w:val="Abstracttext"/>
        <w:jc w:val="both"/>
      </w:pPr>
      <w:r w:rsidRPr="00C57E66">
        <w:t>The paper presents a framework that regulatory bodies could use to undertake this process. The framework consists of a series of questions that the regulatory body could address in deciding whether and how to develop regulatory requirements for computer security, as well considerations that would go into addressing those questions. The questions addressed include:</w:t>
      </w:r>
    </w:p>
    <w:p w14:paraId="1AD250EC" w14:textId="77777777" w:rsidR="00C57E66" w:rsidRPr="00C57E66" w:rsidRDefault="00C57E66" w:rsidP="00B750EF">
      <w:pPr>
        <w:pStyle w:val="Abstracttext"/>
        <w:numPr>
          <w:ilvl w:val="0"/>
          <w:numId w:val="11"/>
        </w:numPr>
        <w:jc w:val="both"/>
      </w:pPr>
      <w:r w:rsidRPr="00C57E66">
        <w:t xml:space="preserve">whether the regulatory body has the legal authority to impose computer security requirements; </w:t>
      </w:r>
    </w:p>
    <w:p w14:paraId="1177245C" w14:textId="0A8EF8D5" w:rsidR="00C57E66" w:rsidRPr="00C57E66" w:rsidRDefault="00C63938" w:rsidP="00B750EF">
      <w:pPr>
        <w:pStyle w:val="Abstracttext"/>
        <w:numPr>
          <w:ilvl w:val="0"/>
          <w:numId w:val="11"/>
        </w:numPr>
        <w:jc w:val="both"/>
      </w:pPr>
      <w:r>
        <w:t>where</w:t>
      </w:r>
      <w:r w:rsidR="00C57E66" w:rsidRPr="00C57E66">
        <w:t xml:space="preserve"> to </w:t>
      </w:r>
      <w:r>
        <w:t>locate</w:t>
      </w:r>
      <w:r w:rsidR="00C57E66" w:rsidRPr="00C57E66">
        <w:t xml:space="preserve"> computer security requirements </w:t>
      </w:r>
      <w:r>
        <w:t xml:space="preserve">within </w:t>
      </w:r>
      <w:r w:rsidR="00694E54">
        <w:t>the regulatory structure for nuclear security – e.g.</w:t>
      </w:r>
      <w:r w:rsidR="00AE2E8B">
        <w:t>,</w:t>
      </w:r>
      <w:r w:rsidR="00694E54">
        <w:t xml:space="preserve"> </w:t>
      </w:r>
      <w:r w:rsidR="00C57E66" w:rsidRPr="00C57E66">
        <w:t xml:space="preserve">as part of general </w:t>
      </w:r>
      <w:r w:rsidR="00694E54">
        <w:t xml:space="preserve">nuclear </w:t>
      </w:r>
      <w:r w:rsidR="00C57E66" w:rsidRPr="00C57E66">
        <w:t xml:space="preserve">security regulations or as separate requirements; </w:t>
      </w:r>
    </w:p>
    <w:p w14:paraId="22BAA0DC" w14:textId="77777777" w:rsidR="00C57E66" w:rsidRPr="00C57E66" w:rsidRDefault="00C57E66" w:rsidP="00B750EF">
      <w:pPr>
        <w:pStyle w:val="Abstracttext"/>
        <w:numPr>
          <w:ilvl w:val="0"/>
          <w:numId w:val="11"/>
        </w:numPr>
        <w:jc w:val="both"/>
      </w:pPr>
      <w:r w:rsidRPr="00C57E66">
        <w:t xml:space="preserve">what other competent authorities may need to be involved in the development and implementation of computer security requirements; </w:t>
      </w:r>
    </w:p>
    <w:p w14:paraId="6CB9DDAD" w14:textId="77777777" w:rsidR="00C57E66" w:rsidRPr="00C57E66" w:rsidRDefault="00C57E66" w:rsidP="00B750EF">
      <w:pPr>
        <w:pStyle w:val="Abstracttext"/>
        <w:numPr>
          <w:ilvl w:val="0"/>
          <w:numId w:val="11"/>
        </w:numPr>
        <w:jc w:val="both"/>
      </w:pPr>
      <w:r w:rsidRPr="00C57E66">
        <w:t xml:space="preserve">whether to use a performance based, prescriptive or combined approach to computer security requirements; </w:t>
      </w:r>
    </w:p>
    <w:p w14:paraId="317A3A2C" w14:textId="50B411B7" w:rsidR="00C57E66" w:rsidRPr="00C57E66" w:rsidRDefault="00D70CF8" w:rsidP="00B750EF">
      <w:pPr>
        <w:pStyle w:val="Abstracttext"/>
        <w:numPr>
          <w:ilvl w:val="0"/>
          <w:numId w:val="11"/>
        </w:numPr>
        <w:jc w:val="both"/>
      </w:pPr>
      <w:r>
        <w:t>what</w:t>
      </w:r>
      <w:r w:rsidR="00C57E66" w:rsidRPr="00C57E66">
        <w:t xml:space="preserve"> types of </w:t>
      </w:r>
      <w:r w:rsidR="00CF756B">
        <w:t>targets</w:t>
      </w:r>
      <w:r w:rsidR="00C57E66" w:rsidRPr="00C57E66">
        <w:t xml:space="preserve"> the computer security measures implemented by </w:t>
      </w:r>
      <w:r w:rsidR="00572B08">
        <w:t>licensee</w:t>
      </w:r>
      <w:r w:rsidR="00C57E66" w:rsidRPr="00C57E66">
        <w:t xml:space="preserve">s should </w:t>
      </w:r>
      <w:r w:rsidR="00CF756B">
        <w:t>protect</w:t>
      </w:r>
      <w:r w:rsidR="00C57E66" w:rsidRPr="00C57E66">
        <w:t xml:space="preserve">; </w:t>
      </w:r>
    </w:p>
    <w:p w14:paraId="39167B6F" w14:textId="61E4B5B3" w:rsidR="00C57E66" w:rsidRPr="00C57E66" w:rsidRDefault="00D70CF8" w:rsidP="00B750EF">
      <w:pPr>
        <w:pStyle w:val="Abstracttext"/>
        <w:numPr>
          <w:ilvl w:val="0"/>
          <w:numId w:val="11"/>
        </w:numPr>
        <w:jc w:val="both"/>
      </w:pPr>
      <w:r>
        <w:t>what</w:t>
      </w:r>
      <w:r w:rsidR="00C57E66" w:rsidRPr="00C57E66">
        <w:t xml:space="preserve"> </w:t>
      </w:r>
      <w:r w:rsidR="00DE5360">
        <w:t>basic content the regulation</w:t>
      </w:r>
      <w:r>
        <w:t xml:space="preserve"> should include</w:t>
      </w:r>
      <w:r w:rsidR="00C57E66" w:rsidRPr="00C57E66">
        <w:t xml:space="preserve">; </w:t>
      </w:r>
    </w:p>
    <w:p w14:paraId="17BDB1FB" w14:textId="29ECBE6D" w:rsidR="000C26C7" w:rsidRDefault="00C57E66" w:rsidP="00B750EF">
      <w:pPr>
        <w:pStyle w:val="Abstracttext"/>
        <w:numPr>
          <w:ilvl w:val="0"/>
          <w:numId w:val="11"/>
        </w:numPr>
        <w:jc w:val="both"/>
      </w:pPr>
      <w:r w:rsidRPr="00C57E66">
        <w:t>whether to vary the requirements based on practices (e.g.</w:t>
      </w:r>
      <w:r w:rsidR="00AE2E8B">
        <w:t>,</w:t>
      </w:r>
      <w:r w:rsidRPr="00C57E66">
        <w:t xml:space="preserve"> teletherapy versus industrial irradiator) or keep them generally applicable to all practices;</w:t>
      </w:r>
    </w:p>
    <w:p w14:paraId="2E8A15CF" w14:textId="62BFBD39" w:rsidR="00C57E66" w:rsidRPr="00C57E66" w:rsidRDefault="000C26C7" w:rsidP="00B750EF">
      <w:pPr>
        <w:pStyle w:val="Abstracttext"/>
        <w:numPr>
          <w:ilvl w:val="0"/>
          <w:numId w:val="11"/>
        </w:numPr>
        <w:jc w:val="both"/>
      </w:pPr>
      <w:r>
        <w:t>whether to develop implementing guidance</w:t>
      </w:r>
      <w:r w:rsidR="001F1BC3">
        <w:t>, and if so, how to allocate topics between the regulation and guidance;</w:t>
      </w:r>
      <w:r w:rsidR="00C57E66" w:rsidRPr="00C57E66">
        <w:t xml:space="preserve"> and </w:t>
      </w:r>
    </w:p>
    <w:p w14:paraId="027380CB" w14:textId="5278BC68" w:rsidR="00C57E66" w:rsidRPr="00C57E66" w:rsidRDefault="00C57E66" w:rsidP="00B750EF">
      <w:pPr>
        <w:pStyle w:val="Abstracttext"/>
        <w:numPr>
          <w:ilvl w:val="0"/>
          <w:numId w:val="11"/>
        </w:numPr>
        <w:jc w:val="both"/>
      </w:pPr>
      <w:r w:rsidRPr="00C57E66">
        <w:t xml:space="preserve">how the </w:t>
      </w:r>
      <w:r w:rsidR="00572B08">
        <w:t>licensee</w:t>
      </w:r>
      <w:r w:rsidRPr="00C57E66">
        <w:t xml:space="preserve"> will be directed to document compliance with the resulting requirements, for example in the </w:t>
      </w:r>
      <w:r w:rsidR="00572B08">
        <w:t>licensee</w:t>
      </w:r>
      <w:r w:rsidRPr="00C57E66">
        <w:t xml:space="preserve">’s security plan or in a separate computer security plan. </w:t>
      </w:r>
    </w:p>
    <w:p w14:paraId="3508DE26" w14:textId="24209003" w:rsidR="00647F33" w:rsidRPr="00BD605C" w:rsidRDefault="00C57E66" w:rsidP="00642F09">
      <w:pPr>
        <w:pStyle w:val="Abstracttext"/>
        <w:jc w:val="both"/>
      </w:pPr>
      <w:r w:rsidRPr="00C57E66">
        <w:rPr>
          <w:lang w:val="en-GB"/>
        </w:rPr>
        <w:t>The paper also provides example regulatory provisions for different regulatory approaches to computer security. The result is a tool that can be used by regulatory bodies directly, in bilateral or multilateral regulatory development workshops, and in training on this topic</w:t>
      </w:r>
      <w:r w:rsidR="00442074">
        <w:t>.</w:t>
      </w:r>
    </w:p>
    <w:p w14:paraId="303F28BB" w14:textId="77777777" w:rsidR="00647F33" w:rsidRPr="00E70CA5" w:rsidRDefault="00F523CA" w:rsidP="00E70CA5">
      <w:pPr>
        <w:pStyle w:val="Heading2"/>
      </w:pPr>
      <w:r w:rsidRPr="00E70CA5">
        <w:t>INTRODUCTION</w:t>
      </w:r>
    </w:p>
    <w:p w14:paraId="44B7D3B2" w14:textId="17A038C0" w:rsidR="00EE0041" w:rsidRDefault="00A21C3D" w:rsidP="00537496">
      <w:pPr>
        <w:pStyle w:val="BodyText"/>
      </w:pPr>
      <w:r>
        <w:t>Security of radioactive material</w:t>
      </w:r>
      <w:r w:rsidR="0086652F">
        <w:t xml:space="preserve"> </w:t>
      </w:r>
      <w:r w:rsidR="00F4697C">
        <w:t>and associated facilities is a relatively new topic</w:t>
      </w:r>
      <w:r w:rsidR="006542F5">
        <w:t>.</w:t>
      </w:r>
      <w:r w:rsidR="00F7702F">
        <w:t xml:space="preserve"> </w:t>
      </w:r>
      <w:r w:rsidR="0078618E">
        <w:t xml:space="preserve">The </w:t>
      </w:r>
      <w:r w:rsidR="002F1E5A" w:rsidRPr="00917218">
        <w:rPr>
          <w:i/>
        </w:rPr>
        <w:t>Code of Conduct on the Safety and Security of Radioactive Sources</w:t>
      </w:r>
      <w:r w:rsidR="002F1E5A">
        <w:t xml:space="preserve"> (Code or Code of Conduct) [1]</w:t>
      </w:r>
      <w:r w:rsidR="00B2029C">
        <w:t>, approved by the IAEA Board of Governors in 2003,</w:t>
      </w:r>
      <w:r w:rsidR="002F1E5A">
        <w:t xml:space="preserve"> was the first international instrument </w:t>
      </w:r>
      <w:r w:rsidR="00C411B1">
        <w:t xml:space="preserve">to call for </w:t>
      </w:r>
      <w:r w:rsidR="009B6DED">
        <w:t xml:space="preserve">the protection of radioactive material </w:t>
      </w:r>
      <w:r w:rsidR="00C37610">
        <w:t xml:space="preserve">against malicious acts, through an effective national </w:t>
      </w:r>
      <w:r w:rsidR="0007544E">
        <w:t>legislative and regulatory system of control</w:t>
      </w:r>
      <w:r w:rsidR="00B2029C">
        <w:t>.</w:t>
      </w:r>
      <w:r w:rsidR="000A5177">
        <w:t xml:space="preserve"> </w:t>
      </w:r>
      <w:r w:rsidR="005E603D">
        <w:t>Interim IAEA guidance on the security of radioactive sources was issued that same year</w:t>
      </w:r>
      <w:r w:rsidR="00964C79">
        <w:t xml:space="preserve"> [2]</w:t>
      </w:r>
      <w:r w:rsidR="005E603D">
        <w:t xml:space="preserve">. </w:t>
      </w:r>
      <w:r w:rsidR="000A5177">
        <w:t xml:space="preserve">The first IAEA </w:t>
      </w:r>
      <w:r w:rsidR="005E603D">
        <w:t xml:space="preserve">Nuclear Security Series </w:t>
      </w:r>
      <w:r w:rsidR="00C558D3">
        <w:t xml:space="preserve">(NSS) </w:t>
      </w:r>
      <w:r w:rsidR="000A5177">
        <w:t xml:space="preserve">guidance on the security of radioactive material, including guidance on developing a regulatory programme, </w:t>
      </w:r>
      <w:r w:rsidR="008C5A9E">
        <w:t xml:space="preserve">was published in </w:t>
      </w:r>
      <w:r w:rsidR="00D3306A">
        <w:t>2009 [</w:t>
      </w:r>
      <w:r w:rsidR="00964C79">
        <w:t>3</w:t>
      </w:r>
      <w:r w:rsidR="00D3306A">
        <w:t>].</w:t>
      </w:r>
    </w:p>
    <w:p w14:paraId="41A1B438" w14:textId="1D11F155" w:rsidR="00983B0E" w:rsidRDefault="000E2A58" w:rsidP="00674BF8">
      <w:pPr>
        <w:pStyle w:val="BodyText"/>
      </w:pPr>
      <w:r>
        <w:lastRenderedPageBreak/>
        <w:t>Computer security</w:t>
      </w:r>
      <w:r w:rsidR="00AE2E8B">
        <w:t>,</w:t>
      </w:r>
      <w:r w:rsidR="00B136E0">
        <w:rPr>
          <w:rStyle w:val="FootnoteReference"/>
        </w:rPr>
        <w:footnoteReference w:id="2"/>
      </w:r>
      <w:r>
        <w:t xml:space="preserve"> as it relates to nuclear security</w:t>
      </w:r>
      <w:r w:rsidR="003E486B">
        <w:t xml:space="preserve">, is an even newer </w:t>
      </w:r>
      <w:r w:rsidR="00454FAB">
        <w:t>subject</w:t>
      </w:r>
      <w:r w:rsidR="00EE36D4">
        <w:t xml:space="preserve">, addressed briefly in </w:t>
      </w:r>
      <w:r w:rsidR="00513202" w:rsidRPr="00F133F3">
        <w:rPr>
          <w:i/>
        </w:rPr>
        <w:t>Nuclear Security Recommendations on Physical Protection of Nuclear Material and Nuclear Facilities</w:t>
      </w:r>
      <w:r w:rsidR="00513202">
        <w:t xml:space="preserve"> </w:t>
      </w:r>
      <w:r w:rsidR="00513202" w:rsidRPr="00376F95">
        <w:rPr>
          <w:i/>
        </w:rPr>
        <w:t>(INFCIRC/225/Revision 5)</w:t>
      </w:r>
      <w:r w:rsidR="00F133F3">
        <w:t xml:space="preserve"> (</w:t>
      </w:r>
      <w:r w:rsidR="0073486E">
        <w:t>2011) [4]</w:t>
      </w:r>
      <w:r w:rsidR="00785B4B">
        <w:t xml:space="preserve"> and more </w:t>
      </w:r>
      <w:r w:rsidR="008B2DAE">
        <w:t>fully</w:t>
      </w:r>
      <w:r w:rsidR="00785B4B">
        <w:t xml:space="preserve"> in </w:t>
      </w:r>
      <w:r w:rsidR="00976409" w:rsidRPr="00C55555">
        <w:rPr>
          <w:i/>
        </w:rPr>
        <w:t>Comp</w:t>
      </w:r>
      <w:r w:rsidR="00C55555" w:rsidRPr="00C55555">
        <w:rPr>
          <w:i/>
        </w:rPr>
        <w:t>uter Security at Nuclear Facilities</w:t>
      </w:r>
      <w:r w:rsidR="00C55555">
        <w:t xml:space="preserve"> (2011) [5].</w:t>
      </w:r>
      <w:r w:rsidR="00F65F59">
        <w:t xml:space="preserve"> No current NSS publication specifically addresses </w:t>
      </w:r>
      <w:r w:rsidR="00174AAF">
        <w:t>computer security for radioactive material</w:t>
      </w:r>
      <w:r w:rsidR="00544EA2">
        <w:t xml:space="preserve"> and</w:t>
      </w:r>
      <w:r w:rsidR="00174AAF">
        <w:t xml:space="preserve"> associated </w:t>
      </w:r>
      <w:r w:rsidR="00544EA2">
        <w:t>facilities</w:t>
      </w:r>
      <w:r w:rsidR="00174AAF">
        <w:t>, a</w:t>
      </w:r>
      <w:r w:rsidR="00C75801">
        <w:t xml:space="preserve">lthough an implementing guide covering computer security </w:t>
      </w:r>
      <w:r w:rsidR="009A4E26">
        <w:t>throughout the</w:t>
      </w:r>
      <w:r w:rsidR="00357ED5">
        <w:t xml:space="preserve"> nuclear security </w:t>
      </w:r>
      <w:r w:rsidR="009A4E26">
        <w:t xml:space="preserve">regime </w:t>
      </w:r>
      <w:r w:rsidR="00357ED5">
        <w:t>[6] will soon be published</w:t>
      </w:r>
      <w:r w:rsidR="00C20A3B">
        <w:t xml:space="preserve"> and more detailed guidance </w:t>
      </w:r>
      <w:r w:rsidR="00A904CB">
        <w:t>focused on computer security for radioactive material, associated facilities, and associated activities is in preparation [7].</w:t>
      </w:r>
    </w:p>
    <w:p w14:paraId="568D89B4" w14:textId="77BE61AC" w:rsidR="004656FC" w:rsidRDefault="005655D5" w:rsidP="00674BF8">
      <w:pPr>
        <w:pStyle w:val="BodyText"/>
      </w:pPr>
      <w:r>
        <w:t xml:space="preserve">In the absence </w:t>
      </w:r>
      <w:r w:rsidR="00E02C41">
        <w:t xml:space="preserve">of specific </w:t>
      </w:r>
      <w:r w:rsidR="00B363E7">
        <w:t xml:space="preserve">international </w:t>
      </w:r>
      <w:r w:rsidR="00E02C41">
        <w:t xml:space="preserve">guidance, the radiological security community has nonetheless recognized the importance of </w:t>
      </w:r>
      <w:r w:rsidR="00235C0C">
        <w:t>computer securit</w:t>
      </w:r>
      <w:r w:rsidR="00DF4669">
        <w:t>y</w:t>
      </w:r>
      <w:r w:rsidR="00235C0C">
        <w:t xml:space="preserve">. In the United States, </w:t>
      </w:r>
      <w:r w:rsidR="006E42F3">
        <w:t>the Nuclear Regulatory Commission</w:t>
      </w:r>
      <w:r w:rsidR="006C6453">
        <w:t xml:space="preserve"> (NRC)</w:t>
      </w:r>
      <w:r w:rsidR="00EB7CC5">
        <w:t>/</w:t>
      </w:r>
      <w:r w:rsidR="00722553" w:rsidRPr="00722553">
        <w:t xml:space="preserve"> </w:t>
      </w:r>
      <w:r w:rsidR="00722553">
        <w:t xml:space="preserve">Agreement State </w:t>
      </w:r>
      <w:proofErr w:type="spellStart"/>
      <w:r w:rsidR="00722553">
        <w:t>Byproduct</w:t>
      </w:r>
      <w:proofErr w:type="spellEnd"/>
      <w:r w:rsidR="00722553">
        <w:t xml:space="preserve"> Materials Cyber Security Working Group </w:t>
      </w:r>
      <w:r w:rsidR="009469BB">
        <w:t xml:space="preserve">recently </w:t>
      </w:r>
      <w:r w:rsidR="00283401">
        <w:t>assessed</w:t>
      </w:r>
      <w:r w:rsidR="000B78D2">
        <w:t xml:space="preserve"> strategies for p</w:t>
      </w:r>
      <w:r w:rsidR="005670F1">
        <w:t>reventing</w:t>
      </w:r>
      <w:r w:rsidR="00B363E7">
        <w:t xml:space="preserve"> and mitigating </w:t>
      </w:r>
      <w:r w:rsidR="00D340C9">
        <w:t xml:space="preserve">computer security vulnerabilities for </w:t>
      </w:r>
      <w:r w:rsidR="00B75511">
        <w:t>Category-</w:t>
      </w:r>
      <w:r w:rsidR="00D340C9">
        <w:t xml:space="preserve">1 and 2 radioactive </w:t>
      </w:r>
      <w:r w:rsidR="00005FE7">
        <w:t>sources.</w:t>
      </w:r>
      <w:r w:rsidR="00ED502B">
        <w:t xml:space="preserve"> While</w:t>
      </w:r>
      <w:r w:rsidR="00283401">
        <w:t xml:space="preserve"> NR</w:t>
      </w:r>
      <w:r w:rsidR="00313838">
        <w:t xml:space="preserve">C decided not to develop new </w:t>
      </w:r>
      <w:r w:rsidR="005A1A61">
        <w:t>regulatory requirements</w:t>
      </w:r>
      <w:r w:rsidR="00313838">
        <w:t xml:space="preserve"> for </w:t>
      </w:r>
      <w:r w:rsidR="00D76E89">
        <w:t xml:space="preserve">protection of radioactive material against cyber threats, </w:t>
      </w:r>
      <w:r w:rsidR="001E19AD">
        <w:t>it issued an Information Not</w:t>
      </w:r>
      <w:r w:rsidR="00D959C0">
        <w:t>ice</w:t>
      </w:r>
      <w:r w:rsidR="001E19AD">
        <w:t xml:space="preserve"> </w:t>
      </w:r>
      <w:r w:rsidR="0061246F">
        <w:t>des</w:t>
      </w:r>
      <w:r w:rsidR="00CB0AF2">
        <w:t>cribing</w:t>
      </w:r>
      <w:r w:rsidR="00440934">
        <w:t xml:space="preserve"> best practices </w:t>
      </w:r>
      <w:r w:rsidR="00CB0AF2">
        <w:t xml:space="preserve">that </w:t>
      </w:r>
      <w:r w:rsidR="00DD435C">
        <w:t>radioactive material licensees</w:t>
      </w:r>
      <w:r w:rsidR="00D73DA3">
        <w:t xml:space="preserve"> can use to protect their digital assets </w:t>
      </w:r>
      <w:r w:rsidR="00DD435C">
        <w:t>[8].</w:t>
      </w:r>
      <w:r w:rsidR="00AA49E9">
        <w:t xml:space="preserve"> Similarly, the National Nuclear </w:t>
      </w:r>
      <w:r w:rsidR="00EC1F69">
        <w:t xml:space="preserve">Security Administration (NNSA) Office of Radiological Security (ORS) </w:t>
      </w:r>
      <w:r w:rsidR="002651FB">
        <w:t xml:space="preserve">has issued the publication </w:t>
      </w:r>
      <w:r w:rsidR="00AC78DD">
        <w:rPr>
          <w:i/>
        </w:rPr>
        <w:t>Cybersecurity Best Practices for Users of Radioactive Sources</w:t>
      </w:r>
      <w:r w:rsidR="00544F3A">
        <w:t xml:space="preserve"> [9].</w:t>
      </w:r>
    </w:p>
    <w:p w14:paraId="35CCC49D" w14:textId="14B0DD77" w:rsidR="000E2A58" w:rsidRDefault="00237A0E" w:rsidP="00674BF8">
      <w:pPr>
        <w:pStyle w:val="BodyText"/>
      </w:pPr>
      <w:r>
        <w:t>Recognizing the growing threat</w:t>
      </w:r>
      <w:r w:rsidR="00DF0198">
        <w:t xml:space="preserve"> and in anticipation of specific IAEA guidance, regulatory bodies around the world are considering whether and how to develop </w:t>
      </w:r>
      <w:r w:rsidR="009E31DD">
        <w:t xml:space="preserve">computer security regulations for radioactive material and associated facilities. </w:t>
      </w:r>
      <w:r w:rsidR="009E51E5" w:rsidRPr="009E51E5">
        <w:t xml:space="preserve">The remainder of the </w:t>
      </w:r>
      <w:r w:rsidR="009E51E5" w:rsidRPr="00C57E66">
        <w:rPr>
          <w:lang w:val="en-US"/>
        </w:rPr>
        <w:t xml:space="preserve">paper presents a framework that regulatory bodies could use to undertake this process. </w:t>
      </w:r>
    </w:p>
    <w:p w14:paraId="1F2BF76B" w14:textId="4C326E09" w:rsidR="00EE0041" w:rsidRDefault="00266DC9" w:rsidP="00E70CA5">
      <w:pPr>
        <w:pStyle w:val="Heading2"/>
      </w:pPr>
      <w:r>
        <w:t xml:space="preserve">framework for developing </w:t>
      </w:r>
      <w:r w:rsidR="0007544E">
        <w:t xml:space="preserve">computer security </w:t>
      </w:r>
      <w:r>
        <w:t>regulations</w:t>
      </w:r>
    </w:p>
    <w:p w14:paraId="74BF8967" w14:textId="69ACCB8F" w:rsidR="00EE0041" w:rsidRDefault="00640680" w:rsidP="00537496">
      <w:pPr>
        <w:pStyle w:val="BodyText"/>
      </w:pPr>
      <w:r w:rsidRPr="00640680">
        <w:t xml:space="preserve">The framework consists of a series of questions that the regulatory body could address </w:t>
      </w:r>
      <w:r w:rsidR="00866BE3">
        <w:t xml:space="preserve">as it </w:t>
      </w:r>
      <w:r w:rsidRPr="00640680">
        <w:t>develop</w:t>
      </w:r>
      <w:r w:rsidR="00866BE3">
        <w:t>s</w:t>
      </w:r>
      <w:r w:rsidRPr="00640680">
        <w:t xml:space="preserve"> regulatory requirements for computer security, as well considerations that would go into addressing those questions</w:t>
      </w:r>
      <w:r w:rsidR="008B6BB9">
        <w:t>.</w:t>
      </w:r>
    </w:p>
    <w:p w14:paraId="730723D5" w14:textId="53438055" w:rsidR="008B6BB9" w:rsidRPr="00E70CA5" w:rsidRDefault="00C4019D" w:rsidP="00E70CA5">
      <w:pPr>
        <w:pStyle w:val="Heading3"/>
      </w:pPr>
      <w:r>
        <w:t xml:space="preserve">Legal </w:t>
      </w:r>
      <w:r w:rsidR="006C772C">
        <w:t>a</w:t>
      </w:r>
      <w:r>
        <w:t>uthority</w:t>
      </w:r>
    </w:p>
    <w:p w14:paraId="73F6A67A" w14:textId="4FA3929E" w:rsidR="00EE0041" w:rsidRPr="00EE0041" w:rsidRDefault="003C6EAA" w:rsidP="000F5D18">
      <w:pPr>
        <w:pStyle w:val="BodyText"/>
      </w:pPr>
      <w:r>
        <w:t>Typically</w:t>
      </w:r>
      <w:r w:rsidR="00CA4798">
        <w:t xml:space="preserve">, </w:t>
      </w:r>
      <w:r>
        <w:t>regulations are developed by the regulatory body</w:t>
      </w:r>
      <w:r w:rsidR="002830E2">
        <w:t xml:space="preserve">; </w:t>
      </w:r>
      <w:r w:rsidR="0039705E">
        <w:t>depending on the national legal system</w:t>
      </w:r>
      <w:r w:rsidR="006A2EDC">
        <w:t>,</w:t>
      </w:r>
      <w:r w:rsidR="0039705E">
        <w:t xml:space="preserve"> </w:t>
      </w:r>
      <w:r w:rsidR="00AE2E8B">
        <w:t xml:space="preserve">regulations </w:t>
      </w:r>
      <w:r w:rsidR="0039705E">
        <w:t>may be adopted by the executive, the legislature</w:t>
      </w:r>
      <w:r w:rsidR="008D66A5">
        <w:t>, or the regulatory body itself</w:t>
      </w:r>
      <w:r w:rsidR="00CA4798">
        <w:t xml:space="preserve">. Regardless of the process, </w:t>
      </w:r>
      <w:r w:rsidR="00853DF0">
        <w:t>the imposition of enforceable requirements</w:t>
      </w:r>
      <w:r w:rsidR="001039F5">
        <w:t xml:space="preserve"> </w:t>
      </w:r>
      <w:r w:rsidR="00216300">
        <w:t xml:space="preserve">in </w:t>
      </w:r>
      <w:r w:rsidR="00484085">
        <w:t xml:space="preserve">a given </w:t>
      </w:r>
      <w:r w:rsidR="00216300">
        <w:t>field</w:t>
      </w:r>
      <w:r w:rsidR="00174E45">
        <w:t xml:space="preserve"> </w:t>
      </w:r>
      <w:r w:rsidR="003217FA">
        <w:t xml:space="preserve">must be authorized by </w:t>
      </w:r>
      <w:r w:rsidR="00174E45">
        <w:t>primary legislation (law)</w:t>
      </w:r>
      <w:r w:rsidR="00216300">
        <w:t xml:space="preserve">. </w:t>
      </w:r>
      <w:r w:rsidR="00E358FA">
        <w:t>Thus</w:t>
      </w:r>
      <w:r w:rsidR="001625EF">
        <w:t xml:space="preserve">, </w:t>
      </w:r>
      <w:r w:rsidR="00E358FA">
        <w:t>the regulatory body will need to determine whether there is adequate legal authority for the development and adoption of computer security requirements for radioactive material and associated facilities. This determination</w:t>
      </w:r>
      <w:r w:rsidR="001625EF">
        <w:t xml:space="preserve"> may not be straightforward</w:t>
      </w:r>
      <w:r w:rsidR="00CE709D">
        <w:t xml:space="preserve">. </w:t>
      </w:r>
      <w:r w:rsidR="00D91270">
        <w:t xml:space="preserve">At one </w:t>
      </w:r>
      <w:r w:rsidR="000703A4">
        <w:t>extreme,</w:t>
      </w:r>
      <w:r w:rsidR="00765EDF">
        <w:t xml:space="preserve"> the national nuclear law or perhaps a national computer security law </w:t>
      </w:r>
      <w:r w:rsidR="005B6FE8">
        <w:t>might</w:t>
      </w:r>
      <w:r w:rsidR="00765EDF">
        <w:t xml:space="preserve"> specifically </w:t>
      </w:r>
      <w:r w:rsidR="008035DA">
        <w:t xml:space="preserve">authorize </w:t>
      </w:r>
      <w:r w:rsidR="0090676C">
        <w:t xml:space="preserve">the development of such requirements. But </w:t>
      </w:r>
      <w:r w:rsidR="00DF5256">
        <w:t xml:space="preserve">unless the law has been very recently enacted, </w:t>
      </w:r>
      <w:r w:rsidR="00FC1D98">
        <w:t xml:space="preserve">it is unlikely to include a </w:t>
      </w:r>
      <w:r w:rsidR="003503F2">
        <w:t xml:space="preserve">specific </w:t>
      </w:r>
      <w:r w:rsidR="00FC0F62">
        <w:t xml:space="preserve">computer </w:t>
      </w:r>
      <w:r w:rsidR="00AE2E8B">
        <w:t xml:space="preserve">security </w:t>
      </w:r>
      <w:r w:rsidR="00FC1D98">
        <w:t>pro</w:t>
      </w:r>
      <w:r w:rsidR="003503F2">
        <w:t>vision</w:t>
      </w:r>
      <w:r w:rsidR="004E23E3">
        <w:t xml:space="preserve">. </w:t>
      </w:r>
      <w:r w:rsidR="00735DF1">
        <w:t>T</w:t>
      </w:r>
      <w:r w:rsidR="00E24AF9">
        <w:t xml:space="preserve">he </w:t>
      </w:r>
      <w:r w:rsidR="00665C70">
        <w:t xml:space="preserve">law </w:t>
      </w:r>
      <w:r w:rsidR="00AE2E8B">
        <w:t>is more likely to</w:t>
      </w:r>
      <w:r w:rsidR="00665C70">
        <w:t xml:space="preserve"> </w:t>
      </w:r>
      <w:r w:rsidR="00A776A3">
        <w:t xml:space="preserve">authorize the </w:t>
      </w:r>
      <w:r w:rsidR="00705103">
        <w:t xml:space="preserve">imposition of information security requirements or indicate that security requirements </w:t>
      </w:r>
      <w:r w:rsidR="00F23876">
        <w:t>must be based on countering the threat.</w:t>
      </w:r>
      <w:r w:rsidR="00D52FE0">
        <w:t xml:space="preserve"> </w:t>
      </w:r>
      <w:r w:rsidR="0089274F">
        <w:t xml:space="preserve">Because </w:t>
      </w:r>
      <w:r w:rsidR="009E7CC5">
        <w:t xml:space="preserve">computer security is a subset of information </w:t>
      </w:r>
      <w:r w:rsidR="00704C2C">
        <w:t xml:space="preserve">security </w:t>
      </w:r>
      <w:r w:rsidR="00AD251F">
        <w:t xml:space="preserve">[6] </w:t>
      </w:r>
      <w:r w:rsidR="009E7CC5">
        <w:t xml:space="preserve">and the threat can </w:t>
      </w:r>
      <w:r w:rsidR="00865172">
        <w:t xml:space="preserve">include cyberattack scenarios, such provisions could </w:t>
      </w:r>
      <w:r w:rsidR="00704C2C">
        <w:t>be viewed a</w:t>
      </w:r>
      <w:r w:rsidR="00AE2E8B">
        <w:t>s</w:t>
      </w:r>
      <w:r w:rsidR="00704C2C">
        <w:t xml:space="preserve"> providing the necessary “hook” for computer security requirements</w:t>
      </w:r>
      <w:r w:rsidR="00DA0084">
        <w:t>,</w:t>
      </w:r>
      <w:r w:rsidR="00A370A5">
        <w:t xml:space="preserve"> even if the law does not mention computer security</w:t>
      </w:r>
      <w:r w:rsidR="00704C2C">
        <w:t xml:space="preserve">. </w:t>
      </w:r>
      <w:r w:rsidR="00D52FE0">
        <w:t xml:space="preserve">At the other extreme, </w:t>
      </w:r>
      <w:r w:rsidR="00521529">
        <w:t>the law</w:t>
      </w:r>
      <w:r w:rsidR="00D52FE0">
        <w:t xml:space="preserve"> may simply authorize the development of security requirements, without reference to specific subtopics.</w:t>
      </w:r>
      <w:r w:rsidR="00AA0A9F">
        <w:t xml:space="preserve"> Ultimately, determining whether the necessary legal authority exists will be a matter of judgment for the regulatory body and its lawyers.</w:t>
      </w:r>
      <w:r w:rsidR="00E817E5">
        <w:t xml:space="preserve"> If they determine that the necessary legal authority is lacking, the regulatory body might choose to issue non-</w:t>
      </w:r>
      <w:r w:rsidR="00A05E5E">
        <w:t>mandatory guidance</w:t>
      </w:r>
      <w:r w:rsidR="00AE2E8B">
        <w:t>, until such time as the law might be amended to grant the necessary authority</w:t>
      </w:r>
      <w:r w:rsidR="00ED7081">
        <w:t>.</w:t>
      </w:r>
      <w:r w:rsidR="00D52FE0">
        <w:t xml:space="preserve"> </w:t>
      </w:r>
      <w:r w:rsidR="00F23876">
        <w:t xml:space="preserve"> </w:t>
      </w:r>
      <w:r w:rsidR="004A6EBB">
        <w:t xml:space="preserve"> </w:t>
      </w:r>
      <w:r w:rsidR="00E358FA">
        <w:t xml:space="preserve"> </w:t>
      </w:r>
    </w:p>
    <w:p w14:paraId="585D7926" w14:textId="440FA9AD" w:rsidR="00BD605C" w:rsidRDefault="00837189" w:rsidP="00E70CA5">
      <w:pPr>
        <w:pStyle w:val="Heading3"/>
      </w:pPr>
      <w:r>
        <w:t>Regulatory structure</w:t>
      </w:r>
    </w:p>
    <w:p w14:paraId="5F9B64D0" w14:textId="46E1C01E" w:rsidR="00CF7AF3" w:rsidRDefault="00265CF3" w:rsidP="00045847">
      <w:pPr>
        <w:pStyle w:val="BodyText"/>
      </w:pPr>
      <w:r>
        <w:t>Subject to any constraints posed</w:t>
      </w:r>
      <w:r w:rsidR="00172FBC">
        <w:t xml:space="preserve"> by primary legislation, the regulatory body is likely to have some flexibility in determining </w:t>
      </w:r>
      <w:r w:rsidR="00F13853">
        <w:t xml:space="preserve">how to incorporate computer security requirements within </w:t>
      </w:r>
      <w:r w:rsidR="00040E24">
        <w:t>its regulatory structure</w:t>
      </w:r>
      <w:r w:rsidR="00215DF6">
        <w:t>.</w:t>
      </w:r>
      <w:r w:rsidR="00040E24">
        <w:t xml:space="preserve"> </w:t>
      </w:r>
      <w:r w:rsidR="00896F9C">
        <w:t xml:space="preserve">For </w:t>
      </w:r>
      <w:r w:rsidR="00896F9C">
        <w:lastRenderedPageBreak/>
        <w:t xml:space="preserve">example, it could establish </w:t>
      </w:r>
      <w:r w:rsidR="00BE31CE">
        <w:t>computer security requirements as a stand-alone regulation</w:t>
      </w:r>
      <w:r w:rsidR="00DF52AA">
        <w:t xml:space="preserve">, separate from nuclear security regulations addressing other topics, such as physical protection or </w:t>
      </w:r>
      <w:r w:rsidR="00A51977">
        <w:t>nuclear material accounting and control (NMAC)</w:t>
      </w:r>
      <w:r w:rsidR="00B25C3A">
        <w:t>. Alternatively</w:t>
      </w:r>
      <w:r w:rsidR="0080152C">
        <w:t>,</w:t>
      </w:r>
      <w:r w:rsidR="00B25C3A">
        <w:t xml:space="preserve"> </w:t>
      </w:r>
      <w:r w:rsidR="00B8363F">
        <w:t xml:space="preserve">the regulatory body </w:t>
      </w:r>
      <w:r w:rsidR="00B25C3A">
        <w:t>could amend existing</w:t>
      </w:r>
      <w:r w:rsidR="00B8363F">
        <w:t xml:space="preserve"> nuclear security regulations to include computer security </w:t>
      </w:r>
      <w:r w:rsidR="00C4686F">
        <w:t xml:space="preserve">as an additional topic that licensees must address. </w:t>
      </w:r>
      <w:r w:rsidR="00E95826">
        <w:t>Often, there are separate nuclear security regulations for nuclear material and nuclear facilities and for radioactive material and associated facilities</w:t>
      </w:r>
      <w:r w:rsidR="00DE4337">
        <w:t>, sometimes with a set of general requirements applicable to both.</w:t>
      </w:r>
      <w:r w:rsidR="00E7264E">
        <w:t xml:space="preserve"> In this case, the regulatory body could </w:t>
      </w:r>
      <w:r w:rsidR="004137B6">
        <w:t xml:space="preserve">add appropriate computer security requirements to </w:t>
      </w:r>
      <w:r w:rsidR="007719F5">
        <w:t xml:space="preserve">each of these regulations. While there is no single best approach, </w:t>
      </w:r>
      <w:r w:rsidR="000D6E29">
        <w:t xml:space="preserve">incorporating computer security requirements into existing </w:t>
      </w:r>
      <w:r w:rsidR="00846F36">
        <w:t xml:space="preserve">nuclear security regulations has the advantage of facilitating the integration of </w:t>
      </w:r>
      <w:r w:rsidR="001175B0">
        <w:t xml:space="preserve">computer security into the licensee’s </w:t>
      </w:r>
      <w:r w:rsidR="00D92A68">
        <w:t xml:space="preserve">overall nuclear security program. </w:t>
      </w:r>
      <w:r w:rsidR="00DC3794">
        <w:t xml:space="preserve">Such integration is especially important </w:t>
      </w:r>
      <w:r w:rsidR="00C138BA">
        <w:t>for topics where computer security and physical protection or NMAC intersect – e.g.</w:t>
      </w:r>
      <w:r w:rsidR="00AE2E8B">
        <w:t>,</w:t>
      </w:r>
      <w:r w:rsidR="00C138BA">
        <w:t xml:space="preserve"> information protection, </w:t>
      </w:r>
      <w:r w:rsidR="00D9686E">
        <w:t>access control, security plans.</w:t>
      </w:r>
      <w:r w:rsidR="004A1915">
        <w:t xml:space="preserve"> Ultimately, the regulatory body will need to decide how to incorporate computer security into its regulatory structure in the most </w:t>
      </w:r>
      <w:r w:rsidR="0080152C">
        <w:t xml:space="preserve">practical and effective manner, </w:t>
      </w:r>
      <w:r w:rsidR="004938CF">
        <w:t>given prevailing national practices and circumstances.</w:t>
      </w:r>
    </w:p>
    <w:p w14:paraId="52A98014" w14:textId="38E7D80F" w:rsidR="000132A8" w:rsidRDefault="00E92EB9" w:rsidP="000132A8">
      <w:pPr>
        <w:pStyle w:val="Heading3"/>
      </w:pPr>
      <w:r>
        <w:t>Involvement of other competent authorities</w:t>
      </w:r>
    </w:p>
    <w:p w14:paraId="4BA361B9" w14:textId="5DB60C3A" w:rsidR="000132A8" w:rsidRDefault="00572B08" w:rsidP="000132A8">
      <w:pPr>
        <w:pStyle w:val="BodyText"/>
      </w:pPr>
      <w:r>
        <w:t>In most countries, the regulatory body for nuclear security</w:t>
      </w:r>
      <w:r w:rsidR="003F3760">
        <w:t xml:space="preserve"> is l</w:t>
      </w:r>
      <w:r w:rsidR="00AE2E8B">
        <w:t>i</w:t>
      </w:r>
      <w:r w:rsidR="003F3760">
        <w:t xml:space="preserve">kely to be responsible for developing </w:t>
      </w:r>
      <w:r w:rsidR="003D2C90">
        <w:t>regulations for radioactive material and associated facilities, although in some countries responsibility</w:t>
      </w:r>
      <w:r w:rsidR="00AE2E8B">
        <w:t xml:space="preserve"> for issuing computer security regulations</w:t>
      </w:r>
      <w:r w:rsidR="003D2C90">
        <w:t xml:space="preserve"> might be assigned to </w:t>
      </w:r>
      <w:r w:rsidR="008721C1">
        <w:t xml:space="preserve">a competent authority with </w:t>
      </w:r>
      <w:r w:rsidR="00C12324">
        <w:t xml:space="preserve">general </w:t>
      </w:r>
      <w:r w:rsidR="008721C1">
        <w:t xml:space="preserve">responsibility for </w:t>
      </w:r>
      <w:r w:rsidR="00096757">
        <w:t>computer security across multiple domains</w:t>
      </w:r>
      <w:r w:rsidR="00F36F9B">
        <w:t xml:space="preserve">, including but not limited to radiological security. </w:t>
      </w:r>
      <w:r w:rsidR="00D50BA9">
        <w:t xml:space="preserve">In the former case, the regulatory body should </w:t>
      </w:r>
      <w:r w:rsidR="00980093">
        <w:t xml:space="preserve">involve </w:t>
      </w:r>
      <w:r w:rsidR="00236FB9">
        <w:t xml:space="preserve">other </w:t>
      </w:r>
      <w:r w:rsidR="00980093">
        <w:t xml:space="preserve">competent authorities with </w:t>
      </w:r>
      <w:r w:rsidR="00B75511">
        <w:t xml:space="preserve">perceived interest </w:t>
      </w:r>
      <w:r w:rsidR="00980093">
        <w:t xml:space="preserve">in computer security in the development of </w:t>
      </w:r>
      <w:r w:rsidR="00A27EA9">
        <w:t>its regulations. Similarly, in the latter case, competent authority for co</w:t>
      </w:r>
      <w:r w:rsidR="00BA0D87">
        <w:t xml:space="preserve">mputer security should involve the regulatory body. </w:t>
      </w:r>
      <w:r w:rsidR="0071057D">
        <w:t xml:space="preserve">In both cases, there are likely to be other competent authorities with interests and expertise in computer security </w:t>
      </w:r>
      <w:r w:rsidR="00EF6DEC">
        <w:t>that should also be consulted.</w:t>
      </w:r>
      <w:r w:rsidR="00EA7FC0">
        <w:t xml:space="preserve"> These could include intelligence services and other </w:t>
      </w:r>
      <w:r w:rsidR="000305AE">
        <w:t>authorities responsible for threat assessment</w:t>
      </w:r>
      <w:r w:rsidR="009B6EAD">
        <w:t>;</w:t>
      </w:r>
      <w:r w:rsidR="000305AE">
        <w:t xml:space="preserve"> </w:t>
      </w:r>
      <w:r w:rsidR="00EC49EA">
        <w:t>the ministry of interior</w:t>
      </w:r>
      <w:r w:rsidR="009B6EAD">
        <w:t xml:space="preserve">, </w:t>
      </w:r>
      <w:r w:rsidR="00EC49EA">
        <w:t>national police</w:t>
      </w:r>
      <w:r w:rsidR="009B6EAD">
        <w:t xml:space="preserve">, and other security agencies; and the authorities responsible for </w:t>
      </w:r>
      <w:r w:rsidR="00F21B89">
        <w:t xml:space="preserve">emergency preparedness, planning, and response. </w:t>
      </w:r>
      <w:r w:rsidR="00CB1FBC">
        <w:t>Such involvement</w:t>
      </w:r>
      <w:r w:rsidR="009D4DC1">
        <w:t xml:space="preserve"> will improve the technical quality of the resulting computer security requirements</w:t>
      </w:r>
      <w:r w:rsidR="009A0448">
        <w:t xml:space="preserve"> and </w:t>
      </w:r>
      <w:r w:rsidR="00726C37">
        <w:t xml:space="preserve">may </w:t>
      </w:r>
      <w:r w:rsidR="009A0448">
        <w:t xml:space="preserve">also help </w:t>
      </w:r>
      <w:r w:rsidR="00726C37">
        <w:t xml:space="preserve">to </w:t>
      </w:r>
      <w:r w:rsidR="009A0448">
        <w:t>secure the buy-in of</w:t>
      </w:r>
      <w:r w:rsidR="00664216">
        <w:t xml:space="preserve"> the participating agencies.</w:t>
      </w:r>
      <w:r w:rsidR="00EF6DEC">
        <w:t xml:space="preserve"> </w:t>
      </w:r>
      <w:r w:rsidR="000132A8">
        <w:t xml:space="preserve"> </w:t>
      </w:r>
    </w:p>
    <w:p w14:paraId="1E841873" w14:textId="6267A67F" w:rsidR="000132A8" w:rsidRDefault="00BB5176" w:rsidP="000132A8">
      <w:pPr>
        <w:pStyle w:val="Heading3"/>
      </w:pPr>
      <w:r>
        <w:t>Regulatory approach</w:t>
      </w:r>
    </w:p>
    <w:p w14:paraId="16246A6E" w14:textId="03BB6A07" w:rsidR="00671492" w:rsidRDefault="00422D79" w:rsidP="00E95640">
      <w:pPr>
        <w:pStyle w:val="BodyText"/>
      </w:pPr>
      <w:r w:rsidRPr="00422D79">
        <w:t xml:space="preserve">In developing </w:t>
      </w:r>
      <w:r w:rsidR="00346489">
        <w:t>computer security requirements</w:t>
      </w:r>
      <w:r w:rsidRPr="00422D79">
        <w:t>, the regulatory body may use the prescriptive approach, the performance-based approach, or the combined approach</w:t>
      </w:r>
      <w:r w:rsidR="000132A8">
        <w:t xml:space="preserve">. </w:t>
      </w:r>
      <w:r w:rsidR="00E31507">
        <w:t>Using the p</w:t>
      </w:r>
      <w:r w:rsidRPr="00422D79">
        <w:t>rescriptive approach</w:t>
      </w:r>
      <w:r w:rsidR="00E31507">
        <w:t xml:space="preserve">, </w:t>
      </w:r>
      <w:r w:rsidRPr="00422D79">
        <w:t xml:space="preserve">the regulatory body </w:t>
      </w:r>
      <w:r w:rsidR="003E0426">
        <w:t xml:space="preserve">would </w:t>
      </w:r>
      <w:r w:rsidRPr="00422D79">
        <w:t xml:space="preserve">establish a set of specific </w:t>
      </w:r>
      <w:r w:rsidR="009664C8">
        <w:t xml:space="preserve">computer security </w:t>
      </w:r>
      <w:r w:rsidRPr="00422D79">
        <w:t xml:space="preserve">measures that it has determined provide an acceptable level of </w:t>
      </w:r>
      <w:r w:rsidR="00E31507">
        <w:t>per</w:t>
      </w:r>
      <w:r w:rsidR="00716D05">
        <w:t>formance</w:t>
      </w:r>
      <w:r w:rsidR="00236FB9">
        <w:t xml:space="preserve"> to address the national threat</w:t>
      </w:r>
      <w:r>
        <w:t xml:space="preserve">. </w:t>
      </w:r>
      <w:r w:rsidRPr="00422D79">
        <w:t xml:space="preserve">The advantage </w:t>
      </w:r>
      <w:r w:rsidR="0065576B">
        <w:t xml:space="preserve">of the prescriptive approach </w:t>
      </w:r>
      <w:r w:rsidRPr="00422D79">
        <w:t xml:space="preserve">is simplicity of implementation, for both the regulatory body and </w:t>
      </w:r>
      <w:r w:rsidR="000F56D3">
        <w:t xml:space="preserve">the </w:t>
      </w:r>
      <w:r w:rsidRPr="00422D79">
        <w:t>licensee</w:t>
      </w:r>
      <w:r>
        <w:t xml:space="preserve">. </w:t>
      </w:r>
      <w:r w:rsidRPr="00422D79">
        <w:t>The disadvantage is</w:t>
      </w:r>
      <w:r w:rsidR="00236FB9">
        <w:t xml:space="preserve"> a</w:t>
      </w:r>
      <w:r w:rsidRPr="00422D79">
        <w:t xml:space="preserve"> lack of flexibility to address circumstances </w:t>
      </w:r>
      <w:r w:rsidR="00124E6C">
        <w:t xml:space="preserve">specific to the licensee </w:t>
      </w:r>
      <w:r w:rsidRPr="00422D79">
        <w:t>where the required measures are impractical or ineffective</w:t>
      </w:r>
      <w:r>
        <w:t xml:space="preserve">. </w:t>
      </w:r>
      <w:r w:rsidR="00C4688F">
        <w:t>Using the p</w:t>
      </w:r>
      <w:r w:rsidR="001B15BD" w:rsidRPr="001B15BD">
        <w:t>erformance-based approach</w:t>
      </w:r>
      <w:r w:rsidR="00C4688F">
        <w:t xml:space="preserve">, </w:t>
      </w:r>
      <w:r w:rsidR="001B15BD" w:rsidRPr="001B15BD">
        <w:t>the regulatory body</w:t>
      </w:r>
      <w:r w:rsidR="00124E6C">
        <w:t xml:space="preserve"> would</w:t>
      </w:r>
      <w:r w:rsidR="001B15BD" w:rsidRPr="001B15BD">
        <w:t xml:space="preserve"> establish overall objectives and require the licensee to </w:t>
      </w:r>
      <w:r w:rsidR="009664C8">
        <w:t xml:space="preserve">identify and implement </w:t>
      </w:r>
      <w:r w:rsidR="001B15BD" w:rsidRPr="001B15BD">
        <w:t xml:space="preserve">a </w:t>
      </w:r>
      <w:r w:rsidR="00124E6C">
        <w:t>set of computer</w:t>
      </w:r>
      <w:r w:rsidR="001B15BD" w:rsidRPr="001B15BD">
        <w:t xml:space="preserve"> </w:t>
      </w:r>
      <w:r w:rsidR="006A6625">
        <w:t xml:space="preserve">security </w:t>
      </w:r>
      <w:r w:rsidR="009664C8">
        <w:t xml:space="preserve">measures that </w:t>
      </w:r>
      <w:r w:rsidR="001B15BD" w:rsidRPr="001B15BD">
        <w:t>meet the objective</w:t>
      </w:r>
      <w:r w:rsidR="009664C8">
        <w:t>s</w:t>
      </w:r>
      <w:r w:rsidR="00E95640">
        <w:t xml:space="preserve">. </w:t>
      </w:r>
      <w:r w:rsidR="001B15BD" w:rsidRPr="001B15BD">
        <w:t xml:space="preserve">The advantage </w:t>
      </w:r>
      <w:r w:rsidR="00E84339">
        <w:t>of the performance</w:t>
      </w:r>
      <w:r w:rsidR="00281A46">
        <w:t>-</w:t>
      </w:r>
      <w:r w:rsidR="00E84339">
        <w:t xml:space="preserve">based approach </w:t>
      </w:r>
      <w:r w:rsidR="001B15BD" w:rsidRPr="001B15BD">
        <w:t xml:space="preserve">is in </w:t>
      </w:r>
      <w:r w:rsidR="00BF0437">
        <w:t>e</w:t>
      </w:r>
      <w:r w:rsidR="00ED1185">
        <w:t>n</w:t>
      </w:r>
      <w:r w:rsidR="00BF0437">
        <w:t>abling</w:t>
      </w:r>
      <w:r w:rsidR="001B15BD" w:rsidRPr="001B15BD">
        <w:t xml:space="preserve"> the licensee to </w:t>
      </w:r>
      <w:r w:rsidR="00B87DD4">
        <w:t xml:space="preserve">employ computer security </w:t>
      </w:r>
      <w:r w:rsidR="00606B78">
        <w:t xml:space="preserve">measures that </w:t>
      </w:r>
      <w:r w:rsidR="00991F18">
        <w:t xml:space="preserve">are </w:t>
      </w:r>
      <w:r w:rsidR="00BF0437">
        <w:t>well</w:t>
      </w:r>
      <w:r w:rsidR="00236FB9">
        <w:t>-</w:t>
      </w:r>
      <w:r w:rsidR="00991F18">
        <w:t xml:space="preserve">suited to </w:t>
      </w:r>
      <w:r w:rsidR="00B5576D">
        <w:t>its</w:t>
      </w:r>
      <w:r w:rsidR="00991F18">
        <w:t xml:space="preserve"> </w:t>
      </w:r>
      <w:r w:rsidR="00F60540">
        <w:t>distinctive</w:t>
      </w:r>
      <w:r w:rsidR="00B5576D">
        <w:t xml:space="preserve"> </w:t>
      </w:r>
      <w:r w:rsidR="00991F18">
        <w:t>operations</w:t>
      </w:r>
      <w:r w:rsidR="00E95640">
        <w:t xml:space="preserve">. </w:t>
      </w:r>
      <w:r w:rsidR="001B15BD" w:rsidRPr="001B15BD">
        <w:t>The disadvantage is the relatively high level of expertise needed by both the regulatory body and the licensee</w:t>
      </w:r>
      <w:r w:rsidR="00F60540">
        <w:t xml:space="preserve"> in order to implement this approach</w:t>
      </w:r>
      <w:r w:rsidR="00E95640">
        <w:t xml:space="preserve">. </w:t>
      </w:r>
      <w:r w:rsidR="0065092E">
        <w:t>Using the c</w:t>
      </w:r>
      <w:r w:rsidR="00E95640" w:rsidRPr="00E95640">
        <w:t>ombined approach</w:t>
      </w:r>
      <w:r w:rsidR="0065092E">
        <w:t xml:space="preserve">, the regulatory body </w:t>
      </w:r>
      <w:r w:rsidR="00C944A8">
        <w:t xml:space="preserve">would </w:t>
      </w:r>
      <w:r w:rsidR="00E44AA8">
        <w:t>incorporate</w:t>
      </w:r>
      <w:r w:rsidR="00E95640" w:rsidRPr="00E95640">
        <w:t xml:space="preserve"> both prescriptive and performance-based </w:t>
      </w:r>
      <w:r w:rsidR="00900E5A">
        <w:t>elements</w:t>
      </w:r>
      <w:r w:rsidR="00E95640">
        <w:t xml:space="preserve">. </w:t>
      </w:r>
      <w:r w:rsidR="00E95640" w:rsidRPr="00E95640">
        <w:t xml:space="preserve">For example, the regulation might include prescriptive measures but allow </w:t>
      </w:r>
      <w:r w:rsidR="00227607">
        <w:t xml:space="preserve">the licensee to propose </w:t>
      </w:r>
      <w:r w:rsidR="00E95640" w:rsidRPr="00E95640">
        <w:t xml:space="preserve">alternative measures </w:t>
      </w:r>
      <w:r w:rsidR="00227607">
        <w:t>that it can demonstrate</w:t>
      </w:r>
      <w:r w:rsidR="00E95640" w:rsidRPr="00E95640">
        <w:t xml:space="preserve"> are equally effective</w:t>
      </w:r>
      <w:r w:rsidR="00BF3AAA">
        <w:t>.</w:t>
      </w:r>
    </w:p>
    <w:p w14:paraId="4CAAAA2D" w14:textId="649F4160" w:rsidR="000132A8" w:rsidRDefault="004767CE" w:rsidP="00E95640">
      <w:pPr>
        <w:pStyle w:val="BodyText"/>
      </w:pPr>
      <w:r>
        <w:t>While each of these approaches is potentially applicable</w:t>
      </w:r>
      <w:r w:rsidR="006B4647">
        <w:t xml:space="preserve"> to </w:t>
      </w:r>
      <w:r w:rsidR="00436621">
        <w:t>computer security requirements for radioactive material and associated facilities</w:t>
      </w:r>
      <w:r w:rsidR="006B4647">
        <w:t>, most regulatory bodies</w:t>
      </w:r>
      <w:r w:rsidR="00436621">
        <w:t xml:space="preserve"> </w:t>
      </w:r>
      <w:r w:rsidR="00B648C6">
        <w:t xml:space="preserve">seem likely </w:t>
      </w:r>
      <w:r w:rsidR="00AA70DE">
        <w:t xml:space="preserve">to conclude that </w:t>
      </w:r>
      <w:r w:rsidR="00F02E39">
        <w:t>purely performance-based requirements would</w:t>
      </w:r>
      <w:r w:rsidR="00B648C6">
        <w:t xml:space="preserve"> require an unrealistic level of computer security expertise on the part of both its own </w:t>
      </w:r>
      <w:r w:rsidR="00AA70DE">
        <w:t>staff and licensees</w:t>
      </w:r>
      <w:r w:rsidR="003A0BF8">
        <w:t>.</w:t>
      </w:r>
      <w:r w:rsidR="00273BF9">
        <w:t xml:space="preserve"> </w:t>
      </w:r>
      <w:r w:rsidR="0061473E">
        <w:t xml:space="preserve">But at the same time, </w:t>
      </w:r>
      <w:r w:rsidR="00D5597C">
        <w:t xml:space="preserve">the rapid evolution of both hardware and software </w:t>
      </w:r>
      <w:r w:rsidR="00E67185">
        <w:t xml:space="preserve">as well as a changing threat environment, </w:t>
      </w:r>
      <w:r w:rsidR="00D5597C">
        <w:t xml:space="preserve">could </w:t>
      </w:r>
      <w:r w:rsidR="008720A5">
        <w:t xml:space="preserve">quickly </w:t>
      </w:r>
      <w:r w:rsidR="00D5597C">
        <w:t xml:space="preserve">render </w:t>
      </w:r>
      <w:r w:rsidR="008720A5">
        <w:t xml:space="preserve">highly prescriptive requirements obsolete. </w:t>
      </w:r>
      <w:r w:rsidR="00502C32">
        <w:t>As a result</w:t>
      </w:r>
      <w:r w:rsidR="0001011C">
        <w:t>,</w:t>
      </w:r>
      <w:r w:rsidR="00502C32">
        <w:t xml:space="preserve"> c</w:t>
      </w:r>
      <w:r w:rsidR="00273BF9">
        <w:t xml:space="preserve">omputer security requirements that are largely prescriptive </w:t>
      </w:r>
      <w:r w:rsidR="00502C32">
        <w:t xml:space="preserve">but </w:t>
      </w:r>
      <w:r w:rsidR="0001011C">
        <w:t xml:space="preserve">stated </w:t>
      </w:r>
      <w:r w:rsidR="00502C32">
        <w:t>general</w:t>
      </w:r>
      <w:r w:rsidR="0001011C">
        <w:t>ly</w:t>
      </w:r>
      <w:r w:rsidR="00502C32">
        <w:t xml:space="preserve"> enough </w:t>
      </w:r>
      <w:r w:rsidR="00BE417A">
        <w:t xml:space="preserve">to </w:t>
      </w:r>
      <w:r w:rsidR="004F7AA9">
        <w:t xml:space="preserve">allow for adaptation </w:t>
      </w:r>
      <w:r w:rsidR="00D52936">
        <w:t xml:space="preserve">seem likely </w:t>
      </w:r>
      <w:r w:rsidR="00273BF9">
        <w:t xml:space="preserve">to </w:t>
      </w:r>
      <w:r w:rsidR="00BE417A">
        <w:t xml:space="preserve">be </w:t>
      </w:r>
      <w:r w:rsidR="00D52936">
        <w:t>the pre</w:t>
      </w:r>
      <w:r w:rsidR="008E48CA">
        <w:t>ferred approach</w:t>
      </w:r>
      <w:r w:rsidR="008B058B">
        <w:t xml:space="preserve"> in most instances</w:t>
      </w:r>
      <w:r w:rsidR="00273BF9">
        <w:t>.</w:t>
      </w:r>
      <w:r w:rsidR="00236FB9">
        <w:t xml:space="preserve"> Regulatory bodies should avoid naming specific types of technology, software, or hardware in the regulations</w:t>
      </w:r>
      <w:r w:rsidR="000D1865">
        <w:t>, as they</w:t>
      </w:r>
      <w:r w:rsidR="00236FB9">
        <w:t xml:space="preserve"> are likely to go out-of-date quickly. </w:t>
      </w:r>
    </w:p>
    <w:p w14:paraId="0F607FC8" w14:textId="1D778A58" w:rsidR="000132A8" w:rsidRDefault="00DD60B3" w:rsidP="000132A8">
      <w:pPr>
        <w:pStyle w:val="Heading3"/>
      </w:pPr>
      <w:r>
        <w:lastRenderedPageBreak/>
        <w:t>Target identification</w:t>
      </w:r>
      <w:r w:rsidR="002B6051">
        <w:t xml:space="preserve"> </w:t>
      </w:r>
    </w:p>
    <w:p w14:paraId="64D946B4" w14:textId="2BFFF9F1" w:rsidR="001646F4" w:rsidRDefault="00B302A1" w:rsidP="002B774A">
      <w:pPr>
        <w:pStyle w:val="BodyText"/>
      </w:pPr>
      <w:r>
        <w:t xml:space="preserve">A fundamental </w:t>
      </w:r>
      <w:r w:rsidR="005F5E63">
        <w:t xml:space="preserve">principle of nuclear security holds that </w:t>
      </w:r>
      <w:r w:rsidR="009705F7">
        <w:t xml:space="preserve">targets </w:t>
      </w:r>
      <w:r w:rsidR="00E40224">
        <w:t xml:space="preserve">are identified and assessed to determine if they </w:t>
      </w:r>
      <w:r w:rsidR="00287CFA">
        <w:t>require protection from nuclear security threats</w:t>
      </w:r>
      <w:r w:rsidR="00310EC8">
        <w:t xml:space="preserve"> [10]. </w:t>
      </w:r>
      <w:r w:rsidR="00287CFA">
        <w:t>This principle applies to</w:t>
      </w:r>
      <w:r w:rsidR="007E6A67">
        <w:t xml:space="preserve"> </w:t>
      </w:r>
      <w:r w:rsidR="00287CFA">
        <w:t>a</w:t>
      </w:r>
      <w:r w:rsidR="00834AE2">
        <w:t xml:space="preserve"> regulator</w:t>
      </w:r>
      <w:r w:rsidR="00287CFA">
        <w:t>y</w:t>
      </w:r>
      <w:r w:rsidR="00834AE2">
        <w:t xml:space="preserve"> body developing computer security requirements for radioactive material and associated facilities</w:t>
      </w:r>
      <w:r w:rsidR="00287CFA">
        <w:t xml:space="preserve">, which </w:t>
      </w:r>
      <w:r w:rsidR="00834AE2">
        <w:t>should</w:t>
      </w:r>
      <w:r w:rsidR="001E147C">
        <w:t xml:space="preserve"> identify the </w:t>
      </w:r>
      <w:r w:rsidR="008472F6">
        <w:t xml:space="preserve">types of radiological targets </w:t>
      </w:r>
      <w:r w:rsidR="00AE5273">
        <w:t>potentially subject to cyberattack in its country</w:t>
      </w:r>
      <w:r w:rsidR="00B3343A">
        <w:t xml:space="preserve">. </w:t>
      </w:r>
      <w:r w:rsidR="005D4482">
        <w:t>For example, the</w:t>
      </w:r>
      <w:r w:rsidR="00411B88">
        <w:t xml:space="preserve"> NRC/Agreement State </w:t>
      </w:r>
      <w:proofErr w:type="spellStart"/>
      <w:r w:rsidR="00411B88">
        <w:t>Byproduct</w:t>
      </w:r>
      <w:proofErr w:type="spellEnd"/>
      <w:r w:rsidR="00411B88">
        <w:t xml:space="preserve"> Materials Cyber Security Working Group’s evalu</w:t>
      </w:r>
      <w:r w:rsidR="002B774A">
        <w:t>at</w:t>
      </w:r>
      <w:r w:rsidR="00327BAC">
        <w:t>ion</w:t>
      </w:r>
      <w:r w:rsidR="002B774A">
        <w:t xml:space="preserve"> of</w:t>
      </w:r>
      <w:r w:rsidR="00411B88">
        <w:t xml:space="preserve"> the potential consequences that </w:t>
      </w:r>
      <w:r w:rsidR="002B774A">
        <w:t xml:space="preserve">could </w:t>
      </w:r>
      <w:r w:rsidR="00411B88">
        <w:t xml:space="preserve">occur if the availability, integrity, or confidentiality of data or systems associated with </w:t>
      </w:r>
      <w:r w:rsidR="00BE417A">
        <w:t>Category-</w:t>
      </w:r>
      <w:r w:rsidR="00271CBD">
        <w:t>1 and 2</w:t>
      </w:r>
      <w:r w:rsidR="002B774A">
        <w:t xml:space="preserve"> </w:t>
      </w:r>
      <w:r w:rsidR="00411B88">
        <w:t>quantities of radioactive material</w:t>
      </w:r>
      <w:r w:rsidR="001646F4">
        <w:t xml:space="preserve"> </w:t>
      </w:r>
      <w:r w:rsidR="00411B88">
        <w:t>were compromised by a cyberattack</w:t>
      </w:r>
      <w:r w:rsidR="00236FB9">
        <w:t>. The Working Group</w:t>
      </w:r>
      <w:r w:rsidR="00271CBD">
        <w:t xml:space="preserve"> </w:t>
      </w:r>
      <w:r w:rsidR="00E97B16">
        <w:t xml:space="preserve">considered </w:t>
      </w:r>
      <w:r w:rsidR="005D4482">
        <w:t>the following types of digital assets as potential targets</w:t>
      </w:r>
      <w:r w:rsidR="001646F4">
        <w:t>:</w:t>
      </w:r>
    </w:p>
    <w:p w14:paraId="01CB7678" w14:textId="5259A46A" w:rsidR="00E97B16" w:rsidRDefault="003D66FC" w:rsidP="003D66FC">
      <w:pPr>
        <w:pStyle w:val="ListEmdash"/>
        <w:ind w:left="720"/>
      </w:pPr>
      <w:r>
        <w:t>D</w:t>
      </w:r>
      <w:r w:rsidR="00F004BA">
        <w:t>igital/microprocessor-based systems and devices that support the physical security of the licensee's facilities</w:t>
      </w:r>
      <w:r>
        <w:t xml:space="preserve">, including </w:t>
      </w:r>
      <w:r w:rsidR="00F004BA">
        <w:t>access control systems, physical intrusion detection and alarm systems, video camera monitoring systems, digital video recorders, door alarms, motion sensors, key</w:t>
      </w:r>
      <w:r>
        <w:t xml:space="preserve"> </w:t>
      </w:r>
      <w:r w:rsidR="00F004BA">
        <w:t>card readers, and biometric scanners</w:t>
      </w:r>
      <w:r w:rsidR="00646F8A">
        <w:t>;</w:t>
      </w:r>
    </w:p>
    <w:p w14:paraId="5EABD3DF" w14:textId="6C6F266A" w:rsidR="00026B89" w:rsidRDefault="00646F8A" w:rsidP="003D66FC">
      <w:pPr>
        <w:pStyle w:val="ListEmdash"/>
        <w:ind w:left="720"/>
      </w:pPr>
      <w:r>
        <w:t>E</w:t>
      </w:r>
      <w:r w:rsidR="00A32C38">
        <w:t>quipment and devices with software</w:t>
      </w:r>
      <w:r w:rsidR="00963550">
        <w:t>-</w:t>
      </w:r>
      <w:r w:rsidR="00A32C38">
        <w:t>base</w:t>
      </w:r>
      <w:r w:rsidR="00963550">
        <w:t xml:space="preserve">d </w:t>
      </w:r>
      <w:r w:rsidR="00A32C38">
        <w:t>control, operation, and automation features, such as panoramic irradiators and stereotactic</w:t>
      </w:r>
      <w:r w:rsidR="00963550">
        <w:t xml:space="preserve"> </w:t>
      </w:r>
      <w:r w:rsidR="00A32C38">
        <w:t>radiosurgery devices;</w:t>
      </w:r>
    </w:p>
    <w:p w14:paraId="758C923D" w14:textId="377F932E" w:rsidR="00E97B16" w:rsidRDefault="00646F8A" w:rsidP="003D66FC">
      <w:pPr>
        <w:pStyle w:val="ListEmdash"/>
        <w:ind w:left="720"/>
      </w:pPr>
      <w:r>
        <w:t>C</w:t>
      </w:r>
      <w:r w:rsidR="006B2DAA">
        <w:t>omputers/systems used to maintain source inventories, audit data, and records necessary for compliance with security requirements and regulations</w:t>
      </w:r>
      <w:r>
        <w:t>; and</w:t>
      </w:r>
    </w:p>
    <w:p w14:paraId="48AC7171" w14:textId="687FC3D2" w:rsidR="00C80D08" w:rsidRDefault="00646F8A" w:rsidP="003D66FC">
      <w:pPr>
        <w:pStyle w:val="ListEmdash"/>
        <w:ind w:left="720"/>
      </w:pPr>
      <w:r>
        <w:t>D</w:t>
      </w:r>
      <w:r w:rsidR="00A01CA1">
        <w:t>igital technology used to support incident response communications/coordination such as digital packet radio systems, digital repeater stations, and digital trunk radio systems</w:t>
      </w:r>
      <w:r w:rsidR="004B4A0A">
        <w:t xml:space="preserve"> [11].</w:t>
      </w:r>
    </w:p>
    <w:p w14:paraId="0412D129" w14:textId="161949F3" w:rsidR="000132A8" w:rsidRDefault="000444E6" w:rsidP="006F2688">
      <w:pPr>
        <w:pStyle w:val="BodyText"/>
        <w:ind w:firstLine="0"/>
      </w:pPr>
      <w:r>
        <w:t xml:space="preserve">This list would be </w:t>
      </w:r>
      <w:r w:rsidR="0049513F">
        <w:t xml:space="preserve">a useful </w:t>
      </w:r>
      <w:r w:rsidR="00775890">
        <w:t>starting point</w:t>
      </w:r>
      <w:r w:rsidR="00004632">
        <w:t xml:space="preserve"> </w:t>
      </w:r>
      <w:r w:rsidR="0049513F">
        <w:t xml:space="preserve">for regulatory bodies </w:t>
      </w:r>
      <w:r w:rsidR="00672D53">
        <w:t>developing computer security requirements for radioactive material and associated facilities.</w:t>
      </w:r>
    </w:p>
    <w:p w14:paraId="46704CBD" w14:textId="3FC33B91" w:rsidR="000132A8" w:rsidRDefault="0080772B" w:rsidP="000132A8">
      <w:pPr>
        <w:pStyle w:val="Heading3"/>
      </w:pPr>
      <w:r>
        <w:t>Regulation content</w:t>
      </w:r>
    </w:p>
    <w:p w14:paraId="392AB0DF" w14:textId="77777777" w:rsidR="00004632" w:rsidRDefault="004620D6" w:rsidP="000132A8">
      <w:pPr>
        <w:pStyle w:val="BodyText"/>
      </w:pPr>
      <w:r>
        <w:t>In the absence of a model regulation</w:t>
      </w:r>
      <w:r w:rsidR="00016F5E">
        <w:t xml:space="preserve"> or </w:t>
      </w:r>
      <w:r w:rsidR="00B06E7C">
        <w:t>even</w:t>
      </w:r>
      <w:r w:rsidR="00016F5E">
        <w:t xml:space="preserve"> examples, </w:t>
      </w:r>
      <w:r w:rsidR="0050631B">
        <w:t xml:space="preserve">a </w:t>
      </w:r>
      <w:r w:rsidR="00016F5E">
        <w:t xml:space="preserve">regulatory body </w:t>
      </w:r>
      <w:r w:rsidR="0050631B">
        <w:t>developing computer security requirements for radioactive material and associated facilities faces both an opportunity and a challenge in defining the overall content</w:t>
      </w:r>
      <w:r w:rsidR="00BE01B4">
        <w:t xml:space="preserve">. While </w:t>
      </w:r>
      <w:r w:rsidR="00A306E2">
        <w:t xml:space="preserve">resolution of </w:t>
      </w:r>
      <w:r w:rsidR="0076475F">
        <w:t xml:space="preserve">several of </w:t>
      </w:r>
      <w:r w:rsidR="00BC62A2">
        <w:t>the questions discussed above (</w:t>
      </w:r>
      <w:r w:rsidR="00193873">
        <w:t>location of computer security requirements in the regulatory structure, regulatory approach, target</w:t>
      </w:r>
      <w:r w:rsidR="0076475F">
        <w:t>s to be protected</w:t>
      </w:r>
      <w:r w:rsidR="006A2644">
        <w:t>)</w:t>
      </w:r>
      <w:r w:rsidR="0077141E">
        <w:t xml:space="preserve"> </w:t>
      </w:r>
      <w:r w:rsidR="004847CF">
        <w:t xml:space="preserve">may determine some of the content, </w:t>
      </w:r>
      <w:r w:rsidR="0077141E">
        <w:t xml:space="preserve">the regulatory body </w:t>
      </w:r>
      <w:r w:rsidR="00327649">
        <w:t xml:space="preserve">will have considerable flexibility in </w:t>
      </w:r>
      <w:r w:rsidR="002A1AC5">
        <w:t xml:space="preserve">defining </w:t>
      </w:r>
      <w:r w:rsidR="009E7B29">
        <w:t>other aspects of the requirements.</w:t>
      </w:r>
      <w:r w:rsidR="00004632">
        <w:t xml:space="preserve"> The following could serve as a starting point:</w:t>
      </w:r>
    </w:p>
    <w:p w14:paraId="3D46DEDF" w14:textId="339727D6" w:rsidR="00443D72" w:rsidRDefault="00443D72" w:rsidP="00443D72">
      <w:pPr>
        <w:pStyle w:val="ListEmdash"/>
        <w:ind w:left="709"/>
      </w:pPr>
      <w:r w:rsidRPr="00FF748A">
        <w:rPr>
          <w:b/>
        </w:rPr>
        <w:t xml:space="preserve">General </w:t>
      </w:r>
      <w:r w:rsidR="00C4125E" w:rsidRPr="00FF748A">
        <w:rPr>
          <w:b/>
        </w:rPr>
        <w:t>provisions</w:t>
      </w:r>
      <w:r w:rsidR="001C3053" w:rsidRPr="00FF748A">
        <w:rPr>
          <w:b/>
        </w:rPr>
        <w:t>.</w:t>
      </w:r>
      <w:r w:rsidR="001C3053">
        <w:t xml:space="preserve"> </w:t>
      </w:r>
      <w:r w:rsidR="0009465F">
        <w:t xml:space="preserve">These provisions would address such </w:t>
      </w:r>
      <w:r w:rsidR="007A0C31">
        <w:t>topics</w:t>
      </w:r>
      <w:r w:rsidR="0009465F">
        <w:t xml:space="preserve"> as purpose and scope, </w:t>
      </w:r>
      <w:r w:rsidR="007A0C31">
        <w:t xml:space="preserve">definitions, </w:t>
      </w:r>
      <w:r w:rsidR="009C673B">
        <w:t xml:space="preserve">basic requirement of compliance, </w:t>
      </w:r>
      <w:r w:rsidR="00586652">
        <w:t xml:space="preserve">computer security event reporting, </w:t>
      </w:r>
      <w:r w:rsidR="00886069">
        <w:t>and administrative matters such as records and record</w:t>
      </w:r>
      <w:r w:rsidR="0013043A">
        <w:t>s</w:t>
      </w:r>
      <w:r w:rsidR="00886069">
        <w:t xml:space="preserve"> retention. </w:t>
      </w:r>
      <w:r w:rsidR="00C14FB9">
        <w:t xml:space="preserve">The exact framing of these provisions would depend on whether the computer security requirements were included in a stand-alone regulation, as a </w:t>
      </w:r>
      <w:r w:rsidR="007C3149">
        <w:t xml:space="preserve">subchapter within an existing </w:t>
      </w:r>
      <w:r w:rsidR="00277623">
        <w:t xml:space="preserve">nuclear </w:t>
      </w:r>
      <w:r w:rsidR="007C3149">
        <w:t xml:space="preserve">security regulation, or </w:t>
      </w:r>
      <w:r w:rsidR="000E17FD">
        <w:t>inserted as amended provisions within a</w:t>
      </w:r>
      <w:r w:rsidR="00B26989">
        <w:t>n existing nuclear security regulation.</w:t>
      </w:r>
      <w:r w:rsidR="00C4125E">
        <w:t xml:space="preserve"> </w:t>
      </w:r>
    </w:p>
    <w:p w14:paraId="62E0E83A" w14:textId="0DEEEF0C" w:rsidR="00443D72" w:rsidRDefault="00C4125E" w:rsidP="00443D72">
      <w:pPr>
        <w:pStyle w:val="ListEmdash"/>
        <w:ind w:left="709"/>
      </w:pPr>
      <w:r w:rsidRPr="00FF748A">
        <w:rPr>
          <w:b/>
        </w:rPr>
        <w:t>Targets to protect</w:t>
      </w:r>
      <w:r w:rsidR="00B26989" w:rsidRPr="00FF748A">
        <w:rPr>
          <w:b/>
        </w:rPr>
        <w:t>.</w:t>
      </w:r>
      <w:r w:rsidR="00B26989">
        <w:t xml:space="preserve"> </w:t>
      </w:r>
      <w:r w:rsidR="00B77215">
        <w:t xml:space="preserve">These provisions would identify the </w:t>
      </w:r>
      <w:r w:rsidR="00DD723A">
        <w:t>targets that the licensee must protect</w:t>
      </w:r>
      <w:r w:rsidR="002043E3">
        <w:t xml:space="preserve">, as discussed above in </w:t>
      </w:r>
      <w:r w:rsidR="00336853">
        <w:t>2.5.</w:t>
      </w:r>
    </w:p>
    <w:p w14:paraId="6939E364" w14:textId="3F5D41A5" w:rsidR="00443D72" w:rsidRDefault="00F92E03" w:rsidP="00C85E97">
      <w:pPr>
        <w:pStyle w:val="ListEmdash"/>
        <w:ind w:left="709"/>
      </w:pPr>
      <w:r w:rsidRPr="00FF748A">
        <w:rPr>
          <w:b/>
        </w:rPr>
        <w:t>Malicious acts</w:t>
      </w:r>
      <w:r w:rsidR="00C4125E" w:rsidRPr="00FF748A">
        <w:rPr>
          <w:b/>
        </w:rPr>
        <w:t xml:space="preserve"> to protect against</w:t>
      </w:r>
      <w:r w:rsidR="00336853" w:rsidRPr="00FF748A">
        <w:rPr>
          <w:b/>
        </w:rPr>
        <w:t>.</w:t>
      </w:r>
      <w:r w:rsidR="00583A02">
        <w:t xml:space="preserve"> </w:t>
      </w:r>
      <w:r w:rsidR="00E9154E">
        <w:t xml:space="preserve">These provisions would describe </w:t>
      </w:r>
      <w:r w:rsidR="00642842">
        <w:t xml:space="preserve">the types of cyberattacks that the licensee’s computer security </w:t>
      </w:r>
      <w:r w:rsidR="003B23EF">
        <w:t xml:space="preserve">measures must counter. </w:t>
      </w:r>
      <w:r w:rsidR="002D54B6">
        <w:t>Such provisions could be based on</w:t>
      </w:r>
      <w:r w:rsidR="00583A02">
        <w:t xml:space="preserve"> </w:t>
      </w:r>
      <w:r w:rsidR="00C84AA4">
        <w:t xml:space="preserve">soon-to-be-published IAEA guidance, </w:t>
      </w:r>
      <w:r w:rsidR="002D54B6">
        <w:t xml:space="preserve">which indicates that </w:t>
      </w:r>
      <w:r w:rsidR="00C84AA4">
        <w:t xml:space="preserve">computer security measures should protect against </w:t>
      </w:r>
      <w:r w:rsidR="00C84AA4" w:rsidRPr="00C84AA4">
        <w:t>criminal or intentional unauthorized act</w:t>
      </w:r>
      <w:r w:rsidR="00C84AA4">
        <w:t>s di</w:t>
      </w:r>
      <w:r w:rsidR="00C84AA4" w:rsidRPr="00C84AA4">
        <w:t>rected at or affecting computer-based systems with the intent of</w:t>
      </w:r>
      <w:r w:rsidR="00C84AA4">
        <w:t xml:space="preserve"> a</w:t>
      </w:r>
      <w:r w:rsidR="00C84AA4" w:rsidRPr="00C84AA4">
        <w:t xml:space="preserve">chieving or facilitating the theft, alteration, prevention of access, to or destruction of sensitive information </w:t>
      </w:r>
      <w:r w:rsidR="00B7283C">
        <w:t xml:space="preserve">or sensitive information </w:t>
      </w:r>
      <w:r w:rsidR="00C84AA4" w:rsidRPr="00C84AA4">
        <w:t>assets</w:t>
      </w:r>
      <w:r w:rsidR="00C84AA4">
        <w:t xml:space="preserve"> by compromising the confidentiality, integrity, availability or a combination of these properties, of the sensitive information within a</w:t>
      </w:r>
      <w:r w:rsidR="00EA004B">
        <w:t xml:space="preserve"> </w:t>
      </w:r>
      <w:r w:rsidR="00A02C67">
        <w:t>sensitive digital asset (</w:t>
      </w:r>
      <w:r w:rsidR="00C84AA4">
        <w:t>SDA</w:t>
      </w:r>
      <w:r w:rsidR="00A02C67">
        <w:t>)</w:t>
      </w:r>
      <w:r w:rsidR="00C84AA4">
        <w:t>, or of the SDA itself</w:t>
      </w:r>
      <w:r w:rsidR="00EA004B">
        <w:t xml:space="preserve"> [6].</w:t>
      </w:r>
      <w:r w:rsidR="00336853">
        <w:t xml:space="preserve"> </w:t>
      </w:r>
    </w:p>
    <w:p w14:paraId="5A824A33" w14:textId="25118C3C" w:rsidR="007A30DA" w:rsidRDefault="00C4125E" w:rsidP="005E75C3">
      <w:pPr>
        <w:pStyle w:val="ListEmdash"/>
        <w:ind w:left="709"/>
      </w:pPr>
      <w:r w:rsidRPr="00FF748A">
        <w:rPr>
          <w:b/>
        </w:rPr>
        <w:t xml:space="preserve">Level of protection </w:t>
      </w:r>
      <w:r w:rsidR="009D2483" w:rsidRPr="00FF748A">
        <w:rPr>
          <w:b/>
        </w:rPr>
        <w:t>to provide</w:t>
      </w:r>
      <w:r w:rsidR="00422F14" w:rsidRPr="00FF748A">
        <w:rPr>
          <w:b/>
        </w:rPr>
        <w:t>.</w:t>
      </w:r>
      <w:r w:rsidR="00422F14">
        <w:t xml:space="preserve"> These provisions would define the </w:t>
      </w:r>
      <w:r w:rsidR="0024526C">
        <w:t>degree of protection that the licensee’s computer security measures must provide</w:t>
      </w:r>
      <w:r w:rsidR="00F56637">
        <w:t xml:space="preserve">. </w:t>
      </w:r>
      <w:r w:rsidR="00740952">
        <w:t xml:space="preserve">According to the IAEA, </w:t>
      </w:r>
      <w:r w:rsidR="00015529" w:rsidRPr="00015529">
        <w:t>the required degree of protection should be proportionate to the potential consequences of a successful cyberattack</w:t>
      </w:r>
      <w:r w:rsidR="00740952">
        <w:t xml:space="preserve">. </w:t>
      </w:r>
      <w:r w:rsidR="00740952" w:rsidRPr="00015529">
        <w:t>One way to implement such an approach is to group computer-based systems and the associated SDAs into zones</w:t>
      </w:r>
      <w:r w:rsidR="00740952">
        <w:t>.</w:t>
      </w:r>
      <w:r w:rsidR="004C1E6F">
        <w:t xml:space="preserve"> </w:t>
      </w:r>
      <w:r w:rsidR="004C1E6F" w:rsidRPr="004C1E6F">
        <w:t>The required level of protection would then correspond to the consequences of a successful cyberattack on the zone</w:t>
      </w:r>
      <w:r w:rsidR="004C1E6F">
        <w:t xml:space="preserve">. </w:t>
      </w:r>
      <w:r w:rsidR="004C1E6F" w:rsidRPr="00015529">
        <w:t xml:space="preserve">Alternatively, the regulatory body could </w:t>
      </w:r>
      <w:r w:rsidR="004C1E6F">
        <w:t xml:space="preserve">simply </w:t>
      </w:r>
      <w:r w:rsidR="004C1E6F" w:rsidRPr="00015529">
        <w:t>specify the overall degree of protection</w:t>
      </w:r>
      <w:r w:rsidR="004C1E6F">
        <w:t xml:space="preserve"> </w:t>
      </w:r>
      <w:r w:rsidR="004C1E6F">
        <w:lastRenderedPageBreak/>
        <w:t>required.</w:t>
      </w:r>
      <w:r w:rsidR="005E75C3">
        <w:t xml:space="preserve"> While </w:t>
      </w:r>
      <w:r w:rsidR="00ED2790">
        <w:t xml:space="preserve">these provisions are </w:t>
      </w:r>
      <w:r w:rsidR="0012211F">
        <w:t xml:space="preserve">clearly </w:t>
      </w:r>
      <w:r w:rsidR="005E626E">
        <w:t>central to a performance-based regulation, they are also e</w:t>
      </w:r>
      <w:r w:rsidR="00655BAD">
        <w:t>ssential for a prescriptive</w:t>
      </w:r>
      <w:r w:rsidR="003B38D3">
        <w:t xml:space="preserve"> regulation, where they provide a means of </w:t>
      </w:r>
      <w:r w:rsidR="003638A0">
        <w:t>evaluating</w:t>
      </w:r>
      <w:r w:rsidR="003B38D3">
        <w:t xml:space="preserve"> whether the prescriptive requirements have b</w:t>
      </w:r>
      <w:r w:rsidR="00D73427">
        <w:t>een adequately implemented.</w:t>
      </w:r>
    </w:p>
    <w:p w14:paraId="5D3CCE6B" w14:textId="44FED353" w:rsidR="000132A8" w:rsidRDefault="005C737A" w:rsidP="00541BE3">
      <w:pPr>
        <w:pStyle w:val="ListEmdash"/>
        <w:ind w:left="709"/>
      </w:pPr>
      <w:r w:rsidRPr="003638A0">
        <w:rPr>
          <w:b/>
        </w:rPr>
        <w:t>Required security measures.</w:t>
      </w:r>
      <w:r>
        <w:t xml:space="preserve"> These </w:t>
      </w:r>
      <w:r w:rsidR="003638A0">
        <w:t>provisions determine</w:t>
      </w:r>
      <w:r w:rsidR="0065062A">
        <w:t xml:space="preserve"> the types of computer security measures that the licensee must implement. </w:t>
      </w:r>
      <w:r w:rsidR="00DE3D5B">
        <w:t xml:space="preserve">A </w:t>
      </w:r>
      <w:r w:rsidR="0065062A">
        <w:t>performance-based regulation</w:t>
      </w:r>
      <w:r w:rsidR="00DE3D5B">
        <w:t xml:space="preserve"> </w:t>
      </w:r>
      <w:r w:rsidR="007809DD">
        <w:t xml:space="preserve">would </w:t>
      </w:r>
      <w:r w:rsidR="0074266B">
        <w:t>identify such measures in general terms and specify how the licensee must demonstrate that the measures it selects meet</w:t>
      </w:r>
      <w:r w:rsidR="00DE3D5B">
        <w:t xml:space="preserve"> the applicable performance requirement. A prescriptive regulation would </w:t>
      </w:r>
      <w:r w:rsidR="00513A19">
        <w:t>identify specific measures that the licensee must implement</w:t>
      </w:r>
      <w:r w:rsidR="00AC5070">
        <w:t>. As discussed above</w:t>
      </w:r>
      <w:r w:rsidR="0078199B">
        <w:t>,</w:t>
      </w:r>
      <w:r w:rsidR="00AC5070">
        <w:t xml:space="preserve"> these measures should be sufficiently general that the licensee </w:t>
      </w:r>
      <w:r w:rsidR="00E107DB">
        <w:t>ca</w:t>
      </w:r>
      <w:r w:rsidR="00912335">
        <w:t>n</w:t>
      </w:r>
      <w:r w:rsidR="002C3E8F">
        <w:t xml:space="preserve"> adapt them to its own circumstances and adjust them to </w:t>
      </w:r>
      <w:r w:rsidR="00586652">
        <w:t>reflect</w:t>
      </w:r>
      <w:r w:rsidR="002C3E8F">
        <w:t xml:space="preserve"> changes in technology and the threat environment.</w:t>
      </w:r>
      <w:r w:rsidR="0078199B">
        <w:t xml:space="preserve"> A regulation based on the combined approach could take many forms. </w:t>
      </w:r>
      <w:r w:rsidR="00EF1D08">
        <w:t xml:space="preserve">One example is NRC’s requirements for computer security at nuclear power plants which </w:t>
      </w:r>
      <w:r w:rsidR="00E3615B">
        <w:t xml:space="preserve">prescribes </w:t>
      </w:r>
      <w:r w:rsidR="00E3615B" w:rsidRPr="00E3615B">
        <w:t>the process that the licensee must follow in order to develop the necessary security measures</w:t>
      </w:r>
      <w:r w:rsidR="0078199B">
        <w:t xml:space="preserve"> </w:t>
      </w:r>
      <w:r w:rsidR="00E3615B">
        <w:t xml:space="preserve">and identifies in </w:t>
      </w:r>
      <w:r w:rsidR="00E34129">
        <w:t>general terms the licensee’s security program must meet [12].</w:t>
      </w:r>
      <w:r w:rsidR="00655BAD">
        <w:t xml:space="preserve"> </w:t>
      </w:r>
      <w:r w:rsidR="006D6CE2">
        <w:t xml:space="preserve"> </w:t>
      </w:r>
    </w:p>
    <w:p w14:paraId="6B0DE61E" w14:textId="6D218337" w:rsidR="000132A8" w:rsidRDefault="00A565A4" w:rsidP="000132A8">
      <w:pPr>
        <w:pStyle w:val="Heading3"/>
      </w:pPr>
      <w:r>
        <w:t xml:space="preserve">General </w:t>
      </w:r>
      <w:r w:rsidR="00A071D5">
        <w:t>versus practice-specific requirements</w:t>
      </w:r>
    </w:p>
    <w:p w14:paraId="0CEC900C" w14:textId="625ECB2A" w:rsidR="00671492" w:rsidRDefault="00C47A25" w:rsidP="000132A8">
      <w:pPr>
        <w:pStyle w:val="BodyText"/>
      </w:pPr>
      <w:r w:rsidRPr="00C47A25">
        <w:t xml:space="preserve">Radioactive </w:t>
      </w:r>
      <w:r w:rsidR="000A4A33">
        <w:t xml:space="preserve">material, specifically radioactive </w:t>
      </w:r>
      <w:r w:rsidRPr="00C47A25">
        <w:t>sources</w:t>
      </w:r>
      <w:r w:rsidR="000A4A33">
        <w:t>,</w:t>
      </w:r>
      <w:r w:rsidRPr="00C47A25">
        <w:t xml:space="preserve"> are </w:t>
      </w:r>
      <w:r w:rsidR="004E6E1D">
        <w:t>found</w:t>
      </w:r>
      <w:r w:rsidR="000A4A33">
        <w:t xml:space="preserve"> in a wide</w:t>
      </w:r>
      <w:r w:rsidRPr="00C47A25">
        <w:t xml:space="preserve"> range of medical, industrial, educational, research</w:t>
      </w:r>
      <w:r w:rsidR="000A4A33">
        <w:t>,</w:t>
      </w:r>
      <w:r w:rsidRPr="00C47A25">
        <w:t xml:space="preserve"> and other applications</w:t>
      </w:r>
      <w:r w:rsidR="00D05763">
        <w:t xml:space="preserve">, and as </w:t>
      </w:r>
      <w:r w:rsidR="00AE0A00">
        <w:t>a result</w:t>
      </w:r>
      <w:r w:rsidR="00D05763">
        <w:t xml:space="preserve"> regulatory bodies may wish to create different </w:t>
      </w:r>
      <w:r w:rsidR="00AE0A00">
        <w:t xml:space="preserve">computer </w:t>
      </w:r>
      <w:r w:rsidR="00D05763">
        <w:t xml:space="preserve">security </w:t>
      </w:r>
      <w:r w:rsidR="00AE0A00">
        <w:t xml:space="preserve">requirements </w:t>
      </w:r>
      <w:r w:rsidR="00D05763">
        <w:t xml:space="preserve">depending on the type or use of </w:t>
      </w:r>
      <w:r w:rsidR="00AE0A00">
        <w:t>the radioactive</w:t>
      </w:r>
      <w:r w:rsidR="00D05763">
        <w:t xml:space="preserve"> source</w:t>
      </w:r>
      <w:r w:rsidRPr="00C47A25">
        <w:t xml:space="preserve">. </w:t>
      </w:r>
      <w:r w:rsidR="00BE417A" w:rsidRPr="00C47A25">
        <w:t>Category</w:t>
      </w:r>
      <w:r w:rsidR="00BE417A">
        <w:t>-</w:t>
      </w:r>
      <w:r w:rsidRPr="00C47A25">
        <w:t xml:space="preserve">1 </w:t>
      </w:r>
      <w:r w:rsidR="008870CB">
        <w:t xml:space="preserve">radioactive </w:t>
      </w:r>
      <w:r w:rsidRPr="00C47A25">
        <w:t xml:space="preserve">sources are used to treat cancer patients </w:t>
      </w:r>
      <w:r w:rsidR="00D05763">
        <w:t>with</w:t>
      </w:r>
      <w:r w:rsidRPr="00C47A25">
        <w:t xml:space="preserve"> conventional teletherapy devices as well as </w:t>
      </w:r>
      <w:r w:rsidR="00C805D6">
        <w:t xml:space="preserve">with </w:t>
      </w:r>
      <w:r w:rsidRPr="00C47A25">
        <w:t xml:space="preserve">fixed, multi-beam (gamma knife) units, to sterilize a variety of products in large industrial irradiators, and to conduct research and treat blood prior to transfusion in smaller self-shielded irradiators. </w:t>
      </w:r>
      <w:r w:rsidR="00BE417A" w:rsidRPr="00C47A25">
        <w:t>Category</w:t>
      </w:r>
      <w:r w:rsidR="00BE417A">
        <w:t>-</w:t>
      </w:r>
      <w:r w:rsidRPr="00C47A25">
        <w:t xml:space="preserve">2 </w:t>
      </w:r>
      <w:r w:rsidR="008870CB">
        <w:t xml:space="preserve">radioactive </w:t>
      </w:r>
      <w:r w:rsidRPr="00C47A25">
        <w:t xml:space="preserve">sources are used in industrial radiography devices to perform imaging for non-destructive testing and to treat cancer patients with high and medium dose rate brachytherapy. </w:t>
      </w:r>
      <w:r w:rsidR="00BE417A" w:rsidRPr="00C47A25">
        <w:t>Category</w:t>
      </w:r>
      <w:r w:rsidR="00BE417A">
        <w:t>-</w:t>
      </w:r>
      <w:r w:rsidR="007240FF">
        <w:t xml:space="preserve">3 </w:t>
      </w:r>
      <w:r w:rsidR="0080442D">
        <w:t xml:space="preserve">radioactive </w:t>
      </w:r>
      <w:r w:rsidRPr="00C47A25">
        <w:t>sources are used to perform thickness, density, and level measurements with fixed industrial gauges and to perform geophysical measurements with well</w:t>
      </w:r>
      <w:r w:rsidR="00D05763">
        <w:t>-</w:t>
      </w:r>
      <w:r w:rsidRPr="00C47A25">
        <w:t>logging gauges.</w:t>
      </w:r>
      <w:r w:rsidR="00A21BE8">
        <w:t xml:space="preserve"> While </w:t>
      </w:r>
      <w:r w:rsidR="000E6CB8">
        <w:t xml:space="preserve">all </w:t>
      </w:r>
      <w:r w:rsidR="009516D6">
        <w:t>radioactive material and associated facilities are potentially vulnerable to cyberattac</w:t>
      </w:r>
      <w:r w:rsidR="00142A72">
        <w:t>k</w:t>
      </w:r>
      <w:r w:rsidR="00F076C8">
        <w:t>, they are not all vulnerable to the same degree, or in the same ways</w:t>
      </w:r>
      <w:r w:rsidR="004A6988">
        <w:t>, or with the same consequences if a cyberattack were successful.</w:t>
      </w:r>
      <w:r w:rsidR="00B91230">
        <w:t xml:space="preserve"> For example, </w:t>
      </w:r>
      <w:r w:rsidR="005F2629">
        <w:t>devices in fixed locations, such as teletherapy units or self-shielded irradiators</w:t>
      </w:r>
      <w:r w:rsidR="00A10582">
        <w:t>,</w:t>
      </w:r>
      <w:r w:rsidR="005F2629">
        <w:t xml:space="preserve"> </w:t>
      </w:r>
      <w:r w:rsidR="00A15DD0">
        <w:t>have physical protection systems, including access control, intrusion detection</w:t>
      </w:r>
      <w:r w:rsidR="00E4266C">
        <w:t>,</w:t>
      </w:r>
      <w:r w:rsidR="00317521">
        <w:t xml:space="preserve"> </w:t>
      </w:r>
      <w:r w:rsidR="00E4266C">
        <w:t xml:space="preserve">and </w:t>
      </w:r>
      <w:r w:rsidR="00317521">
        <w:t>alarm</w:t>
      </w:r>
      <w:r w:rsidR="00E4266C">
        <w:t xml:space="preserve"> assessment systems, all of which are</w:t>
      </w:r>
      <w:r w:rsidR="006454A3">
        <w:t xml:space="preserve"> digitally controlled</w:t>
      </w:r>
      <w:r w:rsidR="00C81943">
        <w:t xml:space="preserve"> and thus capable of defeat through cyberattack.</w:t>
      </w:r>
      <w:r w:rsidR="00A10582">
        <w:t xml:space="preserve"> </w:t>
      </w:r>
      <w:r w:rsidR="002A68AE">
        <w:t xml:space="preserve">In contrast, </w:t>
      </w:r>
      <w:r w:rsidR="00B1755D">
        <w:t xml:space="preserve">the security of </w:t>
      </w:r>
      <w:r w:rsidR="002A68AE">
        <w:t xml:space="preserve">an industrial </w:t>
      </w:r>
      <w:r w:rsidR="002A68AE" w:rsidRPr="00A90F0C">
        <w:t>radiogr</w:t>
      </w:r>
      <w:r w:rsidR="00B1755D" w:rsidRPr="00A90F0C">
        <w:t>aphy unit in the field may depend on simple physical control</w:t>
      </w:r>
      <w:r w:rsidR="00533A8A" w:rsidRPr="00A90F0C">
        <w:t>.</w:t>
      </w:r>
      <w:r w:rsidR="00DB4F2E" w:rsidRPr="00A90F0C">
        <w:t xml:space="preserve"> </w:t>
      </w:r>
      <w:r w:rsidR="000E6787" w:rsidRPr="00A90F0C">
        <w:t>As another example, s</w:t>
      </w:r>
      <w:r w:rsidR="008D54FB" w:rsidRPr="00A90F0C">
        <w:t xml:space="preserve">ome practices, such as </w:t>
      </w:r>
      <w:r w:rsidR="00D75CCD" w:rsidRPr="00A90F0C">
        <w:t xml:space="preserve">teletherapy units and </w:t>
      </w:r>
      <w:r w:rsidR="008D54FB" w:rsidRPr="00A90F0C">
        <w:t xml:space="preserve">industrial irradiators </w:t>
      </w:r>
      <w:r w:rsidR="00D75CCD" w:rsidRPr="00A90F0C">
        <w:t xml:space="preserve">employ </w:t>
      </w:r>
      <w:r w:rsidR="00095E56" w:rsidRPr="00A90F0C">
        <w:t>software-based</w:t>
      </w:r>
      <w:r w:rsidR="00D75CCD" w:rsidRPr="00A90F0C">
        <w:t xml:space="preserve"> safety or operational </w:t>
      </w:r>
      <w:r w:rsidR="007D2033" w:rsidRPr="00A90F0C">
        <w:t xml:space="preserve">control </w:t>
      </w:r>
      <w:r w:rsidR="00D75CCD" w:rsidRPr="00A90F0C">
        <w:t>systems</w:t>
      </w:r>
      <w:r w:rsidR="0055550C" w:rsidRPr="00A90F0C">
        <w:t xml:space="preserve"> which could be disabled or manipulated</w:t>
      </w:r>
      <w:r w:rsidR="00095E56">
        <w:t xml:space="preserve"> </w:t>
      </w:r>
      <w:r w:rsidR="00374026">
        <w:t>in a way that may jeopardize patient or operator safety</w:t>
      </w:r>
      <w:r w:rsidR="00095E56">
        <w:t xml:space="preserve">, while in other </w:t>
      </w:r>
      <w:r w:rsidR="00B20824">
        <w:t>practices</w:t>
      </w:r>
      <w:r w:rsidR="00095E56">
        <w:t xml:space="preserve"> such systems are absent.</w:t>
      </w:r>
      <w:r w:rsidR="00472E47">
        <w:t xml:space="preserve"> </w:t>
      </w:r>
      <w:r w:rsidR="00F31FAB">
        <w:t xml:space="preserve">Or </w:t>
      </w:r>
      <w:r w:rsidR="00F373F5">
        <w:t xml:space="preserve">to take </w:t>
      </w:r>
      <w:r w:rsidR="00F31FAB">
        <w:t xml:space="preserve">yet another example, the consequences of </w:t>
      </w:r>
      <w:r w:rsidR="00C1230F">
        <w:t xml:space="preserve">a cyber-enabled malicious act – such as sabotage or unauthorized removal and use in a radiological dispersal device </w:t>
      </w:r>
      <w:r w:rsidR="00D12CFE">
        <w:t>–</w:t>
      </w:r>
      <w:r w:rsidR="00C1230F">
        <w:t xml:space="preserve"> </w:t>
      </w:r>
      <w:r w:rsidR="00D12CFE">
        <w:t>would differ depending on the category of the radioactive material involved.</w:t>
      </w:r>
    </w:p>
    <w:p w14:paraId="0F4200DA" w14:textId="2FF3C0B2" w:rsidR="000132A8" w:rsidRDefault="00F373F5" w:rsidP="000132A8">
      <w:pPr>
        <w:pStyle w:val="BodyText"/>
      </w:pPr>
      <w:r>
        <w:t xml:space="preserve">A regulatory body could </w:t>
      </w:r>
      <w:r w:rsidR="008569FE">
        <w:t xml:space="preserve">choose to </w:t>
      </w:r>
      <w:r w:rsidR="004B63CE">
        <w:t xml:space="preserve">impose a single set of computer </w:t>
      </w:r>
      <w:r w:rsidR="00C97F70">
        <w:t xml:space="preserve">security </w:t>
      </w:r>
      <w:r w:rsidR="004B63CE">
        <w:t>requirements</w:t>
      </w:r>
      <w:r w:rsidR="00657369">
        <w:t xml:space="preserve"> </w:t>
      </w:r>
      <w:r w:rsidR="004B63CE">
        <w:t>for all radioactive material and associated facilities</w:t>
      </w:r>
      <w:r w:rsidR="0060124A">
        <w:t xml:space="preserve"> </w:t>
      </w:r>
      <w:r w:rsidR="00657369">
        <w:t xml:space="preserve">or take these differences </w:t>
      </w:r>
      <w:r w:rsidR="001236A0">
        <w:t>into account through</w:t>
      </w:r>
      <w:r w:rsidR="00657369">
        <w:t xml:space="preserve"> various </w:t>
      </w:r>
      <w:r w:rsidR="001236A0">
        <w:t>means</w:t>
      </w:r>
      <w:r w:rsidR="00657369">
        <w:t>.</w:t>
      </w:r>
      <w:r w:rsidR="00C97F70">
        <w:t xml:space="preserve"> For exam</w:t>
      </w:r>
      <w:r w:rsidR="000D1803">
        <w:t xml:space="preserve">ple, there could be a </w:t>
      </w:r>
      <w:r w:rsidR="00A07F97">
        <w:t xml:space="preserve">separate set of requirements for each practice </w:t>
      </w:r>
      <w:r w:rsidR="00263EBB">
        <w:t xml:space="preserve">(or perhaps for each group of practices with common vulnerabilities). Or there could be a </w:t>
      </w:r>
      <w:r w:rsidR="000D1803">
        <w:t xml:space="preserve">general set of </w:t>
      </w:r>
      <w:r w:rsidR="000342C9">
        <w:t>requirements</w:t>
      </w:r>
      <w:r w:rsidR="005066BE">
        <w:t xml:space="preserve"> common to all practices</w:t>
      </w:r>
      <w:r w:rsidR="000342C9">
        <w:t xml:space="preserve">, supplemented by specific requirements for practices with </w:t>
      </w:r>
      <w:r w:rsidR="00690EF1">
        <w:t xml:space="preserve">distinct vulnerabilities, such as </w:t>
      </w:r>
      <w:r w:rsidR="003B5DC1">
        <w:t xml:space="preserve">those using </w:t>
      </w:r>
      <w:r w:rsidR="007D2033" w:rsidRPr="007D2033">
        <w:t xml:space="preserve">software-based safety or operational </w:t>
      </w:r>
      <w:r w:rsidR="007D2033">
        <w:t xml:space="preserve">control </w:t>
      </w:r>
      <w:r w:rsidR="007D2033" w:rsidRPr="007D2033">
        <w:t>systems</w:t>
      </w:r>
      <w:r w:rsidR="00116AB3">
        <w:t xml:space="preserve">. The regulatory body might also choose </w:t>
      </w:r>
      <w:r w:rsidR="0041601F">
        <w:t xml:space="preserve">to define the required degree of protection against cyberattack </w:t>
      </w:r>
      <w:r w:rsidR="00924613">
        <w:t>based on the category of the radioactive material, as a means of applying the graded approach to computer security</w:t>
      </w:r>
      <w:r w:rsidR="00940A5F">
        <w:t xml:space="preserve"> based on the potential consequences of a malicious act.</w:t>
      </w:r>
      <w:r w:rsidR="00FE55BA">
        <w:t xml:space="preserve"> The regulatory body’s choices in this regard </w:t>
      </w:r>
      <w:r w:rsidR="00D05763">
        <w:t>are</w:t>
      </w:r>
      <w:r w:rsidR="00FE55BA">
        <w:t xml:space="preserve"> likely to depend on the size and diversity of </w:t>
      </w:r>
      <w:r w:rsidR="00AF3C1A">
        <w:t xml:space="preserve">the country’s radioactive material inventory and the trade-offs between simplicity </w:t>
      </w:r>
      <w:r w:rsidR="00302792">
        <w:t>and customized requirements.</w:t>
      </w:r>
      <w:r w:rsidR="0055550C">
        <w:t xml:space="preserve"> </w:t>
      </w:r>
      <w:r w:rsidR="00533A8A">
        <w:t xml:space="preserve"> </w:t>
      </w:r>
      <w:r w:rsidR="00B1755D">
        <w:t xml:space="preserve"> </w:t>
      </w:r>
    </w:p>
    <w:p w14:paraId="1D07C8E7" w14:textId="4A7DF83C" w:rsidR="000132A8" w:rsidRDefault="00A071D5" w:rsidP="000132A8">
      <w:pPr>
        <w:pStyle w:val="Heading3"/>
      </w:pPr>
      <w:r>
        <w:t>Regulatory guidance</w:t>
      </w:r>
    </w:p>
    <w:p w14:paraId="4EB31245" w14:textId="02A8CA54" w:rsidR="000132A8" w:rsidRDefault="00467C11" w:rsidP="0033799B">
      <w:pPr>
        <w:pStyle w:val="BodyText"/>
      </w:pPr>
      <w:r>
        <w:t>Regulatory bod</w:t>
      </w:r>
      <w:r w:rsidR="00B97F33">
        <w:t>ies</w:t>
      </w:r>
      <w:r>
        <w:t xml:space="preserve"> of</w:t>
      </w:r>
      <w:r w:rsidR="000132A8">
        <w:t>t</w:t>
      </w:r>
      <w:r w:rsidR="00904DD2">
        <w:t>en complement regulations with implementing guidance</w:t>
      </w:r>
      <w:r w:rsidR="000132A8">
        <w:t>.</w:t>
      </w:r>
      <w:r w:rsidR="00B97F33">
        <w:t xml:space="preserve"> </w:t>
      </w:r>
      <w:r w:rsidR="005A6399">
        <w:t xml:space="preserve">Such guidance documents are </w:t>
      </w:r>
      <w:r w:rsidR="00D05763">
        <w:t>m</w:t>
      </w:r>
      <w:r w:rsidR="005A6399" w:rsidRPr="005A6399">
        <w:t xml:space="preserve">ost often based on </w:t>
      </w:r>
      <w:r w:rsidR="005A6399">
        <w:t>a regulation</w:t>
      </w:r>
      <w:r w:rsidR="002D4B22">
        <w:t xml:space="preserve">, providing </w:t>
      </w:r>
      <w:r w:rsidR="005A6399" w:rsidRPr="005A6399">
        <w:t xml:space="preserve">non-mandatory advice </w:t>
      </w:r>
      <w:r w:rsidR="00BE417A">
        <w:t xml:space="preserve">on </w:t>
      </w:r>
      <w:r w:rsidR="00D05763">
        <w:t>how to</w:t>
      </w:r>
      <w:r w:rsidR="005A6399" w:rsidRPr="005A6399">
        <w:t xml:space="preserve"> compl</w:t>
      </w:r>
      <w:r w:rsidR="00D05763">
        <w:t>y</w:t>
      </w:r>
      <w:r w:rsidR="005A6399" w:rsidRPr="005A6399">
        <w:t xml:space="preserve"> with </w:t>
      </w:r>
      <w:r w:rsidR="00D05763">
        <w:t xml:space="preserve">the </w:t>
      </w:r>
      <w:r w:rsidR="005A6399" w:rsidRPr="005A6399">
        <w:t>regulat</w:t>
      </w:r>
      <w:r w:rsidR="00D05763">
        <w:t>ion</w:t>
      </w:r>
      <w:r w:rsidR="002D4B22">
        <w:t xml:space="preserve">. </w:t>
      </w:r>
      <w:r w:rsidR="00D05763">
        <w:t>In some States, g</w:t>
      </w:r>
      <w:r w:rsidR="002D4B22">
        <w:t>uidance c</w:t>
      </w:r>
      <w:r w:rsidR="005A6399" w:rsidRPr="005A6399">
        <w:t>reate</w:t>
      </w:r>
      <w:r w:rsidR="002D4B22">
        <w:t>s</w:t>
      </w:r>
      <w:r w:rsidR="005A6399" w:rsidRPr="005A6399">
        <w:t xml:space="preserve"> a “safe</w:t>
      </w:r>
      <w:r w:rsidR="0033799B">
        <w:t xml:space="preserve"> </w:t>
      </w:r>
      <w:proofErr w:type="spellStart"/>
      <w:r w:rsidR="005A6399" w:rsidRPr="005A6399">
        <w:t>harbor</w:t>
      </w:r>
      <w:proofErr w:type="spellEnd"/>
      <w:r w:rsidR="005A6399" w:rsidRPr="005A6399">
        <w:t xml:space="preserve">” – if </w:t>
      </w:r>
      <w:r w:rsidR="002D4B22">
        <w:t>the l</w:t>
      </w:r>
      <w:r w:rsidR="0033799B">
        <w:t xml:space="preserve">icensee </w:t>
      </w:r>
      <w:r w:rsidR="00520732">
        <w:t>follows the guidance</w:t>
      </w:r>
      <w:r w:rsidR="005A6399" w:rsidRPr="005A6399">
        <w:t xml:space="preserve">, </w:t>
      </w:r>
      <w:r w:rsidR="0033799B">
        <w:t>it</w:t>
      </w:r>
      <w:r w:rsidR="005A6399" w:rsidRPr="005A6399">
        <w:t xml:space="preserve"> will be considered in complia</w:t>
      </w:r>
      <w:r w:rsidR="0033799B">
        <w:t>nce, b</w:t>
      </w:r>
      <w:r w:rsidR="005A6399" w:rsidRPr="005A6399">
        <w:t xml:space="preserve">ut generally </w:t>
      </w:r>
      <w:r w:rsidR="0033799B">
        <w:t xml:space="preserve">following </w:t>
      </w:r>
      <w:r w:rsidR="00C1549A">
        <w:t xml:space="preserve">guidance is </w:t>
      </w:r>
      <w:r w:rsidR="005A6399" w:rsidRPr="005A6399">
        <w:t>not</w:t>
      </w:r>
      <w:r w:rsidR="00C1549A">
        <w:t xml:space="preserve"> </w:t>
      </w:r>
      <w:r w:rsidR="005A6399" w:rsidRPr="005A6399">
        <w:t>the only way to comply</w:t>
      </w:r>
      <w:r w:rsidR="00C1549A">
        <w:t>.</w:t>
      </w:r>
      <w:r w:rsidR="000A18B6">
        <w:t xml:space="preserve"> </w:t>
      </w:r>
      <w:r w:rsidR="00B05624">
        <w:t xml:space="preserve">Regulatory bodies may find the issuance of guidance on computer security for </w:t>
      </w:r>
      <w:r w:rsidR="007701AE">
        <w:t xml:space="preserve">radioactive material and associated </w:t>
      </w:r>
      <w:r w:rsidR="00DF7117">
        <w:t xml:space="preserve">facilities </w:t>
      </w:r>
      <w:r w:rsidR="006A5C1A">
        <w:t xml:space="preserve">to be an effective </w:t>
      </w:r>
      <w:r w:rsidR="006A5C1A">
        <w:lastRenderedPageBreak/>
        <w:t>regulatory tool for several reasons.</w:t>
      </w:r>
      <w:r w:rsidR="00C743E6">
        <w:t xml:space="preserve"> First, as previously noted, </w:t>
      </w:r>
      <w:r w:rsidR="006F5144">
        <w:t xml:space="preserve">including highly detailed prescriptive requirements in a regulation </w:t>
      </w:r>
      <w:r w:rsidR="00AF4225">
        <w:t xml:space="preserve">may impede use of the specific computer security measures </w:t>
      </w:r>
      <w:r w:rsidR="001B0EDE">
        <w:t xml:space="preserve">best suited to a licensee’s </w:t>
      </w:r>
      <w:r w:rsidR="008A1B0C">
        <w:t>own</w:t>
      </w:r>
      <w:r w:rsidR="001B0EDE">
        <w:t xml:space="preserve"> operations</w:t>
      </w:r>
      <w:r w:rsidR="00D71344">
        <w:t xml:space="preserve"> as well as adaptation of those measures to changing technolog</w:t>
      </w:r>
      <w:r w:rsidR="00D866E5">
        <w:t xml:space="preserve">ies and threats. </w:t>
      </w:r>
      <w:r w:rsidR="008A1B0C">
        <w:t xml:space="preserve">Keeping the regulatory requirements reasonably general and putting the detail in guidance </w:t>
      </w:r>
      <w:r w:rsidR="005B350D">
        <w:t>will better allow for necessary flexibility. Second, in most States</w:t>
      </w:r>
      <w:r w:rsidR="002B64FC">
        <w:t xml:space="preserve"> guidance may be more easily and quickly revised than regulations. Thus, the guidance itself can be modified periodically </w:t>
      </w:r>
      <w:r w:rsidR="006060A6">
        <w:t xml:space="preserve">to keep it current. Third, if </w:t>
      </w:r>
      <w:r w:rsidR="00E57B19">
        <w:t xml:space="preserve">the regulatory body decides </w:t>
      </w:r>
      <w:r w:rsidR="006F58D8">
        <w:t xml:space="preserve">not to develop a regulation, either because </w:t>
      </w:r>
      <w:r w:rsidR="006060A6">
        <w:t>legal authority</w:t>
      </w:r>
      <w:r w:rsidR="006F58D8">
        <w:t xml:space="preserve"> </w:t>
      </w:r>
      <w:r w:rsidR="006060A6">
        <w:t>is found to be lacking</w:t>
      </w:r>
      <w:r w:rsidR="006F58D8">
        <w:t xml:space="preserve"> or for other reasons</w:t>
      </w:r>
      <w:r w:rsidR="006060A6">
        <w:t xml:space="preserve">, </w:t>
      </w:r>
      <w:r w:rsidR="00597EBF">
        <w:t>the regulatory body can use guidance to encourage</w:t>
      </w:r>
      <w:r w:rsidR="00E86C39">
        <w:t xml:space="preserve"> licensees to improve computer security on a voluntary bas</w:t>
      </w:r>
      <w:r w:rsidR="00597EBF">
        <w:t>is</w:t>
      </w:r>
      <w:r w:rsidR="00D102A0">
        <w:t>.</w:t>
      </w:r>
      <w:r w:rsidR="000132A8">
        <w:t xml:space="preserve"> </w:t>
      </w:r>
    </w:p>
    <w:p w14:paraId="6777769F" w14:textId="4DC5CF47" w:rsidR="00B93BAC" w:rsidRDefault="00056349" w:rsidP="00B93BAC">
      <w:pPr>
        <w:pStyle w:val="Heading3"/>
      </w:pPr>
      <w:r>
        <w:t>Documentation of compliance</w:t>
      </w:r>
    </w:p>
    <w:p w14:paraId="6D0EA3A6" w14:textId="2907D71B" w:rsidR="00B93BAC" w:rsidRDefault="000B7DC6" w:rsidP="00FC4A3D">
      <w:pPr>
        <w:pStyle w:val="BodyText"/>
      </w:pPr>
      <w:r>
        <w:t xml:space="preserve">The IAEA recommends that </w:t>
      </w:r>
      <w:r w:rsidR="00547B25">
        <w:t>the regulatory body require licensees to document their compliance with computer security requirements in a computer security plan [6]</w:t>
      </w:r>
      <w:r w:rsidR="00AB2E60">
        <w:t>.</w:t>
      </w:r>
      <w:r w:rsidR="00547B25">
        <w:t xml:space="preserve"> Such a plan </w:t>
      </w:r>
      <w:r w:rsidR="00565F2A">
        <w:t xml:space="preserve">provides a means both of demonstrating to the regulatory body that the licensee has properly implemented computer security requirements and of </w:t>
      </w:r>
      <w:r w:rsidR="00BE1144">
        <w:t xml:space="preserve">providing an internal reference for </w:t>
      </w:r>
      <w:r w:rsidR="00F45D4E">
        <w:t xml:space="preserve">the </w:t>
      </w:r>
      <w:r w:rsidR="00BE1144">
        <w:t>licensee</w:t>
      </w:r>
      <w:r w:rsidR="00F45D4E">
        <w:t>’s</w:t>
      </w:r>
      <w:r w:rsidR="00BE1144">
        <w:t xml:space="preserve"> staff </w:t>
      </w:r>
      <w:r w:rsidR="00F45D4E">
        <w:t xml:space="preserve">on its computer security program, </w:t>
      </w:r>
      <w:r w:rsidR="00B83B1D">
        <w:t xml:space="preserve">including roles and responsibilities, policies and procedures, and internal requirements. </w:t>
      </w:r>
      <w:r w:rsidR="006646B0">
        <w:t xml:space="preserve">The computer security regulation should specifically require </w:t>
      </w:r>
      <w:r w:rsidR="00D2399A">
        <w:t xml:space="preserve">preparation of a computer security plan, either as part of the licensee’s overall security plan or as a separate </w:t>
      </w:r>
      <w:r w:rsidR="003B5E3E">
        <w:t>document including arrangements for responding to a cyberattack.</w:t>
      </w:r>
      <w:r w:rsidR="00B42E24">
        <w:t xml:space="preserve"> The elements of such a plan could be specified in the body of the regulation or in an annex</w:t>
      </w:r>
      <w:r w:rsidR="007F70C1">
        <w:t xml:space="preserve"> and should be required to address at least the following topics</w:t>
      </w:r>
      <w:r w:rsidR="009A0EE2">
        <w:t>:</w:t>
      </w:r>
    </w:p>
    <w:p w14:paraId="03B719BD" w14:textId="77777777" w:rsidR="00A14FF3" w:rsidRPr="00A14FF3" w:rsidRDefault="00A14FF3" w:rsidP="00A14FF3">
      <w:pPr>
        <w:pStyle w:val="ListEmdash"/>
        <w:ind w:left="709"/>
      </w:pPr>
      <w:r w:rsidRPr="00A14FF3">
        <w:t>Organization and responsibilities</w:t>
      </w:r>
    </w:p>
    <w:p w14:paraId="226323C1" w14:textId="77777777" w:rsidR="00A14FF3" w:rsidRPr="00A14FF3" w:rsidRDefault="00A14FF3" w:rsidP="00A14FF3">
      <w:pPr>
        <w:pStyle w:val="ListEmdash"/>
        <w:ind w:left="709"/>
      </w:pPr>
      <w:r w:rsidRPr="00A14FF3">
        <w:t>Asset management</w:t>
      </w:r>
    </w:p>
    <w:p w14:paraId="505F7083" w14:textId="77777777" w:rsidR="00A14FF3" w:rsidRPr="00A14FF3" w:rsidRDefault="00A14FF3" w:rsidP="00A14FF3">
      <w:pPr>
        <w:pStyle w:val="ListEmdash"/>
        <w:ind w:left="709"/>
      </w:pPr>
      <w:r w:rsidRPr="00A14FF3">
        <w:t>Risk, vulnerability, and compliance assessment</w:t>
      </w:r>
    </w:p>
    <w:p w14:paraId="786C43C7" w14:textId="77777777" w:rsidR="00A14FF3" w:rsidRPr="00A14FF3" w:rsidRDefault="00A14FF3" w:rsidP="00A14FF3">
      <w:pPr>
        <w:pStyle w:val="ListEmdash"/>
        <w:ind w:left="709"/>
      </w:pPr>
      <w:r w:rsidRPr="00A14FF3">
        <w:t>System security design and configuration management</w:t>
      </w:r>
    </w:p>
    <w:p w14:paraId="6C712299" w14:textId="77777777" w:rsidR="00A14FF3" w:rsidRPr="00A14FF3" w:rsidRDefault="00A14FF3" w:rsidP="00A14FF3">
      <w:pPr>
        <w:pStyle w:val="ListEmdash"/>
        <w:ind w:left="709"/>
      </w:pPr>
      <w:r w:rsidRPr="00A14FF3">
        <w:t>Operational security procedures</w:t>
      </w:r>
    </w:p>
    <w:p w14:paraId="2CD40080" w14:textId="5F0F3C00" w:rsidR="009A0EE2" w:rsidRDefault="00A14FF3" w:rsidP="00A14FF3">
      <w:pPr>
        <w:pStyle w:val="ListEmdash"/>
        <w:ind w:left="709"/>
      </w:pPr>
      <w:r w:rsidRPr="00A14FF3">
        <w:t>Personnel management</w:t>
      </w:r>
    </w:p>
    <w:p w14:paraId="667DA78F" w14:textId="6575848D" w:rsidR="00A14FF3" w:rsidRDefault="00A14FF3" w:rsidP="00A14FF3">
      <w:pPr>
        <w:pStyle w:val="ListEmdash"/>
        <w:ind w:left="709"/>
      </w:pPr>
      <w:r>
        <w:t>Response to a computer security event</w:t>
      </w:r>
    </w:p>
    <w:p w14:paraId="686B0251" w14:textId="6BCAD1C1" w:rsidR="00316376" w:rsidRPr="00357F56" w:rsidRDefault="00274AE9" w:rsidP="00357F56">
      <w:pPr>
        <w:pStyle w:val="BodyText"/>
        <w:ind w:firstLine="0"/>
      </w:pPr>
      <w:r>
        <w:t xml:space="preserve">The regulation should require the licensee to </w:t>
      </w:r>
      <w:r w:rsidRPr="00274AE9">
        <w:t>review</w:t>
      </w:r>
      <w:r w:rsidRPr="00357F56">
        <w:t xml:space="preserve"> </w:t>
      </w:r>
      <w:r w:rsidR="007230BF">
        <w:t>its</w:t>
      </w:r>
      <w:r w:rsidRPr="00357F56">
        <w:t xml:space="preserve"> comp</w:t>
      </w:r>
      <w:r w:rsidR="008C45C0" w:rsidRPr="00357F56">
        <w:t>uter security plan a</w:t>
      </w:r>
      <w:r w:rsidR="007230BF">
        <w:t>t</w:t>
      </w:r>
      <w:r w:rsidR="008C45C0" w:rsidRPr="00357F56">
        <w:t xml:space="preserve"> specified intervals </w:t>
      </w:r>
      <w:r w:rsidRPr="00274AE9">
        <w:t>and update</w:t>
      </w:r>
      <w:r w:rsidR="008C45C0" w:rsidRPr="00357F56">
        <w:t xml:space="preserve"> it</w:t>
      </w:r>
      <w:r w:rsidRPr="00274AE9">
        <w:t xml:space="preserve"> to reflect</w:t>
      </w:r>
      <w:r w:rsidR="008C45C0" w:rsidRPr="00357F56">
        <w:t xml:space="preserve"> n</w:t>
      </w:r>
      <w:r w:rsidRPr="00274AE9">
        <w:t>ew technologies used in computer-based systems</w:t>
      </w:r>
      <w:r w:rsidR="008C45C0" w:rsidRPr="00357F56">
        <w:t xml:space="preserve">, </w:t>
      </w:r>
      <w:r w:rsidR="006733BB" w:rsidRPr="00357F56">
        <w:t xml:space="preserve">as well as </w:t>
      </w:r>
      <w:r w:rsidR="008C45C0" w:rsidRPr="00357F56">
        <w:t>n</w:t>
      </w:r>
      <w:r w:rsidRPr="00274AE9">
        <w:t>ew</w:t>
      </w:r>
      <w:r w:rsidR="006733BB" w:rsidRPr="00357F56">
        <w:t>ly ident</w:t>
      </w:r>
      <w:r w:rsidR="00357F56" w:rsidRPr="00357F56">
        <w:t>i</w:t>
      </w:r>
      <w:r w:rsidR="006733BB" w:rsidRPr="00357F56">
        <w:t>fied</w:t>
      </w:r>
      <w:r w:rsidRPr="00274AE9">
        <w:t xml:space="preserve"> threats</w:t>
      </w:r>
      <w:r w:rsidR="006733BB" w:rsidRPr="00357F56">
        <w:t xml:space="preserve"> and vulnerabilities.</w:t>
      </w:r>
    </w:p>
    <w:p w14:paraId="7193B4C3" w14:textId="4CAAC867" w:rsidR="00E20E70" w:rsidRDefault="001642AC" w:rsidP="00E70CA5">
      <w:pPr>
        <w:pStyle w:val="Heading2"/>
      </w:pPr>
      <w:r>
        <w:t>example regulatory provisions</w:t>
      </w:r>
    </w:p>
    <w:p w14:paraId="4A8A7FBF" w14:textId="76B77B78" w:rsidR="00F004EE" w:rsidRDefault="00AE3D22" w:rsidP="00537496">
      <w:pPr>
        <w:pStyle w:val="BodyText"/>
      </w:pPr>
      <w:r>
        <w:t xml:space="preserve">As a basis for discussion, the </w:t>
      </w:r>
      <w:r w:rsidR="00177EBA">
        <w:t xml:space="preserve">following are example provisions that could be included in a regulation </w:t>
      </w:r>
      <w:r w:rsidR="00C65809">
        <w:t>on computer security for radioactive material and associated facilities</w:t>
      </w:r>
      <w:r w:rsidR="00BD279A">
        <w:t>.</w:t>
      </w:r>
      <w:r w:rsidR="00C65809">
        <w:t xml:space="preserve"> </w:t>
      </w:r>
      <w:r w:rsidR="00B27CC7">
        <w:t xml:space="preserve">These provisions are presented as if they were a chapter of a regulation with </w:t>
      </w:r>
      <w:r w:rsidR="003852D8">
        <w:t>other, existing chapters on other nuclear security topics</w:t>
      </w:r>
      <w:r w:rsidR="007F3328">
        <w:t xml:space="preserve">, such as physical protection. </w:t>
      </w:r>
      <w:r w:rsidR="00836810">
        <w:t>They are for illustrative purposes</w:t>
      </w:r>
      <w:r w:rsidR="00C17E20">
        <w:t xml:space="preserve"> only</w:t>
      </w:r>
      <w:r w:rsidR="00836810">
        <w:t>. Depending on how a regulatory body chooses to address the questions presented in Section 2 above, the</w:t>
      </w:r>
      <w:r w:rsidR="00D05763">
        <w:t xml:space="preserve"> provisions</w:t>
      </w:r>
      <w:r w:rsidR="00836810">
        <w:t xml:space="preserve"> could look quite different.</w:t>
      </w:r>
      <w:r w:rsidR="003D219C">
        <w:t xml:space="preserve"> Because of space limitations</w:t>
      </w:r>
      <w:r w:rsidR="00D2689B">
        <w:t>,</w:t>
      </w:r>
      <w:r w:rsidR="003D219C">
        <w:t xml:space="preserve"> </w:t>
      </w:r>
      <w:r w:rsidR="00EB044A">
        <w:t>some provisions are less detailed tha</w:t>
      </w:r>
      <w:r w:rsidR="00C17E20">
        <w:t>n what would likely be included in an actual regulation.</w:t>
      </w:r>
    </w:p>
    <w:p w14:paraId="3E53933C" w14:textId="7ED08FCA" w:rsidR="00406F89" w:rsidRPr="00EE0041" w:rsidRDefault="00BC797E" w:rsidP="00B750EF">
      <w:pPr>
        <w:pStyle w:val="Heading3"/>
        <w:numPr>
          <w:ilvl w:val="2"/>
          <w:numId w:val="10"/>
        </w:numPr>
      </w:pPr>
      <w:r w:rsidRPr="00BC797E">
        <w:rPr>
          <w:bCs/>
        </w:rPr>
        <w:t>Purpose</w:t>
      </w:r>
    </w:p>
    <w:p w14:paraId="4FE50066" w14:textId="60F7AECA" w:rsidR="00BD279A" w:rsidRPr="00EE0041" w:rsidRDefault="00BC797E" w:rsidP="003A126A">
      <w:pPr>
        <w:pStyle w:val="BodyText"/>
      </w:pPr>
      <w:r w:rsidRPr="00BC797E">
        <w:t>This chapter establishes requirements for protecting the confidentiality, integrity and availability of electronic data and computer systems and processes whose compromise could have an adverse impact on safety or nuclear security functions</w:t>
      </w:r>
      <w:r w:rsidR="00BD279A">
        <w:t>.</w:t>
      </w:r>
    </w:p>
    <w:p w14:paraId="1F4D3BC6" w14:textId="53B4ADEA" w:rsidR="00406F89" w:rsidRDefault="006E0D2D" w:rsidP="00E70CA5">
      <w:pPr>
        <w:pStyle w:val="Heading3"/>
      </w:pPr>
      <w:r>
        <w:t>Scope</w:t>
      </w:r>
    </w:p>
    <w:p w14:paraId="635F7FD6" w14:textId="4B17CC44" w:rsidR="00FA4290" w:rsidRPr="006E0D2D" w:rsidRDefault="006E0D2D" w:rsidP="006E0D2D">
      <w:pPr>
        <w:pStyle w:val="BodyText"/>
        <w:rPr>
          <w:lang w:val="en-US"/>
        </w:rPr>
      </w:pPr>
      <w:r w:rsidRPr="006E0D2D">
        <w:rPr>
          <w:lang w:val="en-US"/>
        </w:rPr>
        <w:t>This chapter applies to licensees of Category 1 and 2 radioactive material</w:t>
      </w:r>
      <w:r w:rsidR="00FA4290">
        <w:t>.</w:t>
      </w:r>
    </w:p>
    <w:p w14:paraId="61B81D91" w14:textId="2F323EB2" w:rsidR="00406F89" w:rsidRPr="00EE0041" w:rsidRDefault="00F476AE" w:rsidP="00E70CA5">
      <w:pPr>
        <w:pStyle w:val="Heading3"/>
      </w:pPr>
      <w:r>
        <w:t>Basic requirement</w:t>
      </w:r>
    </w:p>
    <w:p w14:paraId="6349BAFE" w14:textId="1C8DD036" w:rsidR="00CF500D" w:rsidRDefault="00F476AE" w:rsidP="00CF500D">
      <w:pPr>
        <w:pStyle w:val="BodyText"/>
      </w:pPr>
      <w:r>
        <w:t xml:space="preserve">No person or entity may use or store </w:t>
      </w:r>
      <w:r w:rsidR="00520732">
        <w:t>Category-</w:t>
      </w:r>
      <w:r w:rsidR="008546C4">
        <w:t>1 or 2 radioactive material or operate an associated</w:t>
      </w:r>
      <w:r w:rsidR="007D1180">
        <w:t xml:space="preserve"> facility except in conformance with the requirements of this chapter</w:t>
      </w:r>
      <w:r w:rsidR="00CF500D">
        <w:t>.</w:t>
      </w:r>
    </w:p>
    <w:p w14:paraId="1E979524" w14:textId="61565B49" w:rsidR="00715A1E" w:rsidRPr="00972825" w:rsidRDefault="004D02A0" w:rsidP="00715A1E">
      <w:pPr>
        <w:pStyle w:val="Heading3"/>
      </w:pPr>
      <w:r>
        <w:lastRenderedPageBreak/>
        <w:t>Definitions</w:t>
      </w:r>
    </w:p>
    <w:p w14:paraId="79823944" w14:textId="76B84019" w:rsidR="004D02A0" w:rsidRDefault="004D02A0" w:rsidP="00315B86">
      <w:pPr>
        <w:pStyle w:val="ListEmdash"/>
        <w:ind w:left="709"/>
      </w:pPr>
      <w:r w:rsidRPr="00315B86">
        <w:rPr>
          <w:b/>
        </w:rPr>
        <w:t>Computer security.</w:t>
      </w:r>
      <w:r>
        <w:t xml:space="preserve"> The aspect of information security that is concerned with computer-based systems, networks and digital systems.</w:t>
      </w:r>
    </w:p>
    <w:p w14:paraId="13DBE1CA" w14:textId="6A9A9D18" w:rsidR="004D02A0" w:rsidRDefault="004D02A0" w:rsidP="004D02A0">
      <w:pPr>
        <w:pStyle w:val="ListEmdash"/>
        <w:ind w:left="709"/>
      </w:pPr>
      <w:r w:rsidRPr="00315B86">
        <w:rPr>
          <w:b/>
        </w:rPr>
        <w:t>Computer-based systems.</w:t>
      </w:r>
      <w:r>
        <w:t xml:space="preserve"> The computation, communication, instrumentation and control devices that make up functional elements of a facility or activity</w:t>
      </w:r>
      <w:r w:rsidR="006C5EE1">
        <w:t xml:space="preserve">, including </w:t>
      </w:r>
      <w:r>
        <w:t xml:space="preserve">desktop computers, mainframe systems, servers and network devices, </w:t>
      </w:r>
      <w:r w:rsidR="006C5EE1">
        <w:t>as well as</w:t>
      </w:r>
      <w:r>
        <w:t xml:space="preserve"> lower level components such as embedded systems and programmable logic controllers. </w:t>
      </w:r>
    </w:p>
    <w:p w14:paraId="7571AE10" w14:textId="10554267" w:rsidR="004D02A0" w:rsidRDefault="004D02A0" w:rsidP="004D02A0">
      <w:pPr>
        <w:pStyle w:val="ListEmdash"/>
        <w:ind w:left="709"/>
      </w:pPr>
      <w:r w:rsidRPr="00315B86">
        <w:rPr>
          <w:b/>
        </w:rPr>
        <w:t>Computer security plan (CSP).</w:t>
      </w:r>
      <w:r>
        <w:t xml:space="preserve"> A plan for the implementation of the computer security policy specifying organizational roles, responsibilities and procedures. </w:t>
      </w:r>
    </w:p>
    <w:p w14:paraId="252F980C" w14:textId="240FEF83" w:rsidR="004D02A0" w:rsidRDefault="004D02A0" w:rsidP="004D02A0">
      <w:pPr>
        <w:pStyle w:val="ListEmdash"/>
        <w:ind w:left="709"/>
      </w:pPr>
      <w:r w:rsidRPr="00315B86">
        <w:rPr>
          <w:b/>
        </w:rPr>
        <w:t>Computer security incident.</w:t>
      </w:r>
      <w:r>
        <w:t xml:space="preserve"> An occurrence that actually or potentially jeopardizes the confidentiality, integrity or availability of a computer based, networked or digital information system or the information that the system processes, stores, or transmits or that constitutes a violation or imminent risk of violation of security policies, security procedures, or acceptable use policies.</w:t>
      </w:r>
    </w:p>
    <w:p w14:paraId="2DE8BE21" w14:textId="2A672310" w:rsidR="004D02A0" w:rsidRDefault="004D02A0" w:rsidP="004D02A0">
      <w:pPr>
        <w:pStyle w:val="ListEmdash"/>
        <w:ind w:left="709"/>
      </w:pPr>
      <w:r w:rsidRPr="00315B86">
        <w:rPr>
          <w:b/>
        </w:rPr>
        <w:t>Computer security measures.</w:t>
      </w:r>
      <w:r>
        <w:t xml:space="preserve"> Measures intended to prevent, detect or delay, respond to, and mitigate the consequences of malicious acts or other acts that could compromise computer security. </w:t>
      </w:r>
    </w:p>
    <w:p w14:paraId="370AA0B7" w14:textId="1BDC1D2A" w:rsidR="004D02A0" w:rsidRDefault="004D02A0" w:rsidP="004D02A0">
      <w:pPr>
        <w:pStyle w:val="ListEmdash"/>
        <w:ind w:left="709"/>
      </w:pPr>
      <w:r w:rsidRPr="00315B86">
        <w:rPr>
          <w:b/>
        </w:rPr>
        <w:t>Cyberattack.</w:t>
      </w:r>
      <w:r>
        <w:t xml:space="preserve"> A malicious act that targets sensitive information</w:t>
      </w:r>
      <w:r w:rsidR="006C5EE1">
        <w:t>,</w:t>
      </w:r>
      <w:r>
        <w:t xml:space="preserve"> sensitive information assets</w:t>
      </w:r>
      <w:r w:rsidR="006C5EE1">
        <w:t>, sensitive digital assets, or other computer-based systems</w:t>
      </w:r>
      <w:r>
        <w:t xml:space="preserve"> with the intent of </w:t>
      </w:r>
      <w:r w:rsidR="006C5EE1">
        <w:t>compromising the safety or security of radioactive material or an associated facility</w:t>
      </w:r>
      <w:r>
        <w:t xml:space="preserve">. </w:t>
      </w:r>
    </w:p>
    <w:p w14:paraId="2DC453D0" w14:textId="657D6A1D" w:rsidR="004D02A0" w:rsidRDefault="004D02A0" w:rsidP="004D02A0">
      <w:pPr>
        <w:pStyle w:val="ListEmdash"/>
        <w:ind w:left="709"/>
      </w:pPr>
      <w:r w:rsidRPr="00315B86">
        <w:rPr>
          <w:b/>
        </w:rPr>
        <w:t>Information security.</w:t>
      </w:r>
      <w:r>
        <w:t xml:space="preserve"> The preservation of the confidentiality, integrity and availability of information. </w:t>
      </w:r>
    </w:p>
    <w:p w14:paraId="5FD02967" w14:textId="6C389320" w:rsidR="004D02A0" w:rsidRDefault="004D02A0" w:rsidP="004D02A0">
      <w:pPr>
        <w:pStyle w:val="ListEmdash"/>
        <w:ind w:left="709"/>
      </w:pPr>
      <w:r w:rsidRPr="00315B86">
        <w:rPr>
          <w:b/>
        </w:rPr>
        <w:t>Sensitive digital assets (SDAs).</w:t>
      </w:r>
      <w:r>
        <w:t xml:space="preserve"> Sensitive information assets that are computer-based systems. </w:t>
      </w:r>
    </w:p>
    <w:p w14:paraId="3BE79020" w14:textId="54369750" w:rsidR="00EE471D" w:rsidRDefault="004D02A0" w:rsidP="004D02A0">
      <w:pPr>
        <w:pStyle w:val="ListEmdash"/>
        <w:ind w:left="709"/>
      </w:pPr>
      <w:r w:rsidRPr="00315B86">
        <w:rPr>
          <w:b/>
        </w:rPr>
        <w:t>Sensitive information.</w:t>
      </w:r>
      <w:r>
        <w:t xml:space="preserve"> Information, in whatever form, including software, the unauthorized disclosure, modification, alteration, destruction, or denial of use of which could compromise nuclear security</w:t>
      </w:r>
      <w:r w:rsidR="00315B86">
        <w:t>.</w:t>
      </w:r>
    </w:p>
    <w:p w14:paraId="4D57B6EC" w14:textId="30E6A953" w:rsidR="00AA2CB2" w:rsidRDefault="00AA2CB2" w:rsidP="004D02A0">
      <w:pPr>
        <w:pStyle w:val="ListEmdash"/>
        <w:ind w:left="709"/>
      </w:pPr>
      <w:r w:rsidRPr="00AA2CB2">
        <w:rPr>
          <w:b/>
        </w:rPr>
        <w:t>Sensitive information assets.</w:t>
      </w:r>
      <w:r>
        <w:t xml:space="preserve"> </w:t>
      </w:r>
      <w:r w:rsidRPr="00AA2CB2">
        <w:t>Any equipment or components that are used to store, process, control</w:t>
      </w:r>
      <w:r>
        <w:t>,</w:t>
      </w:r>
      <w:r w:rsidRPr="00AA2CB2">
        <w:t xml:space="preserve"> or transmit sensitive information</w:t>
      </w:r>
      <w:r>
        <w:t>, including</w:t>
      </w:r>
      <w:r w:rsidRPr="00AA2CB2">
        <w:t xml:space="preserve"> control systems, networks, information systems and any other electronic or physical media</w:t>
      </w:r>
    </w:p>
    <w:p w14:paraId="1F725D89" w14:textId="0E22F127" w:rsidR="002318FB" w:rsidRDefault="00AC4B81" w:rsidP="002318FB">
      <w:pPr>
        <w:pStyle w:val="Heading3"/>
      </w:pPr>
      <w:r>
        <w:t>Response to computer security incidents</w:t>
      </w:r>
    </w:p>
    <w:p w14:paraId="6D8A2454" w14:textId="34076CE0" w:rsidR="006C5EE1" w:rsidRDefault="006C5EE1" w:rsidP="006C5EE1">
      <w:pPr>
        <w:pStyle w:val="BodyText"/>
      </w:pPr>
      <w:r>
        <w:t>The licensee must establish policies and procedures to:</w:t>
      </w:r>
    </w:p>
    <w:p w14:paraId="0733FEC9" w14:textId="563988F1" w:rsidR="006C5EE1" w:rsidRDefault="006C5EE1" w:rsidP="00B750EF">
      <w:pPr>
        <w:pStyle w:val="ListEmdash"/>
        <w:numPr>
          <w:ilvl w:val="0"/>
          <w:numId w:val="12"/>
        </w:numPr>
        <w:ind w:left="709"/>
      </w:pPr>
      <w:r w:rsidRPr="00AA2CB2">
        <w:t xml:space="preserve">Maintain the capability for timely detection and response to </w:t>
      </w:r>
      <w:r>
        <w:t xml:space="preserve">computer security incidents and </w:t>
      </w:r>
      <w:r w:rsidRPr="00AA2CB2">
        <w:t>cyberattacks;</w:t>
      </w:r>
    </w:p>
    <w:p w14:paraId="344DF4C1" w14:textId="5775C449" w:rsidR="00AA2CB2" w:rsidRPr="00AA2CB2" w:rsidRDefault="006C5EE1" w:rsidP="00B750EF">
      <w:pPr>
        <w:pStyle w:val="ListEmdash"/>
        <w:numPr>
          <w:ilvl w:val="0"/>
          <w:numId w:val="12"/>
        </w:numPr>
        <w:ind w:left="709"/>
      </w:pPr>
      <w:r>
        <w:t xml:space="preserve">Notify the Regulatory Body of any </w:t>
      </w:r>
      <w:r w:rsidR="00DD1D88">
        <w:t xml:space="preserve">significant </w:t>
      </w:r>
      <w:r>
        <w:t>computer security incident or any actual or attempted cyberattack within 4 hours of discovery;</w:t>
      </w:r>
    </w:p>
    <w:p w14:paraId="2DB3641C" w14:textId="34BAF4E5" w:rsidR="00AA2CB2" w:rsidRPr="00AA2CB2" w:rsidRDefault="00AA2CB2" w:rsidP="00B750EF">
      <w:pPr>
        <w:pStyle w:val="ListEmdash"/>
        <w:numPr>
          <w:ilvl w:val="0"/>
          <w:numId w:val="12"/>
        </w:numPr>
        <w:ind w:left="709"/>
      </w:pPr>
      <w:r w:rsidRPr="00AA2CB2">
        <w:t xml:space="preserve">Mitigate the consequences of </w:t>
      </w:r>
      <w:r w:rsidR="006C5EE1">
        <w:t>computer security incidents</w:t>
      </w:r>
      <w:r w:rsidR="00DD1D88">
        <w:t xml:space="preserve"> or</w:t>
      </w:r>
      <w:r w:rsidR="006C5EE1">
        <w:t xml:space="preserve"> </w:t>
      </w:r>
      <w:r w:rsidRPr="00AA2CB2">
        <w:t>cyberattacks;</w:t>
      </w:r>
    </w:p>
    <w:p w14:paraId="361CE8FD" w14:textId="77777777" w:rsidR="006C5EE1" w:rsidRDefault="00AA2CB2" w:rsidP="00B750EF">
      <w:pPr>
        <w:pStyle w:val="ListEmdash"/>
        <w:numPr>
          <w:ilvl w:val="0"/>
          <w:numId w:val="12"/>
        </w:numPr>
        <w:ind w:left="709"/>
      </w:pPr>
      <w:r w:rsidRPr="00AA2CB2">
        <w:t>Correct exploited vulnerabilities; and</w:t>
      </w:r>
    </w:p>
    <w:p w14:paraId="38A739B9" w14:textId="554F3299" w:rsidR="002318FB" w:rsidRDefault="00AA2CB2" w:rsidP="00B750EF">
      <w:pPr>
        <w:pStyle w:val="ListEmdash"/>
        <w:numPr>
          <w:ilvl w:val="0"/>
          <w:numId w:val="12"/>
        </w:numPr>
        <w:ind w:left="709"/>
      </w:pPr>
      <w:r w:rsidRPr="00AA2CB2">
        <w:t xml:space="preserve">Restore affected systems, networks, and/or equipment affected by </w:t>
      </w:r>
      <w:r w:rsidR="006C5EE1">
        <w:t xml:space="preserve">computer security incidents or </w:t>
      </w:r>
      <w:r w:rsidRPr="00AA2CB2">
        <w:t>cyberattacks</w:t>
      </w:r>
    </w:p>
    <w:p w14:paraId="3D90F3E4" w14:textId="172319F3" w:rsidR="00406F89" w:rsidRDefault="00EC5527" w:rsidP="00E70CA5">
      <w:pPr>
        <w:pStyle w:val="Heading3"/>
      </w:pPr>
      <w:r>
        <w:t xml:space="preserve">Computer </w:t>
      </w:r>
      <w:r w:rsidR="007E7163">
        <w:t>s</w:t>
      </w:r>
      <w:r>
        <w:t xml:space="preserve">ecurity </w:t>
      </w:r>
      <w:r w:rsidR="007E7163">
        <w:t>p</w:t>
      </w:r>
      <w:r>
        <w:t>lan</w:t>
      </w:r>
    </w:p>
    <w:p w14:paraId="1CE0729B" w14:textId="40C666A3" w:rsidR="00980F51" w:rsidRDefault="00EC5527" w:rsidP="00EC5527">
      <w:pPr>
        <w:pStyle w:val="BodyText"/>
      </w:pPr>
      <w:r>
        <w:rPr>
          <w:lang w:val="en-US"/>
        </w:rPr>
        <w:t>The licensee</w:t>
      </w:r>
      <w:r w:rsidRPr="00EC5527">
        <w:rPr>
          <w:lang w:val="en-US"/>
        </w:rPr>
        <w:t xml:space="preserve"> must document </w:t>
      </w:r>
      <w:r>
        <w:rPr>
          <w:lang w:val="en-US"/>
        </w:rPr>
        <w:t>its</w:t>
      </w:r>
      <w:r w:rsidRPr="00EC5527">
        <w:rPr>
          <w:lang w:val="en-US"/>
        </w:rPr>
        <w:t xml:space="preserve"> compliance with the requirements of this chapter in </w:t>
      </w:r>
      <w:r w:rsidR="000378F5">
        <w:rPr>
          <w:lang w:val="en-US"/>
        </w:rPr>
        <w:t xml:space="preserve">a </w:t>
      </w:r>
      <w:r>
        <w:rPr>
          <w:lang w:val="en-US"/>
        </w:rPr>
        <w:t xml:space="preserve">computer </w:t>
      </w:r>
      <w:r w:rsidRPr="00EC5527">
        <w:rPr>
          <w:lang w:val="en-US"/>
        </w:rPr>
        <w:t xml:space="preserve">security plan, which may be </w:t>
      </w:r>
      <w:r w:rsidR="00AC2D11">
        <w:rPr>
          <w:lang w:val="en-US"/>
        </w:rPr>
        <w:t xml:space="preserve">a </w:t>
      </w:r>
      <w:r w:rsidRPr="00EC5527">
        <w:rPr>
          <w:lang w:val="en-US"/>
        </w:rPr>
        <w:t xml:space="preserve">stand-alone </w:t>
      </w:r>
      <w:r w:rsidR="00AC2D11">
        <w:rPr>
          <w:lang w:val="en-US"/>
        </w:rPr>
        <w:t xml:space="preserve">document </w:t>
      </w:r>
      <w:r w:rsidRPr="00EC5527">
        <w:rPr>
          <w:lang w:val="en-US"/>
        </w:rPr>
        <w:t>or incorporated in the applicable general security plan.</w:t>
      </w:r>
      <w:r>
        <w:rPr>
          <w:lang w:val="en-US"/>
        </w:rPr>
        <w:t xml:space="preserve"> </w:t>
      </w:r>
      <w:r w:rsidR="00924A1D">
        <w:rPr>
          <w:lang w:val="en-US"/>
        </w:rPr>
        <w:t xml:space="preserve">The licensee must </w:t>
      </w:r>
      <w:r w:rsidR="00924A1D">
        <w:t>review its computer security plan at least annually and update it to reflect new technologies used in computer-based systems, as well as newly identified threats and vulnerabilities.</w:t>
      </w:r>
    </w:p>
    <w:p w14:paraId="2A0F9A26" w14:textId="3018DCA2" w:rsidR="00AA2CB2" w:rsidRPr="00EC5527" w:rsidRDefault="00AA2CB2" w:rsidP="00AA2CB2">
      <w:pPr>
        <w:pStyle w:val="BodyText"/>
        <w:ind w:firstLine="0"/>
        <w:rPr>
          <w:lang w:val="en-US"/>
        </w:rPr>
      </w:pPr>
      <w:r>
        <w:t>[</w:t>
      </w:r>
      <w:r>
        <w:rPr>
          <w:i/>
        </w:rPr>
        <w:t>Recommended topics to be included in computer security plans to be specified in regulatory guidance.</w:t>
      </w:r>
      <w:r>
        <w:t>]</w:t>
      </w:r>
    </w:p>
    <w:p w14:paraId="69996AAA" w14:textId="6599EA39" w:rsidR="00406F89" w:rsidRDefault="00AF5D09" w:rsidP="00E70CA5">
      <w:pPr>
        <w:pStyle w:val="Heading3"/>
      </w:pPr>
      <w:r>
        <w:t xml:space="preserve">Systems and devices </w:t>
      </w:r>
      <w:r w:rsidR="005A1209">
        <w:t>to be protected</w:t>
      </w:r>
    </w:p>
    <w:p w14:paraId="0ACDB2E5" w14:textId="200F15FA" w:rsidR="007E7163" w:rsidRPr="007E7163" w:rsidRDefault="007C47ED" w:rsidP="007E7163">
      <w:pPr>
        <w:pStyle w:val="BodyText"/>
      </w:pPr>
      <w:r>
        <w:t xml:space="preserve">The licensee </w:t>
      </w:r>
      <w:r w:rsidR="002F3574">
        <w:t xml:space="preserve">must </w:t>
      </w:r>
      <w:r>
        <w:t>protect:</w:t>
      </w:r>
    </w:p>
    <w:p w14:paraId="4F020E7D" w14:textId="62FD06A5" w:rsidR="00912C6D" w:rsidRDefault="00A23588" w:rsidP="00912C6D">
      <w:pPr>
        <w:pStyle w:val="ListEmdash"/>
        <w:ind w:left="709"/>
      </w:pPr>
      <w:r>
        <w:t>Computer-based systems</w:t>
      </w:r>
      <w:r w:rsidR="007C47ED" w:rsidRPr="007C47ED">
        <w:t xml:space="preserve"> that support </w:t>
      </w:r>
      <w:r w:rsidR="00F91863">
        <w:t>physical protection</w:t>
      </w:r>
      <w:r w:rsidR="007C47ED" w:rsidRPr="007C47ED">
        <w:t xml:space="preserve"> systems</w:t>
      </w:r>
      <w:r>
        <w:t>;</w:t>
      </w:r>
    </w:p>
    <w:p w14:paraId="1FF4D74A" w14:textId="4A992164" w:rsidR="00A23588" w:rsidRDefault="005A18DC" w:rsidP="00912C6D">
      <w:pPr>
        <w:pStyle w:val="ListEmdash"/>
        <w:ind w:left="709"/>
      </w:pPr>
      <w:r w:rsidRPr="005A18DC">
        <w:t xml:space="preserve">Equipment and devices with software-based control, operation, and automation features, whose compromise could facilitate sabotage or </w:t>
      </w:r>
      <w:r>
        <w:t>unauthorized removal;</w:t>
      </w:r>
    </w:p>
    <w:p w14:paraId="6FA2D56A" w14:textId="74ACC23E" w:rsidR="005A18DC" w:rsidRDefault="004A107C" w:rsidP="00912C6D">
      <w:pPr>
        <w:pStyle w:val="ListEmdash"/>
        <w:ind w:left="709"/>
      </w:pPr>
      <w:r w:rsidRPr="004A107C">
        <w:lastRenderedPageBreak/>
        <w:t>Computer</w:t>
      </w:r>
      <w:r>
        <w:t xml:space="preserve">-based </w:t>
      </w:r>
      <w:r w:rsidRPr="004A107C">
        <w:t xml:space="preserve">systems used to maintain </w:t>
      </w:r>
      <w:r>
        <w:t>radioactive material</w:t>
      </w:r>
      <w:r w:rsidRPr="004A107C">
        <w:t xml:space="preserve"> inventories, audit data, and records necessary for compliance with </w:t>
      </w:r>
      <w:r>
        <w:t xml:space="preserve">nuclear </w:t>
      </w:r>
      <w:r w:rsidRPr="004A107C">
        <w:t>security requirements</w:t>
      </w:r>
      <w:r>
        <w:t>; and</w:t>
      </w:r>
    </w:p>
    <w:p w14:paraId="51A380BB" w14:textId="2482EFB1" w:rsidR="004A107C" w:rsidRDefault="00FE040C" w:rsidP="00912C6D">
      <w:pPr>
        <w:pStyle w:val="ListEmdash"/>
        <w:ind w:left="709"/>
      </w:pPr>
      <w:r>
        <w:t>Computer-based systems</w:t>
      </w:r>
      <w:r w:rsidRPr="00FE040C">
        <w:t xml:space="preserve"> used to support incident response communications</w:t>
      </w:r>
      <w:r>
        <w:t xml:space="preserve"> and </w:t>
      </w:r>
      <w:r w:rsidRPr="00FE040C">
        <w:t>coordinat</w:t>
      </w:r>
      <w:r>
        <w:t>ion.</w:t>
      </w:r>
    </w:p>
    <w:p w14:paraId="388AEDA0" w14:textId="2DE39247" w:rsidR="00406F89" w:rsidRDefault="00930824" w:rsidP="00E70CA5">
      <w:pPr>
        <w:pStyle w:val="Heading3"/>
      </w:pPr>
      <w:r>
        <w:t>Malicious acts</w:t>
      </w:r>
      <w:r w:rsidR="00C73298">
        <w:t xml:space="preserve"> to be countered</w:t>
      </w:r>
    </w:p>
    <w:p w14:paraId="10DFC6E5" w14:textId="28B8AB21" w:rsidR="00A632BD" w:rsidRDefault="00C73298" w:rsidP="00537496">
      <w:pPr>
        <w:pStyle w:val="BodyText"/>
      </w:pPr>
      <w:r>
        <w:t>The licensee must protect the systems and devices specified in 3.6 against</w:t>
      </w:r>
      <w:r w:rsidR="004B4BB0">
        <w:t xml:space="preserve"> adversaries attempting to:</w:t>
      </w:r>
    </w:p>
    <w:p w14:paraId="6396C8A1" w14:textId="581E48F8" w:rsidR="003C0D22" w:rsidRPr="003C0D22" w:rsidRDefault="003C0D22" w:rsidP="003C0D22">
      <w:pPr>
        <w:pStyle w:val="ListEmdash"/>
        <w:ind w:left="709"/>
        <w:rPr>
          <w:lang w:val="en-US"/>
        </w:rPr>
      </w:pPr>
      <w:r w:rsidRPr="003C0D22">
        <w:rPr>
          <w:lang w:val="en-US"/>
        </w:rPr>
        <w:t xml:space="preserve">Use a cyberattack to override </w:t>
      </w:r>
      <w:r w:rsidR="003902F3">
        <w:rPr>
          <w:lang w:val="en-US"/>
        </w:rPr>
        <w:t>the licensee’s</w:t>
      </w:r>
      <w:r w:rsidRPr="003C0D22">
        <w:rPr>
          <w:lang w:val="en-US"/>
        </w:rPr>
        <w:t xml:space="preserve"> network controls and security measures, allowing them to facilitate a physical attack, which could result in unauthorized and/or undetected access to radioactive material;</w:t>
      </w:r>
    </w:p>
    <w:p w14:paraId="7B1B21FB" w14:textId="7307CAC1" w:rsidR="003C0D22" w:rsidRPr="003C0D22" w:rsidRDefault="003C0D22" w:rsidP="003C0D22">
      <w:pPr>
        <w:pStyle w:val="ListEmdash"/>
        <w:ind w:left="709"/>
        <w:rPr>
          <w:lang w:val="en-US"/>
        </w:rPr>
      </w:pPr>
      <w:r w:rsidRPr="003C0D22">
        <w:rPr>
          <w:lang w:val="en-US"/>
        </w:rPr>
        <w:t xml:space="preserve">Exploit security equipment to gain access to </w:t>
      </w:r>
      <w:r w:rsidR="0054699F">
        <w:rPr>
          <w:lang w:val="en-US"/>
        </w:rPr>
        <w:t>the licensee’s</w:t>
      </w:r>
      <w:r w:rsidRPr="003C0D22">
        <w:rPr>
          <w:lang w:val="en-US"/>
        </w:rPr>
        <w:t xml:space="preserve"> network to carry out a cyberattack</w:t>
      </w:r>
      <w:r w:rsidR="0054699F">
        <w:rPr>
          <w:lang w:val="en-US"/>
        </w:rPr>
        <w:t>,</w:t>
      </w:r>
      <w:r w:rsidRPr="003C0D22">
        <w:rPr>
          <w:lang w:val="en-US"/>
        </w:rPr>
        <w:t xml:space="preserve"> such as installing ransomware or stealing proprietary or other sensitive information;</w:t>
      </w:r>
    </w:p>
    <w:p w14:paraId="0EC0D07B" w14:textId="33697705" w:rsidR="003902F3" w:rsidRPr="003902F3" w:rsidRDefault="003902F3" w:rsidP="003902F3">
      <w:pPr>
        <w:pStyle w:val="ListEmdash"/>
        <w:ind w:left="709"/>
        <w:rPr>
          <w:lang w:val="en-US"/>
        </w:rPr>
      </w:pPr>
      <w:r w:rsidRPr="003902F3">
        <w:rPr>
          <w:lang w:val="en-US"/>
        </w:rPr>
        <w:t>Use a cyberattack to manipulate or sabotage equipment and processes that use radioactive sources; or</w:t>
      </w:r>
    </w:p>
    <w:p w14:paraId="56F9E6C9" w14:textId="5A21774F" w:rsidR="00A632BD" w:rsidRDefault="003902F3" w:rsidP="003902F3">
      <w:pPr>
        <w:pStyle w:val="ListEmdash"/>
        <w:ind w:left="709"/>
        <w:rPr>
          <w:lang w:val="en-US"/>
        </w:rPr>
      </w:pPr>
      <w:r w:rsidRPr="003902F3">
        <w:rPr>
          <w:lang w:val="en-US"/>
        </w:rPr>
        <w:t xml:space="preserve">Use social engineering to exploit insiders to gain access to physical </w:t>
      </w:r>
      <w:r w:rsidR="00BC0DDA">
        <w:rPr>
          <w:lang w:val="en-US"/>
        </w:rPr>
        <w:t>protection</w:t>
      </w:r>
      <w:r w:rsidRPr="003902F3">
        <w:rPr>
          <w:lang w:val="en-US"/>
        </w:rPr>
        <w:t xml:space="preserve"> systems, networks, and related subsystems</w:t>
      </w:r>
      <w:r w:rsidR="00BC0DDA">
        <w:rPr>
          <w:lang w:val="en-US"/>
        </w:rPr>
        <w:t>.</w:t>
      </w:r>
    </w:p>
    <w:p w14:paraId="367FF7F7" w14:textId="2154723F" w:rsidR="00554841" w:rsidRPr="007325D5" w:rsidRDefault="007325D5" w:rsidP="00554841">
      <w:pPr>
        <w:pStyle w:val="Heading3"/>
      </w:pPr>
      <w:r w:rsidRPr="007325D5">
        <w:t>Degree of protection</w:t>
      </w:r>
      <w:r w:rsidR="005F6F3F">
        <w:t xml:space="preserve"> required</w:t>
      </w:r>
    </w:p>
    <w:p w14:paraId="4582927A" w14:textId="613FADFF" w:rsidR="007325D5" w:rsidRPr="007325D5" w:rsidRDefault="006A3D8A" w:rsidP="007325D5">
      <w:pPr>
        <w:pStyle w:val="BodyText"/>
        <w:rPr>
          <w:lang w:val="en-US"/>
        </w:rPr>
      </w:pPr>
      <w:r>
        <w:rPr>
          <w:lang w:val="en-US"/>
        </w:rPr>
        <w:t>In implementing the requirements of this chapter, t</w:t>
      </w:r>
      <w:r w:rsidR="007325D5" w:rsidRPr="007325D5">
        <w:rPr>
          <w:lang w:val="en-US"/>
        </w:rPr>
        <w:t xml:space="preserve">he licensee </w:t>
      </w:r>
      <w:r w:rsidR="00AC4B81">
        <w:rPr>
          <w:lang w:val="en-US"/>
        </w:rPr>
        <w:t>must</w:t>
      </w:r>
      <w:r w:rsidR="007325D5" w:rsidRPr="007325D5">
        <w:rPr>
          <w:lang w:val="en-US"/>
        </w:rPr>
        <w:t xml:space="preserve"> provide reasonable assurance that </w:t>
      </w:r>
      <w:r w:rsidR="00677A88">
        <w:rPr>
          <w:lang w:val="en-US"/>
        </w:rPr>
        <w:t xml:space="preserve">the systems and devices specified in </w:t>
      </w:r>
      <w:r w:rsidR="00EB0DEB">
        <w:rPr>
          <w:lang w:val="en-US"/>
        </w:rPr>
        <w:t xml:space="preserve">3.6 </w:t>
      </w:r>
      <w:r w:rsidR="007325D5" w:rsidRPr="007325D5">
        <w:rPr>
          <w:lang w:val="en-US"/>
        </w:rPr>
        <w:t>are adequately protected against</w:t>
      </w:r>
      <w:r w:rsidR="00EB0DEB">
        <w:rPr>
          <w:lang w:val="en-US"/>
        </w:rPr>
        <w:t xml:space="preserve"> the malicious acts specified in 3.7</w:t>
      </w:r>
      <w:r w:rsidR="007325D5" w:rsidRPr="007325D5">
        <w:rPr>
          <w:lang w:val="en-US"/>
        </w:rPr>
        <w:t>.</w:t>
      </w:r>
    </w:p>
    <w:p w14:paraId="1ED52AE9" w14:textId="08C86776" w:rsidR="00522D8A" w:rsidRPr="002F6B42" w:rsidRDefault="00BD02F6" w:rsidP="00522D8A">
      <w:pPr>
        <w:pStyle w:val="Heading3"/>
      </w:pPr>
      <w:r>
        <w:t>Computer security management</w:t>
      </w:r>
    </w:p>
    <w:p w14:paraId="45347D28" w14:textId="539B6106" w:rsidR="00BD02F6" w:rsidRPr="00BD02F6" w:rsidRDefault="00BD02F6" w:rsidP="00BD02F6">
      <w:pPr>
        <w:pStyle w:val="BodyText"/>
      </w:pPr>
      <w:r w:rsidRPr="00BD02F6">
        <w:t xml:space="preserve">The licensee </w:t>
      </w:r>
      <w:r w:rsidR="00AC4B81">
        <w:t>must</w:t>
      </w:r>
      <w:r w:rsidRPr="00BD02F6">
        <w:t>:</w:t>
      </w:r>
    </w:p>
    <w:p w14:paraId="09B24A4A" w14:textId="679F387B" w:rsidR="00BD02F6" w:rsidRPr="00BD02F6" w:rsidRDefault="00BD02F6" w:rsidP="00B750EF">
      <w:pPr>
        <w:pStyle w:val="ListEmdash"/>
        <w:numPr>
          <w:ilvl w:val="0"/>
          <w:numId w:val="12"/>
        </w:numPr>
        <w:ind w:left="709"/>
      </w:pPr>
      <w:r w:rsidRPr="00BD02F6">
        <w:t xml:space="preserve">Designate an individual responsible for </w:t>
      </w:r>
      <w:r w:rsidR="00AC4B81">
        <w:t>computer security</w:t>
      </w:r>
      <w:r w:rsidRPr="00BD02F6">
        <w:t>;</w:t>
      </w:r>
    </w:p>
    <w:p w14:paraId="0FC7DB59" w14:textId="77777777" w:rsidR="00272BD5" w:rsidRPr="00272BD5" w:rsidRDefault="00272BD5" w:rsidP="00B750EF">
      <w:pPr>
        <w:pStyle w:val="ListEmdash"/>
        <w:numPr>
          <w:ilvl w:val="0"/>
          <w:numId w:val="12"/>
        </w:numPr>
        <w:ind w:left="709"/>
        <w:rPr>
          <w:lang w:val="en-US"/>
        </w:rPr>
      </w:pPr>
      <w:r w:rsidRPr="00272BD5">
        <w:rPr>
          <w:lang w:val="en-US"/>
        </w:rPr>
        <w:t>Establish acceptable use policy for employee use of computer resources;</w:t>
      </w:r>
    </w:p>
    <w:p w14:paraId="70A93C73" w14:textId="75B6E90A" w:rsidR="00BD02F6" w:rsidRPr="00BD02F6" w:rsidRDefault="00272BD5" w:rsidP="00B750EF">
      <w:pPr>
        <w:pStyle w:val="ListEmdash"/>
        <w:numPr>
          <w:ilvl w:val="0"/>
          <w:numId w:val="12"/>
        </w:numPr>
        <w:ind w:left="709"/>
        <w:rPr>
          <w:lang w:val="en-US"/>
        </w:rPr>
      </w:pPr>
      <w:r w:rsidRPr="00272BD5">
        <w:rPr>
          <w:lang w:val="en-US"/>
        </w:rPr>
        <w:t>Establish and implement plans, processes, and procedures for recovery and full restoration, in a timely manner, of any capabilities or services that are impaired due to a cyber event</w:t>
      </w:r>
      <w:r w:rsidR="00BD02F6" w:rsidRPr="00BD02F6">
        <w:t>;</w:t>
      </w:r>
      <w:r w:rsidR="00D461E7">
        <w:t xml:space="preserve"> and</w:t>
      </w:r>
    </w:p>
    <w:p w14:paraId="72DBDF71" w14:textId="24DCC047" w:rsidR="00522D8A" w:rsidRDefault="00BD02F6" w:rsidP="00B750EF">
      <w:pPr>
        <w:pStyle w:val="ListEmdash"/>
        <w:numPr>
          <w:ilvl w:val="0"/>
          <w:numId w:val="12"/>
        </w:numPr>
        <w:ind w:left="709"/>
      </w:pPr>
      <w:r w:rsidRPr="00BD02F6">
        <w:t>Establish and implement a security awareness program for all employees</w:t>
      </w:r>
      <w:r w:rsidR="00522D8A">
        <w:t>.</w:t>
      </w:r>
    </w:p>
    <w:p w14:paraId="203414CE" w14:textId="0612DF00" w:rsidR="00522D8A" w:rsidRPr="002F6B42" w:rsidRDefault="00673E61" w:rsidP="00522D8A">
      <w:pPr>
        <w:pStyle w:val="Heading3"/>
      </w:pPr>
      <w:r>
        <w:t xml:space="preserve">Network </w:t>
      </w:r>
      <w:r w:rsidR="00D40BF5">
        <w:t>polic</w:t>
      </w:r>
      <w:r w:rsidR="0079049C">
        <w:t>i</w:t>
      </w:r>
      <w:r w:rsidR="00D40BF5">
        <w:t>es and procedures</w:t>
      </w:r>
    </w:p>
    <w:p w14:paraId="090EF8C8" w14:textId="32EF2896" w:rsidR="00522D8A" w:rsidRPr="00D121A2" w:rsidRDefault="00D121A2" w:rsidP="00D121A2">
      <w:pPr>
        <w:pStyle w:val="BodyText"/>
        <w:rPr>
          <w:lang w:val="en-US"/>
        </w:rPr>
      </w:pPr>
      <w:bookmarkStart w:id="0" w:name="_Hlk21674122"/>
      <w:r w:rsidRPr="00D121A2">
        <w:rPr>
          <w:lang w:val="en-US"/>
        </w:rPr>
        <w:t xml:space="preserve">The licensee </w:t>
      </w:r>
      <w:r w:rsidR="00AC4B81">
        <w:rPr>
          <w:lang w:val="en-US"/>
        </w:rPr>
        <w:t>must</w:t>
      </w:r>
      <w:r w:rsidRPr="00D121A2">
        <w:rPr>
          <w:lang w:val="en-US"/>
        </w:rPr>
        <w:t xml:space="preserve"> establish policies and procedures to manage its digital networks in a secure manner</w:t>
      </w:r>
      <w:r w:rsidR="00522D8A">
        <w:t>.</w:t>
      </w:r>
    </w:p>
    <w:p w14:paraId="67AA23CD" w14:textId="6236D323" w:rsidR="000811B5" w:rsidRPr="000811B5" w:rsidRDefault="000811B5" w:rsidP="00AA2CB2">
      <w:pPr>
        <w:pStyle w:val="BodyText"/>
        <w:ind w:firstLine="0"/>
        <w:rPr>
          <w:lang w:val="en-US"/>
        </w:rPr>
      </w:pPr>
      <w:r>
        <w:t>[</w:t>
      </w:r>
      <w:r w:rsidR="00AC4B81">
        <w:rPr>
          <w:i/>
        </w:rPr>
        <w:t>Recommended</w:t>
      </w:r>
      <w:r>
        <w:rPr>
          <w:i/>
        </w:rPr>
        <w:t xml:space="preserve"> </w:t>
      </w:r>
      <w:r w:rsidR="00816492">
        <w:rPr>
          <w:i/>
        </w:rPr>
        <w:t>topics for network policies and procedures</w:t>
      </w:r>
      <w:r>
        <w:rPr>
          <w:i/>
        </w:rPr>
        <w:t xml:space="preserve"> to be specified in regulatory guidance.</w:t>
      </w:r>
      <w:r>
        <w:t>]</w:t>
      </w:r>
    </w:p>
    <w:bookmarkEnd w:id="0"/>
    <w:p w14:paraId="6B46BD32" w14:textId="2ABF4E27" w:rsidR="00522D8A" w:rsidRPr="002F6B42" w:rsidRDefault="00353415" w:rsidP="00522D8A">
      <w:pPr>
        <w:pStyle w:val="Heading3"/>
      </w:pPr>
      <w:r>
        <w:t>Network design and operations</w:t>
      </w:r>
    </w:p>
    <w:p w14:paraId="56F5050D" w14:textId="08B590CD" w:rsidR="00B21658" w:rsidRPr="00D121A2" w:rsidRDefault="00B21658" w:rsidP="00B21658">
      <w:pPr>
        <w:pStyle w:val="BodyText"/>
        <w:rPr>
          <w:lang w:val="en-US"/>
        </w:rPr>
      </w:pPr>
      <w:r w:rsidRPr="00B21658">
        <w:t xml:space="preserve">The licensee </w:t>
      </w:r>
      <w:r w:rsidR="00AC4B81">
        <w:t>must</w:t>
      </w:r>
      <w:r w:rsidRPr="00B21658">
        <w:t xml:space="preserve"> design and operate its digital networks in a manner that reduces </w:t>
      </w:r>
      <w:r w:rsidR="00AC4B81">
        <w:t xml:space="preserve">their </w:t>
      </w:r>
      <w:r w:rsidRPr="00B21658">
        <w:t xml:space="preserve">vulnerability to </w:t>
      </w:r>
      <w:r w:rsidR="001E47A7" w:rsidRPr="001E47A7">
        <w:t>the malicious acts specified in 3.7</w:t>
      </w:r>
      <w:r>
        <w:t>.</w:t>
      </w:r>
    </w:p>
    <w:p w14:paraId="190CA4C3" w14:textId="27FA0F83" w:rsidR="00522D8A" w:rsidRPr="00B21658" w:rsidRDefault="00B21658" w:rsidP="00AA2CB2">
      <w:pPr>
        <w:pStyle w:val="BodyText"/>
        <w:ind w:firstLine="0"/>
        <w:rPr>
          <w:lang w:val="en-US"/>
        </w:rPr>
      </w:pPr>
      <w:r>
        <w:t>[</w:t>
      </w:r>
      <w:r w:rsidR="00AC4B81">
        <w:rPr>
          <w:i/>
        </w:rPr>
        <w:t>Recommended</w:t>
      </w:r>
      <w:r>
        <w:rPr>
          <w:i/>
        </w:rPr>
        <w:t xml:space="preserve"> </w:t>
      </w:r>
      <w:r w:rsidR="00F91549">
        <w:rPr>
          <w:i/>
        </w:rPr>
        <w:t>practices</w:t>
      </w:r>
      <w:r w:rsidR="004E237D">
        <w:rPr>
          <w:i/>
        </w:rPr>
        <w:t xml:space="preserve"> for network design and operations </w:t>
      </w:r>
      <w:r>
        <w:rPr>
          <w:i/>
        </w:rPr>
        <w:t>to be specified in regulatory guidance.</w:t>
      </w:r>
      <w:r>
        <w:t>]</w:t>
      </w:r>
    </w:p>
    <w:p w14:paraId="3A0AF24B" w14:textId="1057ACB8" w:rsidR="00522D8A" w:rsidRPr="002F6B42" w:rsidRDefault="00DE2A26" w:rsidP="00522D8A">
      <w:pPr>
        <w:pStyle w:val="Heading3"/>
      </w:pPr>
      <w:r>
        <w:t>Hardware and software acquisition</w:t>
      </w:r>
    </w:p>
    <w:p w14:paraId="091A093E" w14:textId="0BEDDE11" w:rsidR="00743F28" w:rsidRDefault="00070843" w:rsidP="00743F28">
      <w:pPr>
        <w:pStyle w:val="BodyText"/>
        <w:rPr>
          <w:lang w:val="en-US"/>
        </w:rPr>
      </w:pPr>
      <w:r w:rsidRPr="00070843">
        <w:t xml:space="preserve">The licensee </w:t>
      </w:r>
      <w:r w:rsidR="00AC4B81">
        <w:t>must</w:t>
      </w:r>
      <w:r w:rsidRPr="00070843">
        <w:t xml:space="preserve"> adopt a systematic approach for acquiring hardware and software</w:t>
      </w:r>
      <w:r w:rsidR="00D54517">
        <w:t xml:space="preserve"> that </w:t>
      </w:r>
      <w:r w:rsidR="008B1B62">
        <w:t xml:space="preserve">reduces </w:t>
      </w:r>
      <w:r w:rsidR="00AC4B81">
        <w:t xml:space="preserve">their </w:t>
      </w:r>
      <w:r w:rsidR="008B1B62">
        <w:t xml:space="preserve">vulnerability to </w:t>
      </w:r>
      <w:r w:rsidR="001E47A7" w:rsidRPr="001E47A7">
        <w:t>the malicious acts specified in 3.7</w:t>
      </w:r>
      <w:r w:rsidR="00743F28">
        <w:t>.</w:t>
      </w:r>
    </w:p>
    <w:p w14:paraId="0FA1751B" w14:textId="788C4F87" w:rsidR="00522D8A" w:rsidRPr="00743F28" w:rsidRDefault="00743F28" w:rsidP="00AA2CB2">
      <w:pPr>
        <w:pStyle w:val="BodyText"/>
        <w:ind w:firstLine="0"/>
        <w:rPr>
          <w:lang w:val="en-US"/>
        </w:rPr>
      </w:pPr>
      <w:r>
        <w:t>[</w:t>
      </w:r>
      <w:r w:rsidR="00AC4B81">
        <w:rPr>
          <w:i/>
        </w:rPr>
        <w:t>Recommended</w:t>
      </w:r>
      <w:r>
        <w:rPr>
          <w:i/>
        </w:rPr>
        <w:t xml:space="preserve"> </w:t>
      </w:r>
      <w:r w:rsidR="00937600">
        <w:rPr>
          <w:i/>
        </w:rPr>
        <w:t>practices for hardware and software acquisition</w:t>
      </w:r>
      <w:r>
        <w:rPr>
          <w:i/>
        </w:rPr>
        <w:t xml:space="preserve"> to be specified in regulatory guidance.</w:t>
      </w:r>
      <w:r>
        <w:t>]</w:t>
      </w:r>
    </w:p>
    <w:p w14:paraId="3C1C3EFC" w14:textId="170E7056" w:rsidR="00522D8A" w:rsidRPr="002F6B42" w:rsidRDefault="00AF7C43" w:rsidP="00522D8A">
      <w:pPr>
        <w:pStyle w:val="Heading3"/>
      </w:pPr>
      <w:r>
        <w:t>Computer</w:t>
      </w:r>
      <w:r w:rsidR="00AC4B81">
        <w:t xml:space="preserve"> </w:t>
      </w:r>
      <w:r>
        <w:t>security measures</w:t>
      </w:r>
    </w:p>
    <w:p w14:paraId="26BC2425" w14:textId="413EEB38" w:rsidR="00743F28" w:rsidRDefault="00070843" w:rsidP="00743F28">
      <w:pPr>
        <w:pStyle w:val="BodyText"/>
        <w:rPr>
          <w:lang w:val="en-US"/>
        </w:rPr>
      </w:pPr>
      <w:r w:rsidRPr="00070843">
        <w:t xml:space="preserve">The licensee </w:t>
      </w:r>
      <w:r w:rsidR="00AC4B81">
        <w:t>must</w:t>
      </w:r>
      <w:r w:rsidRPr="00070843">
        <w:t xml:space="preserve"> implement measures</w:t>
      </w:r>
      <w:r w:rsidR="00B23C90">
        <w:t xml:space="preserve"> to reduce the vulnerability of </w:t>
      </w:r>
      <w:r w:rsidR="00B4129E">
        <w:t xml:space="preserve">the systems and devices specified in </w:t>
      </w:r>
      <w:r w:rsidR="001E47A7">
        <w:t xml:space="preserve">3.6 to </w:t>
      </w:r>
      <w:bookmarkStart w:id="1" w:name="_Hlk21674834"/>
      <w:r w:rsidR="001E47A7">
        <w:t>the malicious acts specified in 3.7</w:t>
      </w:r>
      <w:bookmarkEnd w:id="1"/>
      <w:r w:rsidR="00743F28">
        <w:t>.</w:t>
      </w:r>
    </w:p>
    <w:p w14:paraId="62FB85BB" w14:textId="565930F7" w:rsidR="00522D8A" w:rsidRPr="00743F28" w:rsidRDefault="00743F28" w:rsidP="00AA2CB2">
      <w:pPr>
        <w:pStyle w:val="BodyText"/>
        <w:ind w:firstLine="0"/>
        <w:rPr>
          <w:lang w:val="en-US"/>
        </w:rPr>
      </w:pPr>
      <w:r>
        <w:t>[</w:t>
      </w:r>
      <w:r w:rsidR="00AC4B81">
        <w:rPr>
          <w:i/>
        </w:rPr>
        <w:t>Recommended</w:t>
      </w:r>
      <w:r>
        <w:rPr>
          <w:i/>
        </w:rPr>
        <w:t xml:space="preserve"> </w:t>
      </w:r>
      <w:r w:rsidR="00937600">
        <w:rPr>
          <w:i/>
        </w:rPr>
        <w:t>computer security measures</w:t>
      </w:r>
      <w:r w:rsidR="00472213">
        <w:rPr>
          <w:i/>
        </w:rPr>
        <w:t xml:space="preserve"> to</w:t>
      </w:r>
      <w:r>
        <w:rPr>
          <w:i/>
        </w:rPr>
        <w:t xml:space="preserve"> be specified in regulatory guidance.</w:t>
      </w:r>
      <w:r>
        <w:t>]</w:t>
      </w:r>
    </w:p>
    <w:p w14:paraId="022BB750" w14:textId="7EC807E0" w:rsidR="00D14070" w:rsidRDefault="00D14070" w:rsidP="00D14070">
      <w:pPr>
        <w:pStyle w:val="Heading2"/>
      </w:pPr>
      <w:r>
        <w:lastRenderedPageBreak/>
        <w:t>Conclusions</w:t>
      </w:r>
    </w:p>
    <w:p w14:paraId="223058F4" w14:textId="285BD152" w:rsidR="00D14070" w:rsidRPr="00D14070" w:rsidRDefault="00D14070" w:rsidP="007D3B43">
      <w:pPr>
        <w:pStyle w:val="BodyText"/>
        <w:ind w:firstLine="540"/>
      </w:pPr>
      <w:r>
        <w:t xml:space="preserve">Radioactive material and associated facilities are vulnerable to cyberattack. As a result, </w:t>
      </w:r>
      <w:r w:rsidRPr="00D14070">
        <w:t>many regulatory bodies are developing or considering the development of regulatory requirements for computer security</w:t>
      </w:r>
      <w:r>
        <w:t xml:space="preserve">. The framework presented in the paper can help regulatory bodies undertake the process of regulatory development in a systematic manner. The </w:t>
      </w:r>
      <w:r w:rsidRPr="00D14070">
        <w:t xml:space="preserve">example regulatory provisions </w:t>
      </w:r>
      <w:r>
        <w:t>presented can serve</w:t>
      </w:r>
      <w:r w:rsidR="00472213">
        <w:t xml:space="preserve"> as</w:t>
      </w:r>
      <w:r w:rsidRPr="00D14070">
        <w:t xml:space="preserve"> a tool </w:t>
      </w:r>
      <w:r>
        <w:t>for use</w:t>
      </w:r>
      <w:r w:rsidRPr="00D14070">
        <w:t xml:space="preserve"> by regulatory bodies directly, in bilateral or multilateral regulatory development workshops, and in training on this topic</w:t>
      </w:r>
      <w:r w:rsidR="007D3B43">
        <w:t>.</w:t>
      </w:r>
    </w:p>
    <w:p w14:paraId="50EB0769" w14:textId="77777777" w:rsidR="00AE0AF0" w:rsidRPr="003902F3" w:rsidRDefault="00AE0AF0" w:rsidP="00AE0AF0">
      <w:pPr>
        <w:pStyle w:val="ListEmdash"/>
        <w:numPr>
          <w:ilvl w:val="0"/>
          <w:numId w:val="0"/>
        </w:numPr>
        <w:ind w:left="349"/>
        <w:rPr>
          <w:lang w:val="en-US"/>
        </w:rPr>
      </w:pPr>
    </w:p>
    <w:p w14:paraId="4C1795C5" w14:textId="3D86C502" w:rsidR="00D26ADA" w:rsidRDefault="00D26ADA" w:rsidP="00AF7C43">
      <w:pPr>
        <w:pStyle w:val="Otherunnumberedheadings"/>
      </w:pPr>
      <w:r>
        <w:t>References</w:t>
      </w:r>
    </w:p>
    <w:p w14:paraId="3FD97DDC" w14:textId="5963F96C" w:rsidR="00F91378" w:rsidRDefault="00B750EF" w:rsidP="00F91378">
      <w:pPr>
        <w:pStyle w:val="Referencelist"/>
      </w:pPr>
      <w:r w:rsidRPr="00B750EF">
        <w:t>INTERNATIONAL ATOMIC ENERGY AGENCY, Code of Conduct on the Safety and Security of Radioactive Sources, IAEA/CODEOC/2004, IAEA, Vienna (2004</w:t>
      </w:r>
      <w:r w:rsidR="00B32071">
        <w:t>).</w:t>
      </w:r>
    </w:p>
    <w:p w14:paraId="15BE2BDA" w14:textId="6B341C03" w:rsidR="00F91378" w:rsidRPr="008567E2" w:rsidRDefault="00B32071" w:rsidP="008567E2">
      <w:pPr>
        <w:pStyle w:val="Referencelist"/>
        <w:rPr>
          <w:i/>
        </w:rPr>
      </w:pPr>
      <w:r w:rsidRPr="00B32071">
        <w:t xml:space="preserve">INTERNATIONAL ATOMIC ENERGY AGENCY, </w:t>
      </w:r>
      <w:r w:rsidR="008567E2" w:rsidRPr="008567E2">
        <w:t>Security of radioactive sources, Interim guidance for comment</w:t>
      </w:r>
      <w:r w:rsidR="008567E2">
        <w:t>,</w:t>
      </w:r>
      <w:r w:rsidR="008567E2" w:rsidRPr="008567E2">
        <w:t xml:space="preserve"> IAEA-TECDOC-1355</w:t>
      </w:r>
      <w:r w:rsidR="004A55DA">
        <w:t>, IAEA, Vienna (2003).</w:t>
      </w:r>
    </w:p>
    <w:p w14:paraId="4FA0293A" w14:textId="288C5306" w:rsidR="0036645F" w:rsidRDefault="000D0E52" w:rsidP="0036645F">
      <w:pPr>
        <w:pStyle w:val="Referencelist"/>
      </w:pPr>
      <w:r w:rsidRPr="000D0E52">
        <w:t>INTERNATIONAL ATOMIC ENERGY AGENCY, Security of Radioactive Sources, IAEA Nuclear Security Series No. 11, IAEA, Vienna (2009</w:t>
      </w:r>
      <w:r w:rsidR="00906CC6">
        <w:t>).</w:t>
      </w:r>
    </w:p>
    <w:p w14:paraId="3B5B29FF" w14:textId="40D8EB16" w:rsidR="00B750EF" w:rsidRDefault="002F5AC1" w:rsidP="0036645F">
      <w:pPr>
        <w:pStyle w:val="Referencelist"/>
      </w:pPr>
      <w:r w:rsidRPr="002F5AC1">
        <w:t>INTERNATIONAL ATOMIC ENERGY AGENCY, Nuclear Security Recommendations on Physical Protection of Nuclear Material and Nuclear Facilities (INFCIRC/225/Revision 5), Nuclear Security Series No. 13, IAEA, Vienna (2011)</w:t>
      </w:r>
    </w:p>
    <w:p w14:paraId="0D5F2378" w14:textId="0A5AAF0A" w:rsidR="00B750EF" w:rsidRDefault="00906CC6" w:rsidP="00F34451">
      <w:pPr>
        <w:pStyle w:val="Referencelist"/>
      </w:pPr>
      <w:r w:rsidRPr="00906CC6">
        <w:t xml:space="preserve">INTERNATIONAL ATOMIC ENERGY AGENCY, </w:t>
      </w:r>
      <w:r w:rsidR="00F34451">
        <w:t>Computer Security at Nuclear Facilities</w:t>
      </w:r>
      <w:r w:rsidRPr="00906CC6">
        <w:t>, IAEA Nuclear Security Series No. 1</w:t>
      </w:r>
      <w:r w:rsidR="00F34451">
        <w:t>7</w:t>
      </w:r>
      <w:r w:rsidRPr="00906CC6">
        <w:t>, IAEA, Vienna (20</w:t>
      </w:r>
      <w:r w:rsidR="00B04248">
        <w:t>11</w:t>
      </w:r>
      <w:r w:rsidRPr="00906CC6">
        <w:t>)</w:t>
      </w:r>
      <w:r w:rsidR="00F34451">
        <w:t>.</w:t>
      </w:r>
    </w:p>
    <w:p w14:paraId="6056A2C8" w14:textId="237C0026" w:rsidR="00B750EF" w:rsidRDefault="0085029A" w:rsidP="0036645F">
      <w:pPr>
        <w:pStyle w:val="Referencelist"/>
      </w:pPr>
      <w:r w:rsidRPr="0085029A">
        <w:t xml:space="preserve">INTERNATIONAL ATOMIC ENERGY AGENCY, </w:t>
      </w:r>
      <w:r w:rsidR="00C44694">
        <w:t>Computer Security for Nuclear Security</w:t>
      </w:r>
      <w:r w:rsidRPr="0085029A">
        <w:t xml:space="preserve">, IAEA </w:t>
      </w:r>
      <w:r w:rsidR="004E057D">
        <w:t>NST045</w:t>
      </w:r>
      <w:r w:rsidRPr="0085029A">
        <w:t>, IAEA, Vienna (</w:t>
      </w:r>
      <w:r w:rsidR="006E49A4">
        <w:t>fort</w:t>
      </w:r>
      <w:r w:rsidR="00B13464">
        <w:t>h</w:t>
      </w:r>
      <w:r w:rsidR="006E49A4">
        <w:t>coming).</w:t>
      </w:r>
    </w:p>
    <w:p w14:paraId="6714EB82" w14:textId="050132D7" w:rsidR="00073148" w:rsidRPr="00073148" w:rsidRDefault="00073148" w:rsidP="00073148">
      <w:pPr>
        <w:pStyle w:val="Referencelist"/>
      </w:pPr>
      <w:r w:rsidRPr="00073148">
        <w:t>H</w:t>
      </w:r>
      <w:r w:rsidR="00461976">
        <w:t>ERDES</w:t>
      </w:r>
      <w:r w:rsidRPr="00073148">
        <w:t xml:space="preserve">, </w:t>
      </w:r>
      <w:r w:rsidR="00461976">
        <w:t>G</w:t>
      </w:r>
      <w:r w:rsidRPr="00073148">
        <w:t xml:space="preserve">., </w:t>
      </w:r>
      <w:r w:rsidR="006A4443" w:rsidRPr="006A4443">
        <w:t>Apogee Group LLC</w:t>
      </w:r>
      <w:r w:rsidRPr="00073148">
        <w:t>, personal communication, 201</w:t>
      </w:r>
      <w:r w:rsidR="006A4443">
        <w:t>9</w:t>
      </w:r>
      <w:r w:rsidRPr="00073148">
        <w:t>.</w:t>
      </w:r>
    </w:p>
    <w:p w14:paraId="5B98BF70" w14:textId="64793FD4" w:rsidR="00B750EF" w:rsidRDefault="00A57FAD" w:rsidP="0036645F">
      <w:pPr>
        <w:pStyle w:val="Referencelist"/>
      </w:pPr>
      <w:r>
        <w:t xml:space="preserve">UNITED STATES NUCLEAR REGULATORY COMMISSION, </w:t>
      </w:r>
      <w:r w:rsidR="00024622">
        <w:t xml:space="preserve">Effective Cyber Security Practices to Protect Digital Assets of </w:t>
      </w:r>
      <w:proofErr w:type="spellStart"/>
      <w:r w:rsidR="00024622">
        <w:t>Byproduct</w:t>
      </w:r>
      <w:proofErr w:type="spellEnd"/>
      <w:r w:rsidR="00024622">
        <w:t xml:space="preserve"> Materials Licensees</w:t>
      </w:r>
      <w:r w:rsidR="00A84A30">
        <w:t xml:space="preserve">, NRC Information Notice 2019-04 </w:t>
      </w:r>
      <w:r w:rsidR="003758AB">
        <w:t>(2019).</w:t>
      </w:r>
    </w:p>
    <w:p w14:paraId="23F2BDCC" w14:textId="65059025" w:rsidR="00B750EF" w:rsidRDefault="003758AB" w:rsidP="0036645F">
      <w:pPr>
        <w:pStyle w:val="Referencelist"/>
      </w:pPr>
      <w:r>
        <w:t xml:space="preserve">NATIONAL NUCLEAR SECURITY ADMINISTRATION, OFFICE OF RADIOLOGICAL SECURITY, </w:t>
      </w:r>
      <w:r w:rsidR="00301769">
        <w:t>Cybersecurity Best Practices for Users of Radioactive Sources</w:t>
      </w:r>
      <w:r w:rsidR="00FE3574">
        <w:t xml:space="preserve"> (2018).</w:t>
      </w:r>
    </w:p>
    <w:p w14:paraId="60D0D963" w14:textId="201970AC" w:rsidR="00B750EF" w:rsidRDefault="00F11B40" w:rsidP="0036645F">
      <w:pPr>
        <w:pStyle w:val="Referencelist"/>
      </w:pPr>
      <w:r>
        <w:t>INTERNATIONAL ATOMIC ENERGY AGENCY, Objective and Essential Elements of a S</w:t>
      </w:r>
      <w:r w:rsidR="008E6771">
        <w:t>t</w:t>
      </w:r>
      <w:r>
        <w:t>ate’s Nuclear Security Regime, IAEA Nuclear Security Series No. 20, IAEA, Vienna (2014).</w:t>
      </w:r>
    </w:p>
    <w:p w14:paraId="055956FF" w14:textId="33CB31F8" w:rsidR="00B750EF" w:rsidRDefault="008E6771" w:rsidP="00924B20">
      <w:pPr>
        <w:pStyle w:val="Referencelist"/>
      </w:pPr>
      <w:r>
        <w:t>UNITED STATES NUCLEAR REGULATORY COMMISSION,</w:t>
      </w:r>
      <w:r w:rsidR="00DC30CA">
        <w:t xml:space="preserve"> </w:t>
      </w:r>
      <w:r w:rsidR="000C7628" w:rsidRPr="000C7628">
        <w:t xml:space="preserve">Cyber Security for Radioactive </w:t>
      </w:r>
      <w:proofErr w:type="spellStart"/>
      <w:r w:rsidR="000C7628" w:rsidRPr="000C7628">
        <w:t>Byproduct</w:t>
      </w:r>
      <w:proofErr w:type="spellEnd"/>
      <w:r w:rsidR="000C7628" w:rsidRPr="000C7628">
        <w:t xml:space="preserve"> Materials Licensees</w:t>
      </w:r>
      <w:r w:rsidR="000C7628">
        <w:t xml:space="preserve">, </w:t>
      </w:r>
      <w:hyperlink r:id="rId11" w:history="1">
        <w:r w:rsidR="00924B20" w:rsidRPr="004012B4">
          <w:rPr>
            <w:rStyle w:val="Hyperlink"/>
          </w:rPr>
          <w:t>https://www.nrc.gov/security/byproduct/cyber-security-radioactive-byproduct-materials-licensees.html</w:t>
        </w:r>
      </w:hyperlink>
      <w:r w:rsidR="00924B20">
        <w:t xml:space="preserve"> (accessed October 11, 2019).</w:t>
      </w:r>
    </w:p>
    <w:p w14:paraId="1548CA7E" w14:textId="248CFD9F" w:rsidR="00647733" w:rsidRDefault="00647733" w:rsidP="00647733">
      <w:pPr>
        <w:pStyle w:val="Referencelist"/>
        <w:numPr>
          <w:ilvl w:val="0"/>
          <w:numId w:val="0"/>
        </w:numPr>
        <w:ind w:left="720" w:hanging="360"/>
      </w:pPr>
    </w:p>
    <w:p w14:paraId="4FEA78EE" w14:textId="65151065" w:rsidR="00647733" w:rsidRDefault="00647733" w:rsidP="00647733">
      <w:pPr>
        <w:pStyle w:val="Referencelist"/>
        <w:numPr>
          <w:ilvl w:val="0"/>
          <w:numId w:val="0"/>
        </w:numPr>
        <w:ind w:left="720" w:hanging="360"/>
      </w:pPr>
      <w:r w:rsidRPr="00647733">
        <w:t>PNNL-SA-149458</w:t>
      </w:r>
      <w:bookmarkStart w:id="2" w:name="_GoBack"/>
      <w:bookmarkEnd w:id="2"/>
    </w:p>
    <w:sectPr w:rsidR="00647733" w:rsidSect="0026525A">
      <w:headerReference w:type="even" r:id="rId12"/>
      <w:headerReference w:type="default" r:id="rId13"/>
      <w:footerReference w:type="even" r:id="rId14"/>
      <w:footerReference w:type="default" r:id="rId15"/>
      <w:headerReference w:type="first" r:id="rId16"/>
      <w:footerReference w:type="first" r:id="rId17"/>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04D4E" w14:textId="77777777" w:rsidR="00FF3554" w:rsidRDefault="00FF3554">
      <w:r>
        <w:separator/>
      </w:r>
    </w:p>
  </w:endnote>
  <w:endnote w:type="continuationSeparator" w:id="0">
    <w:p w14:paraId="53C3F868" w14:textId="77777777" w:rsidR="00FF3554" w:rsidRDefault="00FF3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pitch w:val="variable"/>
    <w:sig w:usb0="00000000"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9DFBE" w14:textId="64E5D7AC" w:rsidR="00AC4B81" w:rsidRDefault="00AC4B81" w:rsidP="003A126A">
    <w:pPr>
      <w:pStyle w:val="zyxClassification1"/>
      <w:jc w:val="left"/>
    </w:pPr>
    <w:r>
      <w:fldChar w:fldCharType="begin"/>
    </w:r>
    <w:r>
      <w:instrText xml:space="preserve"> DOCPROPERTY "IaeaClassification"  \* MERGEFORMAT </w:instrText>
    </w:r>
    <w:r>
      <w:fldChar w:fldCharType="end"/>
    </w:r>
  </w:p>
  <w:p w14:paraId="0DB94289" w14:textId="090BC30C" w:rsidR="00AC4B81" w:rsidRPr="003A126A" w:rsidRDefault="00AC4B81" w:rsidP="003A126A">
    <w:pPr>
      <w:pStyle w:val="zyxClassification2"/>
      <w:jc w:val="left"/>
      <w:rPr>
        <w:rFonts w:ascii="Times New Roman" w:hAnsi="Times New Roman" w:cs="Times New Roman"/>
        <w:sz w:val="20"/>
      </w:rPr>
    </w:pPr>
    <w:r w:rsidRPr="003A126A">
      <w:rPr>
        <w:rFonts w:ascii="Times New Roman" w:hAnsi="Times New Roman" w:cs="Times New Roman"/>
        <w:sz w:val="20"/>
      </w:rPr>
      <w:fldChar w:fldCharType="begin"/>
    </w:r>
    <w:r w:rsidRPr="003A126A">
      <w:rPr>
        <w:rFonts w:ascii="Times New Roman" w:hAnsi="Times New Roman" w:cs="Times New Roman"/>
        <w:sz w:val="20"/>
      </w:rPr>
      <w:instrText xml:space="preserve"> PAGE   \* MERGEFORMAT </w:instrText>
    </w:r>
    <w:r w:rsidRPr="003A126A">
      <w:rPr>
        <w:rFonts w:ascii="Times New Roman" w:hAnsi="Times New Roman" w:cs="Times New Roman"/>
        <w:sz w:val="20"/>
      </w:rPr>
      <w:fldChar w:fldCharType="separate"/>
    </w:r>
    <w:r w:rsidR="00BC39ED">
      <w:rPr>
        <w:rFonts w:ascii="Times New Roman" w:hAnsi="Times New Roman" w:cs="Times New Roman"/>
        <w:noProof/>
        <w:sz w:val="20"/>
      </w:rPr>
      <w:t>8</w:t>
    </w:r>
    <w:r w:rsidRPr="003A126A">
      <w:rPr>
        <w:rFonts w:ascii="Times New Roman" w:hAnsi="Times New Roman" w:cs="Times New Roman"/>
        <w:noProof/>
        <w:sz w:val="20"/>
      </w:rPr>
      <w:fldChar w:fldCharType="end"/>
    </w:r>
    <w:r w:rsidRPr="003A126A">
      <w:rPr>
        <w:rFonts w:ascii="Times New Roman" w:hAnsi="Times New Roman" w:cs="Times New Roman"/>
        <w:sz w:val="20"/>
      </w:rPr>
      <w:fldChar w:fldCharType="begin"/>
    </w:r>
    <w:r w:rsidRPr="003A126A">
      <w:rPr>
        <w:rFonts w:ascii="Times New Roman" w:hAnsi="Times New Roman" w:cs="Times New Roman"/>
        <w:sz w:val="20"/>
      </w:rPr>
      <w:instrText>DOCPROPERTY "IaeaClassification2"  \* MERGEFORMAT</w:instrText>
    </w:r>
    <w:r w:rsidRPr="003A126A">
      <w:rPr>
        <w:rFonts w:ascii="Times New Roman" w:hAnsi="Times New Roman" w:cs="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9689B" w14:textId="5C44A400" w:rsidR="00AC4B81" w:rsidRDefault="00AC4B81">
    <w:pPr>
      <w:pStyle w:val="zyxClassification1"/>
    </w:pPr>
    <w:r>
      <w:fldChar w:fldCharType="begin"/>
    </w:r>
    <w:r>
      <w:instrText xml:space="preserve"> DOCPROPERTY "IaeaClassification"  \* MERGEFORMAT </w:instrText>
    </w:r>
    <w:r>
      <w:fldChar w:fldCharType="end"/>
    </w:r>
  </w:p>
  <w:p w14:paraId="341EBC9B" w14:textId="52CFD9B9" w:rsidR="00AC4B81" w:rsidRPr="00037321" w:rsidRDefault="00AC4B8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BC39ED">
      <w:rPr>
        <w:rFonts w:ascii="Times New Roman" w:hAnsi="Times New Roman" w:cs="Times New Roman"/>
        <w:noProof/>
        <w:sz w:val="20"/>
      </w:rPr>
      <w:t>1</w:t>
    </w:r>
    <w:r w:rsidRPr="00037321">
      <w:rPr>
        <w:rFonts w:ascii="Times New Roman" w:hAnsi="Times New Roman" w:cs="Times New Roman"/>
        <w:sz w:val="20"/>
      </w:rPr>
      <w:fldChar w:fldCharType="end"/>
    </w:r>
    <w:r w:rsidRPr="00037321">
      <w:rPr>
        <w:rFonts w:ascii="Times New Roman" w:hAnsi="Times New Roman" w:cs="Times New Roman"/>
        <w:sz w:val="20"/>
      </w:rPr>
      <w:fldChar w:fldCharType="begin"/>
    </w:r>
    <w:r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AC4B81" w14:paraId="28B5F707" w14:textId="77777777">
      <w:trPr>
        <w:cantSplit/>
      </w:trPr>
      <w:tc>
        <w:tcPr>
          <w:tcW w:w="4644" w:type="dxa"/>
        </w:tcPr>
        <w:p w14:paraId="5247C90D" w14:textId="070BF4A3" w:rsidR="00AC4B81" w:rsidRDefault="00AC4B81">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26F8C713" w14:textId="63323D3A" w:rsidR="00AC4B81" w:rsidRDefault="00AC4B81">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4" w:name="DOC_bkmClassification2"/>
      <w:tc>
        <w:tcPr>
          <w:tcW w:w="5670" w:type="dxa"/>
          <w:tcMar>
            <w:right w:w="249" w:type="dxa"/>
          </w:tcMar>
        </w:tcPr>
        <w:p w14:paraId="30F9E517" w14:textId="253E122D" w:rsidR="00AC4B81" w:rsidRDefault="00AC4B81">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4"/>
        <w:p w14:paraId="7DD67E3D" w14:textId="72747D14" w:rsidR="00AC4B81" w:rsidRDefault="00AC4B81">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5" w:name="DOC_bkmFileName"/>
  <w:p w14:paraId="67D28D99" w14:textId="7842C6FB" w:rsidR="00AC4B81" w:rsidRDefault="00AC4B81">
    <w:r>
      <w:rPr>
        <w:sz w:val="16"/>
      </w:rPr>
      <w:fldChar w:fldCharType="begin"/>
    </w:r>
    <w:r>
      <w:rPr>
        <w:sz w:val="16"/>
      </w:rPr>
      <w:instrText xml:space="preserve"> FILENAME \* MERGEFORMAT </w:instrText>
    </w:r>
    <w:r>
      <w:rPr>
        <w:sz w:val="16"/>
      </w:rPr>
      <w:fldChar w:fldCharType="separate"/>
    </w:r>
    <w:r w:rsidR="00472213">
      <w:rPr>
        <w:noProof/>
        <w:sz w:val="16"/>
      </w:rPr>
      <w:t>IAEA-CN-278-547 (Computer Security)-Rev 1</w:t>
    </w:r>
    <w:r>
      <w:rPr>
        <w:sz w:val="16"/>
      </w:rPr>
      <w:fldChar w:fldCharType="end"/>
    </w:r>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865C6" w14:textId="77777777" w:rsidR="00FF3554" w:rsidRDefault="00FF3554">
      <w:r>
        <w:t>___________________________________________________________________________</w:t>
      </w:r>
    </w:p>
  </w:footnote>
  <w:footnote w:type="continuationSeparator" w:id="0">
    <w:p w14:paraId="4452B4EC" w14:textId="77777777" w:rsidR="00FF3554" w:rsidRDefault="00FF3554">
      <w:r>
        <w:t>___________________________________________________________________________</w:t>
      </w:r>
    </w:p>
  </w:footnote>
  <w:footnote w:type="continuationNotice" w:id="1">
    <w:p w14:paraId="256773C6" w14:textId="77777777" w:rsidR="00FF3554" w:rsidRDefault="00FF3554"/>
  </w:footnote>
  <w:footnote w:id="2">
    <w:p w14:paraId="70E21080" w14:textId="4708903F" w:rsidR="00AC4B81" w:rsidRPr="00B136E0" w:rsidRDefault="00AC4B81">
      <w:pPr>
        <w:pStyle w:val="FootnoteText"/>
        <w:rPr>
          <w:lang w:val="en-US"/>
        </w:rPr>
      </w:pPr>
      <w:r>
        <w:rPr>
          <w:rStyle w:val="FootnoteReference"/>
        </w:rPr>
        <w:footnoteRef/>
      </w:r>
      <w:r>
        <w:t xml:space="preserve"> </w:t>
      </w:r>
      <w:r>
        <w:rPr>
          <w:lang w:val="en-US"/>
        </w:rPr>
        <w:t>The IAEA uses the term computer security for what in some countries is referred to as cybersecurity or information technology (IT) security. The paper follows IAEA usage, recognizing these three terms are synonymous.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98A74" w14:textId="6110CB47" w:rsidR="00AC4B81" w:rsidRDefault="00AC4B81" w:rsidP="00CF7AF3">
    <w:pPr>
      <w:pStyle w:val="Runninghead"/>
    </w:pPr>
    <w:r>
      <w:tab/>
      <w:t>IAEA-CN-278-547</w:t>
    </w:r>
  </w:p>
  <w:p w14:paraId="4D814507" w14:textId="3AC8AE82" w:rsidR="00AC4B81" w:rsidRDefault="00AC4B81">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6E85B" w14:textId="47284E6B" w:rsidR="00AC4B81" w:rsidRPr="00D24E3C" w:rsidRDefault="00AC4B81" w:rsidP="00B82FA5">
    <w:pPr>
      <w:pStyle w:val="Runninghead"/>
      <w:rPr>
        <w:rFonts w:ascii="Times New Roman Bold" w:hAnsi="Times New Roman Bold"/>
      </w:rPr>
    </w:pPr>
    <w:r>
      <w:rPr>
        <w:rFonts w:ascii="Times New Roman Bold" w:hAnsi="Times New Roman Bold"/>
        <w:caps/>
      </w:rPr>
      <w:t xml:space="preserve">morris, </w:t>
    </w:r>
    <w:r w:rsidR="00D24E3C">
      <w:rPr>
        <w:rFonts w:ascii="Times New Roman Bold" w:hAnsi="Times New Roman Bold"/>
      </w:rPr>
      <w:t>et 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AC4B81" w14:paraId="145366EF" w14:textId="77777777">
      <w:trPr>
        <w:cantSplit/>
        <w:trHeight w:val="716"/>
      </w:trPr>
      <w:tc>
        <w:tcPr>
          <w:tcW w:w="979" w:type="dxa"/>
          <w:vMerge w:val="restart"/>
        </w:tcPr>
        <w:p w14:paraId="2F2550BE" w14:textId="77777777" w:rsidR="00AC4B81" w:rsidRDefault="00AC4B81">
          <w:pPr>
            <w:spacing w:before="180"/>
            <w:ind w:left="17"/>
          </w:pPr>
        </w:p>
      </w:tc>
      <w:tc>
        <w:tcPr>
          <w:tcW w:w="3638" w:type="dxa"/>
          <w:vAlign w:val="bottom"/>
        </w:tcPr>
        <w:p w14:paraId="459752FA" w14:textId="77777777" w:rsidR="00AC4B81" w:rsidRDefault="00AC4B81">
          <w:pPr>
            <w:spacing w:after="20"/>
          </w:pPr>
        </w:p>
      </w:tc>
      <w:bookmarkStart w:id="3" w:name="DOC_bkmClassification1"/>
      <w:tc>
        <w:tcPr>
          <w:tcW w:w="5702" w:type="dxa"/>
          <w:vMerge w:val="restart"/>
          <w:tcMar>
            <w:right w:w="193" w:type="dxa"/>
          </w:tcMar>
        </w:tcPr>
        <w:p w14:paraId="5957255F" w14:textId="60B646FE" w:rsidR="00AC4B81" w:rsidRDefault="00AC4B81">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3"/>
        <w:p w14:paraId="7F41A492" w14:textId="4F2687EF" w:rsidR="00AC4B81" w:rsidRDefault="00AC4B81">
          <w:pPr>
            <w:pStyle w:val="zyxConfid2Red"/>
          </w:pPr>
          <w:r>
            <w:fldChar w:fldCharType="begin"/>
          </w:r>
          <w:r>
            <w:instrText>DOCPROPERTY "IaeaClassification2"  \* MERGEFORMAT</w:instrText>
          </w:r>
          <w:r>
            <w:fldChar w:fldCharType="end"/>
          </w:r>
        </w:p>
      </w:tc>
    </w:tr>
    <w:tr w:rsidR="00AC4B81" w14:paraId="716248D6" w14:textId="77777777">
      <w:trPr>
        <w:cantSplit/>
        <w:trHeight w:val="167"/>
      </w:trPr>
      <w:tc>
        <w:tcPr>
          <w:tcW w:w="979" w:type="dxa"/>
          <w:vMerge/>
        </w:tcPr>
        <w:p w14:paraId="5EA095E5" w14:textId="77777777" w:rsidR="00AC4B81" w:rsidRDefault="00AC4B81">
          <w:pPr>
            <w:spacing w:before="57"/>
          </w:pPr>
        </w:p>
      </w:tc>
      <w:tc>
        <w:tcPr>
          <w:tcW w:w="3638" w:type="dxa"/>
          <w:vAlign w:val="bottom"/>
        </w:tcPr>
        <w:p w14:paraId="51A35F70" w14:textId="77777777" w:rsidR="00AC4B81" w:rsidRDefault="00AC4B81">
          <w:pPr>
            <w:pStyle w:val="Heading9"/>
            <w:spacing w:before="0" w:after="10"/>
          </w:pPr>
        </w:p>
      </w:tc>
      <w:tc>
        <w:tcPr>
          <w:tcW w:w="5702" w:type="dxa"/>
          <w:vMerge/>
          <w:vAlign w:val="bottom"/>
        </w:tcPr>
        <w:p w14:paraId="03911F16" w14:textId="77777777" w:rsidR="00AC4B81" w:rsidRDefault="00AC4B81">
          <w:pPr>
            <w:pStyle w:val="Heading9"/>
            <w:spacing w:before="0" w:after="10"/>
          </w:pPr>
        </w:p>
      </w:tc>
    </w:tr>
  </w:tbl>
  <w:p w14:paraId="62911C45" w14:textId="36E3ED3B" w:rsidR="00AC4B81" w:rsidRDefault="00AC4B8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5"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7" w15:restartNumberingAfterBreak="0">
    <w:nsid w:val="514F0B2F"/>
    <w:multiLevelType w:val="hybridMultilevel"/>
    <w:tmpl w:val="AE5C89BE"/>
    <w:lvl w:ilvl="0" w:tplc="04090017">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8" w15:restartNumberingAfterBreak="0">
    <w:nsid w:val="6FD51093"/>
    <w:multiLevelType w:val="multilevel"/>
    <w:tmpl w:val="5D589716"/>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num w:numId="1">
    <w:abstractNumId w:val="6"/>
  </w:num>
  <w:num w:numId="2">
    <w:abstractNumId w:val="3"/>
  </w:num>
  <w:num w:numId="3">
    <w:abstractNumId w:val="8"/>
  </w:num>
  <w:num w:numId="4">
    <w:abstractNumId w:val="4"/>
  </w:num>
  <w:num w:numId="5">
    <w:abstractNumId w:val="0"/>
  </w:num>
  <w:num w:numId="6">
    <w:abstractNumId w:val="8"/>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7">
    <w:abstractNumId w:val="1"/>
  </w:num>
  <w:num w:numId="8">
    <w:abstractNumId w:val="2"/>
  </w:num>
  <w:num w:numId="9">
    <w:abstractNumId w:val="5"/>
  </w:num>
  <w:num w:numId="10">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0438"/>
    <w:rsid w:val="000027F5"/>
    <w:rsid w:val="00004632"/>
    <w:rsid w:val="00005B31"/>
    <w:rsid w:val="00005FE7"/>
    <w:rsid w:val="0001011C"/>
    <w:rsid w:val="0001071B"/>
    <w:rsid w:val="00010E10"/>
    <w:rsid w:val="000132A8"/>
    <w:rsid w:val="00013A44"/>
    <w:rsid w:val="00014229"/>
    <w:rsid w:val="00014276"/>
    <w:rsid w:val="00015529"/>
    <w:rsid w:val="00016F5E"/>
    <w:rsid w:val="000229AB"/>
    <w:rsid w:val="00024622"/>
    <w:rsid w:val="0002569A"/>
    <w:rsid w:val="00026B89"/>
    <w:rsid w:val="000305AE"/>
    <w:rsid w:val="000342C9"/>
    <w:rsid w:val="00034408"/>
    <w:rsid w:val="00037321"/>
    <w:rsid w:val="000378F5"/>
    <w:rsid w:val="00040E24"/>
    <w:rsid w:val="0004372B"/>
    <w:rsid w:val="00043AAD"/>
    <w:rsid w:val="000444E6"/>
    <w:rsid w:val="00045847"/>
    <w:rsid w:val="00050A39"/>
    <w:rsid w:val="00056349"/>
    <w:rsid w:val="000703A4"/>
    <w:rsid w:val="00070843"/>
    <w:rsid w:val="00071477"/>
    <w:rsid w:val="00073148"/>
    <w:rsid w:val="0007544E"/>
    <w:rsid w:val="000811B5"/>
    <w:rsid w:val="000843C6"/>
    <w:rsid w:val="0008604A"/>
    <w:rsid w:val="0009206C"/>
    <w:rsid w:val="0009465F"/>
    <w:rsid w:val="00095801"/>
    <w:rsid w:val="00095A48"/>
    <w:rsid w:val="00095E56"/>
    <w:rsid w:val="00096757"/>
    <w:rsid w:val="00097727"/>
    <w:rsid w:val="000A0299"/>
    <w:rsid w:val="000A1293"/>
    <w:rsid w:val="000A18B6"/>
    <w:rsid w:val="000A2990"/>
    <w:rsid w:val="000A4A33"/>
    <w:rsid w:val="000A5177"/>
    <w:rsid w:val="000B4F4A"/>
    <w:rsid w:val="000B78D2"/>
    <w:rsid w:val="000B7DC6"/>
    <w:rsid w:val="000C26C7"/>
    <w:rsid w:val="000C59D3"/>
    <w:rsid w:val="000C7628"/>
    <w:rsid w:val="000D0E52"/>
    <w:rsid w:val="000D1803"/>
    <w:rsid w:val="000D1865"/>
    <w:rsid w:val="000D6E29"/>
    <w:rsid w:val="000E17FD"/>
    <w:rsid w:val="000E2449"/>
    <w:rsid w:val="000E2A58"/>
    <w:rsid w:val="000E6787"/>
    <w:rsid w:val="000E6CB8"/>
    <w:rsid w:val="000E7B9B"/>
    <w:rsid w:val="000F56D3"/>
    <w:rsid w:val="000F5D18"/>
    <w:rsid w:val="000F7E94"/>
    <w:rsid w:val="001024E8"/>
    <w:rsid w:val="001039F5"/>
    <w:rsid w:val="001119D6"/>
    <w:rsid w:val="00116AB3"/>
    <w:rsid w:val="001175B0"/>
    <w:rsid w:val="00117DB2"/>
    <w:rsid w:val="0012211F"/>
    <w:rsid w:val="001236A0"/>
    <w:rsid w:val="0012388E"/>
    <w:rsid w:val="00124E6C"/>
    <w:rsid w:val="0013043A"/>
    <w:rsid w:val="001307EF"/>
    <w:rsid w:val="001308F2"/>
    <w:rsid w:val="001313E8"/>
    <w:rsid w:val="00132AC2"/>
    <w:rsid w:val="00132E2A"/>
    <w:rsid w:val="00132F47"/>
    <w:rsid w:val="00142A72"/>
    <w:rsid w:val="00145CC3"/>
    <w:rsid w:val="00150415"/>
    <w:rsid w:val="001562AF"/>
    <w:rsid w:val="001625EF"/>
    <w:rsid w:val="001642AC"/>
    <w:rsid w:val="001646F4"/>
    <w:rsid w:val="00165C0C"/>
    <w:rsid w:val="00172FBC"/>
    <w:rsid w:val="00174AAF"/>
    <w:rsid w:val="00174E45"/>
    <w:rsid w:val="001776B6"/>
    <w:rsid w:val="00177EBA"/>
    <w:rsid w:val="0018048F"/>
    <w:rsid w:val="00186A6A"/>
    <w:rsid w:val="00193873"/>
    <w:rsid w:val="001B0EDE"/>
    <w:rsid w:val="001B15BD"/>
    <w:rsid w:val="001C3053"/>
    <w:rsid w:val="001C58F5"/>
    <w:rsid w:val="001C6376"/>
    <w:rsid w:val="001D5CEE"/>
    <w:rsid w:val="001D7BFE"/>
    <w:rsid w:val="001E02AE"/>
    <w:rsid w:val="001E06FA"/>
    <w:rsid w:val="001E147C"/>
    <w:rsid w:val="001E19AD"/>
    <w:rsid w:val="001E2188"/>
    <w:rsid w:val="001E47A7"/>
    <w:rsid w:val="001F0277"/>
    <w:rsid w:val="001F1BC3"/>
    <w:rsid w:val="002001CC"/>
    <w:rsid w:val="002043E3"/>
    <w:rsid w:val="002071D9"/>
    <w:rsid w:val="00215DF6"/>
    <w:rsid w:val="00216300"/>
    <w:rsid w:val="0021644A"/>
    <w:rsid w:val="00216CC0"/>
    <w:rsid w:val="00227607"/>
    <w:rsid w:val="002318FB"/>
    <w:rsid w:val="00235C0C"/>
    <w:rsid w:val="00236FB9"/>
    <w:rsid w:val="00237A0E"/>
    <w:rsid w:val="00243B52"/>
    <w:rsid w:val="0024526C"/>
    <w:rsid w:val="002465DB"/>
    <w:rsid w:val="00256822"/>
    <w:rsid w:val="00263EBB"/>
    <w:rsid w:val="002651FB"/>
    <w:rsid w:val="0026525A"/>
    <w:rsid w:val="00265CF3"/>
    <w:rsid w:val="00266DC9"/>
    <w:rsid w:val="00270211"/>
    <w:rsid w:val="00271CBD"/>
    <w:rsid w:val="00272BD5"/>
    <w:rsid w:val="00273BF9"/>
    <w:rsid w:val="00274790"/>
    <w:rsid w:val="00274AE9"/>
    <w:rsid w:val="00277623"/>
    <w:rsid w:val="00281A46"/>
    <w:rsid w:val="002830E2"/>
    <w:rsid w:val="00283401"/>
    <w:rsid w:val="00285755"/>
    <w:rsid w:val="00287CFA"/>
    <w:rsid w:val="002A1AC5"/>
    <w:rsid w:val="002A1F9C"/>
    <w:rsid w:val="002A68AE"/>
    <w:rsid w:val="002B29C2"/>
    <w:rsid w:val="002B6051"/>
    <w:rsid w:val="002B64FC"/>
    <w:rsid w:val="002B774A"/>
    <w:rsid w:val="002C0113"/>
    <w:rsid w:val="002C3E8F"/>
    <w:rsid w:val="002C4208"/>
    <w:rsid w:val="002D4B22"/>
    <w:rsid w:val="002D54B6"/>
    <w:rsid w:val="002E4595"/>
    <w:rsid w:val="002E762A"/>
    <w:rsid w:val="002F1E5A"/>
    <w:rsid w:val="002F22B1"/>
    <w:rsid w:val="002F3574"/>
    <w:rsid w:val="002F5AC1"/>
    <w:rsid w:val="002F6B42"/>
    <w:rsid w:val="00301769"/>
    <w:rsid w:val="0030217F"/>
    <w:rsid w:val="00302792"/>
    <w:rsid w:val="00305808"/>
    <w:rsid w:val="00310EC8"/>
    <w:rsid w:val="00312A86"/>
    <w:rsid w:val="00313838"/>
    <w:rsid w:val="003138BF"/>
    <w:rsid w:val="00315B86"/>
    <w:rsid w:val="00316376"/>
    <w:rsid w:val="00317521"/>
    <w:rsid w:val="003217FA"/>
    <w:rsid w:val="00321BF0"/>
    <w:rsid w:val="00323BE4"/>
    <w:rsid w:val="00323C81"/>
    <w:rsid w:val="00327649"/>
    <w:rsid w:val="00327BAC"/>
    <w:rsid w:val="00331070"/>
    <w:rsid w:val="003333C1"/>
    <w:rsid w:val="00335553"/>
    <w:rsid w:val="00335AA6"/>
    <w:rsid w:val="00335DB0"/>
    <w:rsid w:val="00336853"/>
    <w:rsid w:val="0033799B"/>
    <w:rsid w:val="00337CE1"/>
    <w:rsid w:val="00346489"/>
    <w:rsid w:val="003503F2"/>
    <w:rsid w:val="00352DE1"/>
    <w:rsid w:val="00353415"/>
    <w:rsid w:val="00357DC3"/>
    <w:rsid w:val="00357ED5"/>
    <w:rsid w:val="00357F56"/>
    <w:rsid w:val="003638A0"/>
    <w:rsid w:val="0036645F"/>
    <w:rsid w:val="00366B02"/>
    <w:rsid w:val="003728E6"/>
    <w:rsid w:val="00374026"/>
    <w:rsid w:val="003758AB"/>
    <w:rsid w:val="00376F95"/>
    <w:rsid w:val="00381F95"/>
    <w:rsid w:val="003852D8"/>
    <w:rsid w:val="0038705E"/>
    <w:rsid w:val="003870B7"/>
    <w:rsid w:val="003902F3"/>
    <w:rsid w:val="00396064"/>
    <w:rsid w:val="0039705E"/>
    <w:rsid w:val="003A0BF8"/>
    <w:rsid w:val="003A126A"/>
    <w:rsid w:val="003A396F"/>
    <w:rsid w:val="003B23EF"/>
    <w:rsid w:val="003B38D3"/>
    <w:rsid w:val="003B5DC1"/>
    <w:rsid w:val="003B5E0E"/>
    <w:rsid w:val="003B5E3E"/>
    <w:rsid w:val="003B68FF"/>
    <w:rsid w:val="003C0D22"/>
    <w:rsid w:val="003C6EAA"/>
    <w:rsid w:val="003D219C"/>
    <w:rsid w:val="003D255A"/>
    <w:rsid w:val="003D2C90"/>
    <w:rsid w:val="003D66FC"/>
    <w:rsid w:val="003D6EA3"/>
    <w:rsid w:val="003E0426"/>
    <w:rsid w:val="003E486B"/>
    <w:rsid w:val="003F2DCE"/>
    <w:rsid w:val="003F3760"/>
    <w:rsid w:val="00405C70"/>
    <w:rsid w:val="00406F89"/>
    <w:rsid w:val="00411B88"/>
    <w:rsid w:val="004137B6"/>
    <w:rsid w:val="00415E0A"/>
    <w:rsid w:val="0041601F"/>
    <w:rsid w:val="00416949"/>
    <w:rsid w:val="00422489"/>
    <w:rsid w:val="00422D79"/>
    <w:rsid w:val="00422F14"/>
    <w:rsid w:val="00433249"/>
    <w:rsid w:val="00436621"/>
    <w:rsid w:val="004370D8"/>
    <w:rsid w:val="00440934"/>
    <w:rsid w:val="00442074"/>
    <w:rsid w:val="00443D72"/>
    <w:rsid w:val="00454FAB"/>
    <w:rsid w:val="00461976"/>
    <w:rsid w:val="004620D6"/>
    <w:rsid w:val="004656FC"/>
    <w:rsid w:val="00467C11"/>
    <w:rsid w:val="00472213"/>
    <w:rsid w:val="00472C43"/>
    <w:rsid w:val="00472E47"/>
    <w:rsid w:val="004767CE"/>
    <w:rsid w:val="00484085"/>
    <w:rsid w:val="004847CF"/>
    <w:rsid w:val="00487CB8"/>
    <w:rsid w:val="00492712"/>
    <w:rsid w:val="004938CF"/>
    <w:rsid w:val="0049513F"/>
    <w:rsid w:val="0049651D"/>
    <w:rsid w:val="004A107C"/>
    <w:rsid w:val="004A1915"/>
    <w:rsid w:val="004A5285"/>
    <w:rsid w:val="004A55DA"/>
    <w:rsid w:val="004A5CF9"/>
    <w:rsid w:val="004A6988"/>
    <w:rsid w:val="004A6EBB"/>
    <w:rsid w:val="004B194D"/>
    <w:rsid w:val="004B4A0A"/>
    <w:rsid w:val="004B4BB0"/>
    <w:rsid w:val="004B6274"/>
    <w:rsid w:val="004B63CE"/>
    <w:rsid w:val="004C1E6F"/>
    <w:rsid w:val="004D02A0"/>
    <w:rsid w:val="004D7F4F"/>
    <w:rsid w:val="004E057D"/>
    <w:rsid w:val="004E237D"/>
    <w:rsid w:val="004E23E3"/>
    <w:rsid w:val="004E6E1D"/>
    <w:rsid w:val="004F4A96"/>
    <w:rsid w:val="004F7AA9"/>
    <w:rsid w:val="00502C32"/>
    <w:rsid w:val="00504307"/>
    <w:rsid w:val="0050631B"/>
    <w:rsid w:val="005066BE"/>
    <w:rsid w:val="00506DAB"/>
    <w:rsid w:val="00512025"/>
    <w:rsid w:val="0051264B"/>
    <w:rsid w:val="005126C8"/>
    <w:rsid w:val="00513202"/>
    <w:rsid w:val="00513A19"/>
    <w:rsid w:val="00514AD3"/>
    <w:rsid w:val="00520732"/>
    <w:rsid w:val="00521529"/>
    <w:rsid w:val="00522D8A"/>
    <w:rsid w:val="00533A8A"/>
    <w:rsid w:val="00537496"/>
    <w:rsid w:val="00541BE3"/>
    <w:rsid w:val="00542DF1"/>
    <w:rsid w:val="005440F2"/>
    <w:rsid w:val="00544EA2"/>
    <w:rsid w:val="00544ED3"/>
    <w:rsid w:val="00544F3A"/>
    <w:rsid w:val="0054699F"/>
    <w:rsid w:val="00547B25"/>
    <w:rsid w:val="005538B0"/>
    <w:rsid w:val="00554841"/>
    <w:rsid w:val="0055550C"/>
    <w:rsid w:val="005655D5"/>
    <w:rsid w:val="00565F2A"/>
    <w:rsid w:val="005670F1"/>
    <w:rsid w:val="00567B87"/>
    <w:rsid w:val="00570BF8"/>
    <w:rsid w:val="00572B08"/>
    <w:rsid w:val="005746A6"/>
    <w:rsid w:val="00581ABD"/>
    <w:rsid w:val="00583A02"/>
    <w:rsid w:val="0058477B"/>
    <w:rsid w:val="0058654F"/>
    <w:rsid w:val="00586652"/>
    <w:rsid w:val="0058739F"/>
    <w:rsid w:val="005939ED"/>
    <w:rsid w:val="005967D8"/>
    <w:rsid w:val="00596ACA"/>
    <w:rsid w:val="005976B1"/>
    <w:rsid w:val="00597EBF"/>
    <w:rsid w:val="005A1209"/>
    <w:rsid w:val="005A18DC"/>
    <w:rsid w:val="005A1A61"/>
    <w:rsid w:val="005A5BEE"/>
    <w:rsid w:val="005A6399"/>
    <w:rsid w:val="005B350D"/>
    <w:rsid w:val="005B6FE8"/>
    <w:rsid w:val="005C737A"/>
    <w:rsid w:val="005D4482"/>
    <w:rsid w:val="005E39BC"/>
    <w:rsid w:val="005E603D"/>
    <w:rsid w:val="005E626E"/>
    <w:rsid w:val="005E75C3"/>
    <w:rsid w:val="005F00A0"/>
    <w:rsid w:val="005F2629"/>
    <w:rsid w:val="005F5E63"/>
    <w:rsid w:val="005F6F3F"/>
    <w:rsid w:val="006006CD"/>
    <w:rsid w:val="0060124A"/>
    <w:rsid w:val="006060A6"/>
    <w:rsid w:val="006063D7"/>
    <w:rsid w:val="00606B78"/>
    <w:rsid w:val="0061246F"/>
    <w:rsid w:val="0061473E"/>
    <w:rsid w:val="00617D5A"/>
    <w:rsid w:val="00621BF3"/>
    <w:rsid w:val="0062408D"/>
    <w:rsid w:val="006348FA"/>
    <w:rsid w:val="00636C06"/>
    <w:rsid w:val="00640680"/>
    <w:rsid w:val="00641BB4"/>
    <w:rsid w:val="00642842"/>
    <w:rsid w:val="00642F09"/>
    <w:rsid w:val="006454A3"/>
    <w:rsid w:val="00646F8A"/>
    <w:rsid w:val="00647733"/>
    <w:rsid w:val="00647F33"/>
    <w:rsid w:val="006503CC"/>
    <w:rsid w:val="0065062A"/>
    <w:rsid w:val="0065092E"/>
    <w:rsid w:val="00652753"/>
    <w:rsid w:val="006542F5"/>
    <w:rsid w:val="0065576B"/>
    <w:rsid w:val="00655812"/>
    <w:rsid w:val="00655BAD"/>
    <w:rsid w:val="00657369"/>
    <w:rsid w:val="00662532"/>
    <w:rsid w:val="00664216"/>
    <w:rsid w:val="0066446A"/>
    <w:rsid w:val="006646B0"/>
    <w:rsid w:val="00665C70"/>
    <w:rsid w:val="00671492"/>
    <w:rsid w:val="00672D53"/>
    <w:rsid w:val="006733BB"/>
    <w:rsid w:val="00673E61"/>
    <w:rsid w:val="00674BF8"/>
    <w:rsid w:val="00675AA3"/>
    <w:rsid w:val="00677A88"/>
    <w:rsid w:val="00680454"/>
    <w:rsid w:val="00690EF1"/>
    <w:rsid w:val="00694E54"/>
    <w:rsid w:val="006A2644"/>
    <w:rsid w:val="006A2EDC"/>
    <w:rsid w:val="006A3D8A"/>
    <w:rsid w:val="006A4443"/>
    <w:rsid w:val="006A5C1A"/>
    <w:rsid w:val="006A6625"/>
    <w:rsid w:val="006A7111"/>
    <w:rsid w:val="006B2274"/>
    <w:rsid w:val="006B2DAA"/>
    <w:rsid w:val="006B4647"/>
    <w:rsid w:val="006B6AF8"/>
    <w:rsid w:val="006C49BB"/>
    <w:rsid w:val="006C5EE1"/>
    <w:rsid w:val="006C6453"/>
    <w:rsid w:val="006C772C"/>
    <w:rsid w:val="006D6CE2"/>
    <w:rsid w:val="006E0D2D"/>
    <w:rsid w:val="006E42F3"/>
    <w:rsid w:val="006E49A4"/>
    <w:rsid w:val="006F0786"/>
    <w:rsid w:val="006F2688"/>
    <w:rsid w:val="006F2DA8"/>
    <w:rsid w:val="006F5144"/>
    <w:rsid w:val="006F58D8"/>
    <w:rsid w:val="00704C2C"/>
    <w:rsid w:val="00705103"/>
    <w:rsid w:val="0071057D"/>
    <w:rsid w:val="00715A1E"/>
    <w:rsid w:val="00716D05"/>
    <w:rsid w:val="00717C6F"/>
    <w:rsid w:val="00722553"/>
    <w:rsid w:val="007230BF"/>
    <w:rsid w:val="007240FF"/>
    <w:rsid w:val="0072600E"/>
    <w:rsid w:val="00726C37"/>
    <w:rsid w:val="00727E84"/>
    <w:rsid w:val="007325D5"/>
    <w:rsid w:val="0073486E"/>
    <w:rsid w:val="00735DF1"/>
    <w:rsid w:val="00740952"/>
    <w:rsid w:val="0074266B"/>
    <w:rsid w:val="00743F28"/>
    <w:rsid w:val="007445DA"/>
    <w:rsid w:val="007474E7"/>
    <w:rsid w:val="0076475F"/>
    <w:rsid w:val="00765EDF"/>
    <w:rsid w:val="007701AE"/>
    <w:rsid w:val="0077141E"/>
    <w:rsid w:val="007719F5"/>
    <w:rsid w:val="00771CB9"/>
    <w:rsid w:val="00775890"/>
    <w:rsid w:val="007809DD"/>
    <w:rsid w:val="0078199B"/>
    <w:rsid w:val="00785B4B"/>
    <w:rsid w:val="0078618E"/>
    <w:rsid w:val="0079049C"/>
    <w:rsid w:val="007931A4"/>
    <w:rsid w:val="007A0C31"/>
    <w:rsid w:val="007A30DA"/>
    <w:rsid w:val="007A7CF4"/>
    <w:rsid w:val="007B4FD1"/>
    <w:rsid w:val="007C3149"/>
    <w:rsid w:val="007C47ED"/>
    <w:rsid w:val="007D1180"/>
    <w:rsid w:val="007D2033"/>
    <w:rsid w:val="007D3B43"/>
    <w:rsid w:val="007E2B28"/>
    <w:rsid w:val="007E6A67"/>
    <w:rsid w:val="007E7163"/>
    <w:rsid w:val="007F04D1"/>
    <w:rsid w:val="007F3328"/>
    <w:rsid w:val="007F70C1"/>
    <w:rsid w:val="0080152C"/>
    <w:rsid w:val="00802381"/>
    <w:rsid w:val="008035DA"/>
    <w:rsid w:val="0080442D"/>
    <w:rsid w:val="0080772B"/>
    <w:rsid w:val="00816492"/>
    <w:rsid w:val="00834AE2"/>
    <w:rsid w:val="00836810"/>
    <w:rsid w:val="00837189"/>
    <w:rsid w:val="00846F36"/>
    <w:rsid w:val="008472F6"/>
    <w:rsid w:val="0085029A"/>
    <w:rsid w:val="00853DF0"/>
    <w:rsid w:val="008546C4"/>
    <w:rsid w:val="00856304"/>
    <w:rsid w:val="008567E2"/>
    <w:rsid w:val="008569FE"/>
    <w:rsid w:val="00865172"/>
    <w:rsid w:val="0086652F"/>
    <w:rsid w:val="00866BE3"/>
    <w:rsid w:val="00870FD7"/>
    <w:rsid w:val="008720A5"/>
    <w:rsid w:val="008721C1"/>
    <w:rsid w:val="00875B09"/>
    <w:rsid w:val="00877C6E"/>
    <w:rsid w:val="00882F57"/>
    <w:rsid w:val="00883848"/>
    <w:rsid w:val="00883993"/>
    <w:rsid w:val="00886069"/>
    <w:rsid w:val="008870CB"/>
    <w:rsid w:val="0089274F"/>
    <w:rsid w:val="00892A34"/>
    <w:rsid w:val="00896F9C"/>
    <w:rsid w:val="00897ED5"/>
    <w:rsid w:val="008A1B0C"/>
    <w:rsid w:val="008A580B"/>
    <w:rsid w:val="008B058B"/>
    <w:rsid w:val="008B1B62"/>
    <w:rsid w:val="008B2DAE"/>
    <w:rsid w:val="008B6606"/>
    <w:rsid w:val="008B6BB9"/>
    <w:rsid w:val="008C45C0"/>
    <w:rsid w:val="008C5A9E"/>
    <w:rsid w:val="008D1B03"/>
    <w:rsid w:val="008D224D"/>
    <w:rsid w:val="008D54FB"/>
    <w:rsid w:val="008D66A5"/>
    <w:rsid w:val="008E48CA"/>
    <w:rsid w:val="008E5CE5"/>
    <w:rsid w:val="008E6771"/>
    <w:rsid w:val="008F6E82"/>
    <w:rsid w:val="00900E5A"/>
    <w:rsid w:val="009037A4"/>
    <w:rsid w:val="00904DD2"/>
    <w:rsid w:val="0090676C"/>
    <w:rsid w:val="00906CC6"/>
    <w:rsid w:val="00911543"/>
    <w:rsid w:val="00912335"/>
    <w:rsid w:val="00912C6D"/>
    <w:rsid w:val="00917218"/>
    <w:rsid w:val="00920225"/>
    <w:rsid w:val="00924613"/>
    <w:rsid w:val="00924A1D"/>
    <w:rsid w:val="00924B20"/>
    <w:rsid w:val="00930824"/>
    <w:rsid w:val="0093588A"/>
    <w:rsid w:val="00935C3D"/>
    <w:rsid w:val="00937600"/>
    <w:rsid w:val="00940A5F"/>
    <w:rsid w:val="00941A5A"/>
    <w:rsid w:val="009469BB"/>
    <w:rsid w:val="00947F52"/>
    <w:rsid w:val="009516D6"/>
    <w:rsid w:val="009519C9"/>
    <w:rsid w:val="00953A92"/>
    <w:rsid w:val="00956090"/>
    <w:rsid w:val="0096122A"/>
    <w:rsid w:val="00963550"/>
    <w:rsid w:val="00964C79"/>
    <w:rsid w:val="009664C8"/>
    <w:rsid w:val="009705F7"/>
    <w:rsid w:val="00972825"/>
    <w:rsid w:val="00976409"/>
    <w:rsid w:val="00980093"/>
    <w:rsid w:val="0098054C"/>
    <w:rsid w:val="00980F51"/>
    <w:rsid w:val="00980FD9"/>
    <w:rsid w:val="00983B0E"/>
    <w:rsid w:val="00987031"/>
    <w:rsid w:val="00987324"/>
    <w:rsid w:val="00991F18"/>
    <w:rsid w:val="009A0448"/>
    <w:rsid w:val="009A0EE2"/>
    <w:rsid w:val="009A28E0"/>
    <w:rsid w:val="009A4E26"/>
    <w:rsid w:val="009B10CE"/>
    <w:rsid w:val="009B6DED"/>
    <w:rsid w:val="009B6EAD"/>
    <w:rsid w:val="009C673B"/>
    <w:rsid w:val="009D0B86"/>
    <w:rsid w:val="009D2483"/>
    <w:rsid w:val="009D4DC1"/>
    <w:rsid w:val="009E0D5B"/>
    <w:rsid w:val="009E1558"/>
    <w:rsid w:val="009E247D"/>
    <w:rsid w:val="009E31DD"/>
    <w:rsid w:val="009E3C9F"/>
    <w:rsid w:val="009E51E5"/>
    <w:rsid w:val="009E5D0D"/>
    <w:rsid w:val="009E7B29"/>
    <w:rsid w:val="009E7CC5"/>
    <w:rsid w:val="009F7CC5"/>
    <w:rsid w:val="00A00306"/>
    <w:rsid w:val="00A01CA1"/>
    <w:rsid w:val="00A02C67"/>
    <w:rsid w:val="00A05E5E"/>
    <w:rsid w:val="00A071D5"/>
    <w:rsid w:val="00A07F97"/>
    <w:rsid w:val="00A10582"/>
    <w:rsid w:val="00A14FF3"/>
    <w:rsid w:val="00A15DD0"/>
    <w:rsid w:val="00A165F0"/>
    <w:rsid w:val="00A21BE8"/>
    <w:rsid w:val="00A21C3D"/>
    <w:rsid w:val="00A23588"/>
    <w:rsid w:val="00A27EA9"/>
    <w:rsid w:val="00A306E2"/>
    <w:rsid w:val="00A32C38"/>
    <w:rsid w:val="00A370A5"/>
    <w:rsid w:val="00A41E83"/>
    <w:rsid w:val="00A42898"/>
    <w:rsid w:val="00A51977"/>
    <w:rsid w:val="00A53C5A"/>
    <w:rsid w:val="00A565A4"/>
    <w:rsid w:val="00A5699B"/>
    <w:rsid w:val="00A57FAD"/>
    <w:rsid w:val="00A63070"/>
    <w:rsid w:val="00A632BD"/>
    <w:rsid w:val="00A7732C"/>
    <w:rsid w:val="00A776A3"/>
    <w:rsid w:val="00A84A30"/>
    <w:rsid w:val="00A904CB"/>
    <w:rsid w:val="00A90F0C"/>
    <w:rsid w:val="00AA0A9F"/>
    <w:rsid w:val="00AA18A3"/>
    <w:rsid w:val="00AA2CB2"/>
    <w:rsid w:val="00AA49E9"/>
    <w:rsid w:val="00AA70DE"/>
    <w:rsid w:val="00AB2E60"/>
    <w:rsid w:val="00AB6ACE"/>
    <w:rsid w:val="00AC2797"/>
    <w:rsid w:val="00AC2D11"/>
    <w:rsid w:val="00AC4B81"/>
    <w:rsid w:val="00AC5070"/>
    <w:rsid w:val="00AC5A3A"/>
    <w:rsid w:val="00AC6716"/>
    <w:rsid w:val="00AC78DD"/>
    <w:rsid w:val="00AD251F"/>
    <w:rsid w:val="00AE0A00"/>
    <w:rsid w:val="00AE0AF0"/>
    <w:rsid w:val="00AE28A6"/>
    <w:rsid w:val="00AE2E8B"/>
    <w:rsid w:val="00AE3D22"/>
    <w:rsid w:val="00AE5273"/>
    <w:rsid w:val="00AF2E1C"/>
    <w:rsid w:val="00AF3C1A"/>
    <w:rsid w:val="00AF4225"/>
    <w:rsid w:val="00AF5D09"/>
    <w:rsid w:val="00AF7C43"/>
    <w:rsid w:val="00AF7C77"/>
    <w:rsid w:val="00B0017F"/>
    <w:rsid w:val="00B04248"/>
    <w:rsid w:val="00B05624"/>
    <w:rsid w:val="00B06E7C"/>
    <w:rsid w:val="00B1015B"/>
    <w:rsid w:val="00B13464"/>
    <w:rsid w:val="00B136E0"/>
    <w:rsid w:val="00B1755D"/>
    <w:rsid w:val="00B200D4"/>
    <w:rsid w:val="00B2029C"/>
    <w:rsid w:val="00B20742"/>
    <w:rsid w:val="00B20824"/>
    <w:rsid w:val="00B21658"/>
    <w:rsid w:val="00B23C90"/>
    <w:rsid w:val="00B25C3A"/>
    <w:rsid w:val="00B26989"/>
    <w:rsid w:val="00B27CC7"/>
    <w:rsid w:val="00B302A1"/>
    <w:rsid w:val="00B32071"/>
    <w:rsid w:val="00B3343A"/>
    <w:rsid w:val="00B363E7"/>
    <w:rsid w:val="00B4129E"/>
    <w:rsid w:val="00B42E24"/>
    <w:rsid w:val="00B5530D"/>
    <w:rsid w:val="00B5576D"/>
    <w:rsid w:val="00B60B99"/>
    <w:rsid w:val="00B648C6"/>
    <w:rsid w:val="00B72748"/>
    <w:rsid w:val="00B7283C"/>
    <w:rsid w:val="00B750EF"/>
    <w:rsid w:val="00B75511"/>
    <w:rsid w:val="00B77215"/>
    <w:rsid w:val="00B82FA5"/>
    <w:rsid w:val="00B8363F"/>
    <w:rsid w:val="00B83B1D"/>
    <w:rsid w:val="00B86307"/>
    <w:rsid w:val="00B87DD4"/>
    <w:rsid w:val="00B91230"/>
    <w:rsid w:val="00B93BAC"/>
    <w:rsid w:val="00B97F33"/>
    <w:rsid w:val="00BA0D87"/>
    <w:rsid w:val="00BB5176"/>
    <w:rsid w:val="00BC0DDA"/>
    <w:rsid w:val="00BC3131"/>
    <w:rsid w:val="00BC3931"/>
    <w:rsid w:val="00BC39ED"/>
    <w:rsid w:val="00BC62A2"/>
    <w:rsid w:val="00BC797E"/>
    <w:rsid w:val="00BD02F6"/>
    <w:rsid w:val="00BD1400"/>
    <w:rsid w:val="00BD279A"/>
    <w:rsid w:val="00BD605C"/>
    <w:rsid w:val="00BE01B4"/>
    <w:rsid w:val="00BE1144"/>
    <w:rsid w:val="00BE2A76"/>
    <w:rsid w:val="00BE31CE"/>
    <w:rsid w:val="00BE417A"/>
    <w:rsid w:val="00BF0437"/>
    <w:rsid w:val="00BF3AAA"/>
    <w:rsid w:val="00BF4754"/>
    <w:rsid w:val="00BF68CA"/>
    <w:rsid w:val="00C1230F"/>
    <w:rsid w:val="00C12324"/>
    <w:rsid w:val="00C138BA"/>
    <w:rsid w:val="00C14FB9"/>
    <w:rsid w:val="00C1549A"/>
    <w:rsid w:val="00C16ED9"/>
    <w:rsid w:val="00C17E20"/>
    <w:rsid w:val="00C20A3B"/>
    <w:rsid w:val="00C37610"/>
    <w:rsid w:val="00C4019D"/>
    <w:rsid w:val="00C411B1"/>
    <w:rsid w:val="00C4125E"/>
    <w:rsid w:val="00C44694"/>
    <w:rsid w:val="00C4686F"/>
    <w:rsid w:val="00C4688F"/>
    <w:rsid w:val="00C47A25"/>
    <w:rsid w:val="00C53D90"/>
    <w:rsid w:val="00C55555"/>
    <w:rsid w:val="00C558D3"/>
    <w:rsid w:val="00C55A2B"/>
    <w:rsid w:val="00C56E83"/>
    <w:rsid w:val="00C57712"/>
    <w:rsid w:val="00C57E66"/>
    <w:rsid w:val="00C63938"/>
    <w:rsid w:val="00C65809"/>
    <w:rsid w:val="00C65E60"/>
    <w:rsid w:val="00C73298"/>
    <w:rsid w:val="00C73E3D"/>
    <w:rsid w:val="00C743E6"/>
    <w:rsid w:val="00C75791"/>
    <w:rsid w:val="00C75801"/>
    <w:rsid w:val="00C805D6"/>
    <w:rsid w:val="00C80D08"/>
    <w:rsid w:val="00C81084"/>
    <w:rsid w:val="00C81943"/>
    <w:rsid w:val="00C82485"/>
    <w:rsid w:val="00C84AA4"/>
    <w:rsid w:val="00C85E97"/>
    <w:rsid w:val="00C944A8"/>
    <w:rsid w:val="00C9591B"/>
    <w:rsid w:val="00C97CCF"/>
    <w:rsid w:val="00C97F70"/>
    <w:rsid w:val="00CA4798"/>
    <w:rsid w:val="00CA4DFB"/>
    <w:rsid w:val="00CB0AF2"/>
    <w:rsid w:val="00CB1FBC"/>
    <w:rsid w:val="00CB3960"/>
    <w:rsid w:val="00CC4A4B"/>
    <w:rsid w:val="00CC764F"/>
    <w:rsid w:val="00CD6201"/>
    <w:rsid w:val="00CE20C2"/>
    <w:rsid w:val="00CE5A52"/>
    <w:rsid w:val="00CE709D"/>
    <w:rsid w:val="00CF500D"/>
    <w:rsid w:val="00CF756B"/>
    <w:rsid w:val="00CF7AF3"/>
    <w:rsid w:val="00D00C3D"/>
    <w:rsid w:val="00D05763"/>
    <w:rsid w:val="00D07806"/>
    <w:rsid w:val="00D102A0"/>
    <w:rsid w:val="00D121A2"/>
    <w:rsid w:val="00D12CFE"/>
    <w:rsid w:val="00D14070"/>
    <w:rsid w:val="00D2201C"/>
    <w:rsid w:val="00D2399A"/>
    <w:rsid w:val="00D24E3C"/>
    <w:rsid w:val="00D2689B"/>
    <w:rsid w:val="00D26ADA"/>
    <w:rsid w:val="00D3306A"/>
    <w:rsid w:val="00D340C9"/>
    <w:rsid w:val="00D35A78"/>
    <w:rsid w:val="00D35B75"/>
    <w:rsid w:val="00D40BF5"/>
    <w:rsid w:val="00D4504B"/>
    <w:rsid w:val="00D461E7"/>
    <w:rsid w:val="00D47E1B"/>
    <w:rsid w:val="00D50BA9"/>
    <w:rsid w:val="00D52936"/>
    <w:rsid w:val="00D52FE0"/>
    <w:rsid w:val="00D54517"/>
    <w:rsid w:val="00D555A1"/>
    <w:rsid w:val="00D5597C"/>
    <w:rsid w:val="00D64DC2"/>
    <w:rsid w:val="00D70CF8"/>
    <w:rsid w:val="00D71344"/>
    <w:rsid w:val="00D71699"/>
    <w:rsid w:val="00D73012"/>
    <w:rsid w:val="00D73427"/>
    <w:rsid w:val="00D73DA3"/>
    <w:rsid w:val="00D75CCD"/>
    <w:rsid w:val="00D76E89"/>
    <w:rsid w:val="00D866E5"/>
    <w:rsid w:val="00D91270"/>
    <w:rsid w:val="00D92A68"/>
    <w:rsid w:val="00D959C0"/>
    <w:rsid w:val="00D9686E"/>
    <w:rsid w:val="00DA0084"/>
    <w:rsid w:val="00DA46CA"/>
    <w:rsid w:val="00DB4F2E"/>
    <w:rsid w:val="00DC30CA"/>
    <w:rsid w:val="00DC3794"/>
    <w:rsid w:val="00DC67DB"/>
    <w:rsid w:val="00DD1D88"/>
    <w:rsid w:val="00DD435C"/>
    <w:rsid w:val="00DD60B3"/>
    <w:rsid w:val="00DD723A"/>
    <w:rsid w:val="00DE2A26"/>
    <w:rsid w:val="00DE3D5B"/>
    <w:rsid w:val="00DE4337"/>
    <w:rsid w:val="00DE5360"/>
    <w:rsid w:val="00DF0198"/>
    <w:rsid w:val="00DF21EB"/>
    <w:rsid w:val="00DF4669"/>
    <w:rsid w:val="00DF5256"/>
    <w:rsid w:val="00DF52AA"/>
    <w:rsid w:val="00DF7117"/>
    <w:rsid w:val="00E02C41"/>
    <w:rsid w:val="00E05CB6"/>
    <w:rsid w:val="00E07B63"/>
    <w:rsid w:val="00E107DB"/>
    <w:rsid w:val="00E10CAA"/>
    <w:rsid w:val="00E20E70"/>
    <w:rsid w:val="00E24AF9"/>
    <w:rsid w:val="00E251A6"/>
    <w:rsid w:val="00E25B68"/>
    <w:rsid w:val="00E30FCA"/>
    <w:rsid w:val="00E31507"/>
    <w:rsid w:val="00E32ED0"/>
    <w:rsid w:val="00E34129"/>
    <w:rsid w:val="00E358FA"/>
    <w:rsid w:val="00E3615B"/>
    <w:rsid w:val="00E40224"/>
    <w:rsid w:val="00E4266C"/>
    <w:rsid w:val="00E44AA8"/>
    <w:rsid w:val="00E57B19"/>
    <w:rsid w:val="00E67185"/>
    <w:rsid w:val="00E70CA5"/>
    <w:rsid w:val="00E7264E"/>
    <w:rsid w:val="00E75F5D"/>
    <w:rsid w:val="00E817E5"/>
    <w:rsid w:val="00E82C22"/>
    <w:rsid w:val="00E84003"/>
    <w:rsid w:val="00E84339"/>
    <w:rsid w:val="00E86C29"/>
    <w:rsid w:val="00E86C39"/>
    <w:rsid w:val="00E9154E"/>
    <w:rsid w:val="00E92EB9"/>
    <w:rsid w:val="00E95640"/>
    <w:rsid w:val="00E95826"/>
    <w:rsid w:val="00E97B16"/>
    <w:rsid w:val="00EA004B"/>
    <w:rsid w:val="00EA7FC0"/>
    <w:rsid w:val="00EB0074"/>
    <w:rsid w:val="00EB044A"/>
    <w:rsid w:val="00EB0DEB"/>
    <w:rsid w:val="00EB7CC5"/>
    <w:rsid w:val="00EB7E6F"/>
    <w:rsid w:val="00EC10FC"/>
    <w:rsid w:val="00EC1F69"/>
    <w:rsid w:val="00EC49EA"/>
    <w:rsid w:val="00EC5527"/>
    <w:rsid w:val="00ED1185"/>
    <w:rsid w:val="00ED2790"/>
    <w:rsid w:val="00ED29BA"/>
    <w:rsid w:val="00ED502B"/>
    <w:rsid w:val="00ED67FF"/>
    <w:rsid w:val="00ED7081"/>
    <w:rsid w:val="00EE0041"/>
    <w:rsid w:val="00EE29B9"/>
    <w:rsid w:val="00EE36D4"/>
    <w:rsid w:val="00EE471D"/>
    <w:rsid w:val="00EF1D08"/>
    <w:rsid w:val="00EF2C2B"/>
    <w:rsid w:val="00EF312F"/>
    <w:rsid w:val="00EF46B7"/>
    <w:rsid w:val="00EF6DEC"/>
    <w:rsid w:val="00F004BA"/>
    <w:rsid w:val="00F004EE"/>
    <w:rsid w:val="00F00D0F"/>
    <w:rsid w:val="00F02E39"/>
    <w:rsid w:val="00F073ED"/>
    <w:rsid w:val="00F076C8"/>
    <w:rsid w:val="00F07DB0"/>
    <w:rsid w:val="00F11B40"/>
    <w:rsid w:val="00F133F3"/>
    <w:rsid w:val="00F13552"/>
    <w:rsid w:val="00F13853"/>
    <w:rsid w:val="00F21B89"/>
    <w:rsid w:val="00F23876"/>
    <w:rsid w:val="00F25057"/>
    <w:rsid w:val="00F277ED"/>
    <w:rsid w:val="00F31FAB"/>
    <w:rsid w:val="00F34451"/>
    <w:rsid w:val="00F348F4"/>
    <w:rsid w:val="00F35F40"/>
    <w:rsid w:val="00F36F9B"/>
    <w:rsid w:val="00F373F5"/>
    <w:rsid w:val="00F4003C"/>
    <w:rsid w:val="00F42E23"/>
    <w:rsid w:val="00F45D4E"/>
    <w:rsid w:val="00F45EEE"/>
    <w:rsid w:val="00F4697C"/>
    <w:rsid w:val="00F46F3F"/>
    <w:rsid w:val="00F476AE"/>
    <w:rsid w:val="00F51E9C"/>
    <w:rsid w:val="00F523CA"/>
    <w:rsid w:val="00F56292"/>
    <w:rsid w:val="00F56637"/>
    <w:rsid w:val="00F5677E"/>
    <w:rsid w:val="00F60540"/>
    <w:rsid w:val="00F65F59"/>
    <w:rsid w:val="00F72614"/>
    <w:rsid w:val="00F74A9D"/>
    <w:rsid w:val="00F75E6A"/>
    <w:rsid w:val="00F7702F"/>
    <w:rsid w:val="00F91378"/>
    <w:rsid w:val="00F91549"/>
    <w:rsid w:val="00F91863"/>
    <w:rsid w:val="00F92E03"/>
    <w:rsid w:val="00FA013D"/>
    <w:rsid w:val="00FA2B84"/>
    <w:rsid w:val="00FA3AE0"/>
    <w:rsid w:val="00FA4290"/>
    <w:rsid w:val="00FB679D"/>
    <w:rsid w:val="00FC0C05"/>
    <w:rsid w:val="00FC0F62"/>
    <w:rsid w:val="00FC1D98"/>
    <w:rsid w:val="00FC4A3D"/>
    <w:rsid w:val="00FD33AB"/>
    <w:rsid w:val="00FE040C"/>
    <w:rsid w:val="00FE3574"/>
    <w:rsid w:val="00FE55BA"/>
    <w:rsid w:val="00FE5B5C"/>
    <w:rsid w:val="00FF3554"/>
    <w:rsid w:val="00FF386F"/>
    <w:rsid w:val="00FF748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F1F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5">
    <w:lsdException w:name="Normal" w:locked="0"/>
    <w:lsdException w:name="heading 1" w:locked="0" w:uiPriority="0" w:qFormat="1"/>
    <w:lsdException w:name="heading 2" w:locked="0" w:uiPriority="4" w:qFormat="1"/>
    <w:lsdException w:name="heading 3" w:locked="0" w:uiPriority="4" w:qFormat="1"/>
    <w:lsdException w:name="heading 4" w:locked="0" w:uiPriority="4"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iPriority="99"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70CA5"/>
    <w:pPr>
      <w:keepNext/>
      <w:widowControl w:val="0"/>
      <w:numPr>
        <w:ilvl w:val="1"/>
        <w:numId w:val="6"/>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link w:val="Heading3Char"/>
    <w:uiPriority w:val="4"/>
    <w:qFormat/>
    <w:rsid w:val="00E70CA5"/>
    <w:pPr>
      <w:keepNext/>
      <w:widowControl w:val="0"/>
      <w:numPr>
        <w:ilvl w:val="2"/>
        <w:numId w:val="3"/>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3"/>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4"/>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7"/>
      </w:numPr>
    </w:pPr>
  </w:style>
  <w:style w:type="paragraph" w:customStyle="1" w:styleId="ListNumbered">
    <w:name w:val="List Numbered"/>
    <w:basedOn w:val="BodyText"/>
    <w:uiPriority w:val="5"/>
    <w:qFormat/>
    <w:locked/>
    <w:rsid w:val="00717C6F"/>
    <w:pPr>
      <w:numPr>
        <w:numId w:val="8"/>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5"/>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9"/>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character" w:customStyle="1" w:styleId="Heading3Char">
    <w:name w:val="Heading 3 Char"/>
    <w:aliases w:val="2nd level paper heading Char"/>
    <w:basedOn w:val="DefaultParagraphFont"/>
    <w:link w:val="Heading3"/>
    <w:uiPriority w:val="4"/>
    <w:rsid w:val="00E70CA5"/>
    <w:rPr>
      <w:b/>
      <w:lang w:eastAsia="en-US"/>
    </w:rPr>
  </w:style>
  <w:style w:type="character" w:styleId="Hyperlink">
    <w:name w:val="Hyperlink"/>
    <w:basedOn w:val="DefaultParagraphFont"/>
    <w:uiPriority w:val="49"/>
    <w:unhideWhenUsed/>
    <w:locked/>
    <w:rsid w:val="00014276"/>
    <w:rPr>
      <w:color w:val="0000FF" w:themeColor="hyperlink"/>
      <w:u w:val="single"/>
    </w:rPr>
  </w:style>
  <w:style w:type="character" w:styleId="CommentReference">
    <w:name w:val="annotation reference"/>
    <w:basedOn w:val="DefaultParagraphFont"/>
    <w:uiPriority w:val="49"/>
    <w:semiHidden/>
    <w:unhideWhenUsed/>
    <w:locked/>
    <w:rsid w:val="00941A5A"/>
    <w:rPr>
      <w:sz w:val="16"/>
      <w:szCs w:val="16"/>
    </w:rPr>
  </w:style>
  <w:style w:type="paragraph" w:styleId="CommentText">
    <w:name w:val="annotation text"/>
    <w:basedOn w:val="Normal"/>
    <w:link w:val="CommentTextChar"/>
    <w:uiPriority w:val="49"/>
    <w:semiHidden/>
    <w:unhideWhenUsed/>
    <w:locked/>
    <w:rsid w:val="00941A5A"/>
    <w:rPr>
      <w:sz w:val="20"/>
    </w:rPr>
  </w:style>
  <w:style w:type="character" w:customStyle="1" w:styleId="CommentTextChar">
    <w:name w:val="Comment Text Char"/>
    <w:basedOn w:val="DefaultParagraphFont"/>
    <w:link w:val="CommentText"/>
    <w:uiPriority w:val="49"/>
    <w:semiHidden/>
    <w:rsid w:val="00941A5A"/>
    <w:rPr>
      <w:lang w:eastAsia="en-US"/>
    </w:rPr>
  </w:style>
  <w:style w:type="paragraph" w:styleId="CommentSubject">
    <w:name w:val="annotation subject"/>
    <w:basedOn w:val="CommentText"/>
    <w:next w:val="CommentText"/>
    <w:link w:val="CommentSubjectChar"/>
    <w:uiPriority w:val="49"/>
    <w:semiHidden/>
    <w:unhideWhenUsed/>
    <w:locked/>
    <w:rsid w:val="00941A5A"/>
    <w:rPr>
      <w:b/>
      <w:bCs/>
    </w:rPr>
  </w:style>
  <w:style w:type="character" w:customStyle="1" w:styleId="CommentSubjectChar">
    <w:name w:val="Comment Subject Char"/>
    <w:basedOn w:val="CommentTextChar"/>
    <w:link w:val="CommentSubject"/>
    <w:uiPriority w:val="49"/>
    <w:semiHidden/>
    <w:rsid w:val="00941A5A"/>
    <w:rPr>
      <w:b/>
      <w:bCs/>
      <w:lang w:eastAsia="en-US"/>
    </w:rPr>
  </w:style>
  <w:style w:type="character" w:styleId="FollowedHyperlink">
    <w:name w:val="FollowedHyperlink"/>
    <w:basedOn w:val="DefaultParagraphFont"/>
    <w:uiPriority w:val="49"/>
    <w:semiHidden/>
    <w:unhideWhenUsed/>
    <w:locked/>
    <w:rsid w:val="00EF46B7"/>
    <w:rPr>
      <w:color w:val="800080" w:themeColor="followedHyperlink"/>
      <w:u w:val="single"/>
    </w:rPr>
  </w:style>
  <w:style w:type="paragraph" w:styleId="NormalWeb">
    <w:name w:val="Normal (Web)"/>
    <w:basedOn w:val="Normal"/>
    <w:uiPriority w:val="99"/>
    <w:semiHidden/>
    <w:unhideWhenUsed/>
    <w:locked/>
    <w:rsid w:val="00132F47"/>
    <w:pPr>
      <w:overflowPunct/>
      <w:autoSpaceDE/>
      <w:autoSpaceDN/>
      <w:adjustRightInd/>
      <w:spacing w:before="100" w:beforeAutospacing="1" w:after="100" w:afterAutospacing="1"/>
      <w:textAlignment w:val="auto"/>
    </w:pPr>
    <w:rPr>
      <w:rFonts w:eastAsiaTheme="minorEastAsia"/>
      <w:sz w:val="24"/>
      <w:szCs w:val="24"/>
      <w:lang w:val="en-US"/>
    </w:rPr>
  </w:style>
  <w:style w:type="paragraph" w:styleId="ListParagraph">
    <w:name w:val="List Paragraph"/>
    <w:basedOn w:val="Normal"/>
    <w:uiPriority w:val="34"/>
    <w:qFormat/>
    <w:locked/>
    <w:rsid w:val="00274AE9"/>
    <w:pPr>
      <w:overflowPunct/>
      <w:autoSpaceDE/>
      <w:autoSpaceDN/>
      <w:adjustRightInd/>
      <w:ind w:left="720"/>
      <w:contextualSpacing/>
      <w:textAlignment w:val="auto"/>
    </w:pPr>
    <w:rPr>
      <w:sz w:val="24"/>
      <w:szCs w:val="24"/>
      <w:lang w:val="en-US"/>
    </w:rPr>
  </w:style>
  <w:style w:type="character" w:customStyle="1" w:styleId="UnresolvedMention1">
    <w:name w:val="Unresolved Mention1"/>
    <w:basedOn w:val="DefaultParagraphFont"/>
    <w:uiPriority w:val="99"/>
    <w:semiHidden/>
    <w:unhideWhenUsed/>
    <w:rsid w:val="00924B20"/>
    <w:rPr>
      <w:color w:val="605E5C"/>
      <w:shd w:val="clear" w:color="auto" w:fill="E1DFDD"/>
    </w:rPr>
  </w:style>
  <w:style w:type="paragraph" w:styleId="Revision">
    <w:name w:val="Revision"/>
    <w:hidden/>
    <w:uiPriority w:val="99"/>
    <w:semiHidden/>
    <w:rsid w:val="00374026"/>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92871">
      <w:bodyDiv w:val="1"/>
      <w:marLeft w:val="0"/>
      <w:marRight w:val="0"/>
      <w:marTop w:val="0"/>
      <w:marBottom w:val="0"/>
      <w:divBdr>
        <w:top w:val="none" w:sz="0" w:space="0" w:color="auto"/>
        <w:left w:val="none" w:sz="0" w:space="0" w:color="auto"/>
        <w:bottom w:val="none" w:sz="0" w:space="0" w:color="auto"/>
        <w:right w:val="none" w:sz="0" w:space="0" w:color="auto"/>
      </w:divBdr>
      <w:divsChild>
        <w:div w:id="55056686">
          <w:marLeft w:val="720"/>
          <w:marRight w:val="0"/>
          <w:marTop w:val="0"/>
          <w:marBottom w:val="0"/>
          <w:divBdr>
            <w:top w:val="none" w:sz="0" w:space="0" w:color="auto"/>
            <w:left w:val="none" w:sz="0" w:space="0" w:color="auto"/>
            <w:bottom w:val="none" w:sz="0" w:space="0" w:color="auto"/>
            <w:right w:val="none" w:sz="0" w:space="0" w:color="auto"/>
          </w:divBdr>
        </w:div>
      </w:divsChild>
    </w:div>
    <w:div w:id="140123875">
      <w:bodyDiv w:val="1"/>
      <w:marLeft w:val="0"/>
      <w:marRight w:val="0"/>
      <w:marTop w:val="0"/>
      <w:marBottom w:val="0"/>
      <w:divBdr>
        <w:top w:val="none" w:sz="0" w:space="0" w:color="auto"/>
        <w:left w:val="none" w:sz="0" w:space="0" w:color="auto"/>
        <w:bottom w:val="none" w:sz="0" w:space="0" w:color="auto"/>
        <w:right w:val="none" w:sz="0" w:space="0" w:color="auto"/>
      </w:divBdr>
      <w:divsChild>
        <w:div w:id="1368918747">
          <w:marLeft w:val="720"/>
          <w:marRight w:val="0"/>
          <w:marTop w:val="0"/>
          <w:marBottom w:val="0"/>
          <w:divBdr>
            <w:top w:val="none" w:sz="0" w:space="0" w:color="auto"/>
            <w:left w:val="none" w:sz="0" w:space="0" w:color="auto"/>
            <w:bottom w:val="none" w:sz="0" w:space="0" w:color="auto"/>
            <w:right w:val="none" w:sz="0" w:space="0" w:color="auto"/>
          </w:divBdr>
        </w:div>
      </w:divsChild>
    </w:div>
    <w:div w:id="187258560">
      <w:bodyDiv w:val="1"/>
      <w:marLeft w:val="0"/>
      <w:marRight w:val="0"/>
      <w:marTop w:val="0"/>
      <w:marBottom w:val="0"/>
      <w:divBdr>
        <w:top w:val="none" w:sz="0" w:space="0" w:color="auto"/>
        <w:left w:val="none" w:sz="0" w:space="0" w:color="auto"/>
        <w:bottom w:val="none" w:sz="0" w:space="0" w:color="auto"/>
        <w:right w:val="none" w:sz="0" w:space="0" w:color="auto"/>
      </w:divBdr>
      <w:divsChild>
        <w:div w:id="29764725">
          <w:marLeft w:val="360"/>
          <w:marRight w:val="0"/>
          <w:marTop w:val="200"/>
          <w:marBottom w:val="0"/>
          <w:divBdr>
            <w:top w:val="none" w:sz="0" w:space="0" w:color="auto"/>
            <w:left w:val="none" w:sz="0" w:space="0" w:color="auto"/>
            <w:bottom w:val="none" w:sz="0" w:space="0" w:color="auto"/>
            <w:right w:val="none" w:sz="0" w:space="0" w:color="auto"/>
          </w:divBdr>
        </w:div>
      </w:divsChild>
    </w:div>
    <w:div w:id="202014216">
      <w:bodyDiv w:val="1"/>
      <w:marLeft w:val="0"/>
      <w:marRight w:val="0"/>
      <w:marTop w:val="0"/>
      <w:marBottom w:val="0"/>
      <w:divBdr>
        <w:top w:val="none" w:sz="0" w:space="0" w:color="auto"/>
        <w:left w:val="none" w:sz="0" w:space="0" w:color="auto"/>
        <w:bottom w:val="none" w:sz="0" w:space="0" w:color="auto"/>
        <w:right w:val="none" w:sz="0" w:space="0" w:color="auto"/>
      </w:divBdr>
      <w:divsChild>
        <w:div w:id="936256949">
          <w:marLeft w:val="360"/>
          <w:marRight w:val="0"/>
          <w:marTop w:val="200"/>
          <w:marBottom w:val="0"/>
          <w:divBdr>
            <w:top w:val="none" w:sz="0" w:space="0" w:color="auto"/>
            <w:left w:val="none" w:sz="0" w:space="0" w:color="auto"/>
            <w:bottom w:val="none" w:sz="0" w:space="0" w:color="auto"/>
            <w:right w:val="none" w:sz="0" w:space="0" w:color="auto"/>
          </w:divBdr>
        </w:div>
        <w:div w:id="59836367">
          <w:marLeft w:val="1080"/>
          <w:marRight w:val="0"/>
          <w:marTop w:val="100"/>
          <w:marBottom w:val="0"/>
          <w:divBdr>
            <w:top w:val="none" w:sz="0" w:space="0" w:color="auto"/>
            <w:left w:val="none" w:sz="0" w:space="0" w:color="auto"/>
            <w:bottom w:val="none" w:sz="0" w:space="0" w:color="auto"/>
            <w:right w:val="none" w:sz="0" w:space="0" w:color="auto"/>
          </w:divBdr>
        </w:div>
      </w:divsChild>
    </w:div>
    <w:div w:id="222494889">
      <w:bodyDiv w:val="1"/>
      <w:marLeft w:val="0"/>
      <w:marRight w:val="0"/>
      <w:marTop w:val="0"/>
      <w:marBottom w:val="0"/>
      <w:divBdr>
        <w:top w:val="none" w:sz="0" w:space="0" w:color="auto"/>
        <w:left w:val="none" w:sz="0" w:space="0" w:color="auto"/>
        <w:bottom w:val="none" w:sz="0" w:space="0" w:color="auto"/>
        <w:right w:val="none" w:sz="0" w:space="0" w:color="auto"/>
      </w:divBdr>
    </w:div>
    <w:div w:id="291860673">
      <w:bodyDiv w:val="1"/>
      <w:marLeft w:val="0"/>
      <w:marRight w:val="0"/>
      <w:marTop w:val="0"/>
      <w:marBottom w:val="0"/>
      <w:divBdr>
        <w:top w:val="none" w:sz="0" w:space="0" w:color="auto"/>
        <w:left w:val="none" w:sz="0" w:space="0" w:color="auto"/>
        <w:bottom w:val="none" w:sz="0" w:space="0" w:color="auto"/>
        <w:right w:val="none" w:sz="0" w:space="0" w:color="auto"/>
      </w:divBdr>
      <w:divsChild>
        <w:div w:id="1173690923">
          <w:marLeft w:val="360"/>
          <w:marRight w:val="0"/>
          <w:marTop w:val="200"/>
          <w:marBottom w:val="0"/>
          <w:divBdr>
            <w:top w:val="none" w:sz="0" w:space="0" w:color="auto"/>
            <w:left w:val="none" w:sz="0" w:space="0" w:color="auto"/>
            <w:bottom w:val="none" w:sz="0" w:space="0" w:color="auto"/>
            <w:right w:val="none" w:sz="0" w:space="0" w:color="auto"/>
          </w:divBdr>
        </w:div>
        <w:div w:id="311830547">
          <w:marLeft w:val="1080"/>
          <w:marRight w:val="0"/>
          <w:marTop w:val="100"/>
          <w:marBottom w:val="0"/>
          <w:divBdr>
            <w:top w:val="none" w:sz="0" w:space="0" w:color="auto"/>
            <w:left w:val="none" w:sz="0" w:space="0" w:color="auto"/>
            <w:bottom w:val="none" w:sz="0" w:space="0" w:color="auto"/>
            <w:right w:val="none" w:sz="0" w:space="0" w:color="auto"/>
          </w:divBdr>
        </w:div>
        <w:div w:id="969552223">
          <w:marLeft w:val="1080"/>
          <w:marRight w:val="0"/>
          <w:marTop w:val="100"/>
          <w:marBottom w:val="0"/>
          <w:divBdr>
            <w:top w:val="none" w:sz="0" w:space="0" w:color="auto"/>
            <w:left w:val="none" w:sz="0" w:space="0" w:color="auto"/>
            <w:bottom w:val="none" w:sz="0" w:space="0" w:color="auto"/>
            <w:right w:val="none" w:sz="0" w:space="0" w:color="auto"/>
          </w:divBdr>
        </w:div>
      </w:divsChild>
    </w:div>
    <w:div w:id="323626635">
      <w:bodyDiv w:val="1"/>
      <w:marLeft w:val="0"/>
      <w:marRight w:val="0"/>
      <w:marTop w:val="0"/>
      <w:marBottom w:val="0"/>
      <w:divBdr>
        <w:top w:val="none" w:sz="0" w:space="0" w:color="auto"/>
        <w:left w:val="none" w:sz="0" w:space="0" w:color="auto"/>
        <w:bottom w:val="none" w:sz="0" w:space="0" w:color="auto"/>
        <w:right w:val="none" w:sz="0" w:space="0" w:color="auto"/>
      </w:divBdr>
      <w:divsChild>
        <w:div w:id="80371285">
          <w:marLeft w:val="720"/>
          <w:marRight w:val="0"/>
          <w:marTop w:val="0"/>
          <w:marBottom w:val="0"/>
          <w:divBdr>
            <w:top w:val="none" w:sz="0" w:space="0" w:color="auto"/>
            <w:left w:val="none" w:sz="0" w:space="0" w:color="auto"/>
            <w:bottom w:val="none" w:sz="0" w:space="0" w:color="auto"/>
            <w:right w:val="none" w:sz="0" w:space="0" w:color="auto"/>
          </w:divBdr>
        </w:div>
      </w:divsChild>
    </w:div>
    <w:div w:id="401293904">
      <w:bodyDiv w:val="1"/>
      <w:marLeft w:val="0"/>
      <w:marRight w:val="0"/>
      <w:marTop w:val="0"/>
      <w:marBottom w:val="0"/>
      <w:divBdr>
        <w:top w:val="none" w:sz="0" w:space="0" w:color="auto"/>
        <w:left w:val="none" w:sz="0" w:space="0" w:color="auto"/>
        <w:bottom w:val="none" w:sz="0" w:space="0" w:color="auto"/>
        <w:right w:val="none" w:sz="0" w:space="0" w:color="auto"/>
      </w:divBdr>
    </w:div>
    <w:div w:id="463423747">
      <w:bodyDiv w:val="1"/>
      <w:marLeft w:val="0"/>
      <w:marRight w:val="0"/>
      <w:marTop w:val="0"/>
      <w:marBottom w:val="0"/>
      <w:divBdr>
        <w:top w:val="none" w:sz="0" w:space="0" w:color="auto"/>
        <w:left w:val="none" w:sz="0" w:space="0" w:color="auto"/>
        <w:bottom w:val="none" w:sz="0" w:space="0" w:color="auto"/>
        <w:right w:val="none" w:sz="0" w:space="0" w:color="auto"/>
      </w:divBdr>
    </w:div>
    <w:div w:id="467671199">
      <w:bodyDiv w:val="1"/>
      <w:marLeft w:val="0"/>
      <w:marRight w:val="0"/>
      <w:marTop w:val="0"/>
      <w:marBottom w:val="0"/>
      <w:divBdr>
        <w:top w:val="none" w:sz="0" w:space="0" w:color="auto"/>
        <w:left w:val="none" w:sz="0" w:space="0" w:color="auto"/>
        <w:bottom w:val="none" w:sz="0" w:space="0" w:color="auto"/>
        <w:right w:val="none" w:sz="0" w:space="0" w:color="auto"/>
      </w:divBdr>
    </w:div>
    <w:div w:id="712314739">
      <w:bodyDiv w:val="1"/>
      <w:marLeft w:val="0"/>
      <w:marRight w:val="0"/>
      <w:marTop w:val="0"/>
      <w:marBottom w:val="0"/>
      <w:divBdr>
        <w:top w:val="none" w:sz="0" w:space="0" w:color="auto"/>
        <w:left w:val="none" w:sz="0" w:space="0" w:color="auto"/>
        <w:bottom w:val="none" w:sz="0" w:space="0" w:color="auto"/>
        <w:right w:val="none" w:sz="0" w:space="0" w:color="auto"/>
      </w:divBdr>
    </w:div>
    <w:div w:id="719330501">
      <w:bodyDiv w:val="1"/>
      <w:marLeft w:val="0"/>
      <w:marRight w:val="0"/>
      <w:marTop w:val="0"/>
      <w:marBottom w:val="0"/>
      <w:divBdr>
        <w:top w:val="none" w:sz="0" w:space="0" w:color="auto"/>
        <w:left w:val="none" w:sz="0" w:space="0" w:color="auto"/>
        <w:bottom w:val="none" w:sz="0" w:space="0" w:color="auto"/>
        <w:right w:val="none" w:sz="0" w:space="0" w:color="auto"/>
      </w:divBdr>
    </w:div>
    <w:div w:id="727725636">
      <w:bodyDiv w:val="1"/>
      <w:marLeft w:val="0"/>
      <w:marRight w:val="0"/>
      <w:marTop w:val="0"/>
      <w:marBottom w:val="0"/>
      <w:divBdr>
        <w:top w:val="none" w:sz="0" w:space="0" w:color="auto"/>
        <w:left w:val="none" w:sz="0" w:space="0" w:color="auto"/>
        <w:bottom w:val="none" w:sz="0" w:space="0" w:color="auto"/>
        <w:right w:val="none" w:sz="0" w:space="0" w:color="auto"/>
      </w:divBdr>
    </w:div>
    <w:div w:id="838619181">
      <w:bodyDiv w:val="1"/>
      <w:marLeft w:val="0"/>
      <w:marRight w:val="0"/>
      <w:marTop w:val="0"/>
      <w:marBottom w:val="0"/>
      <w:divBdr>
        <w:top w:val="none" w:sz="0" w:space="0" w:color="auto"/>
        <w:left w:val="none" w:sz="0" w:space="0" w:color="auto"/>
        <w:bottom w:val="none" w:sz="0" w:space="0" w:color="auto"/>
        <w:right w:val="none" w:sz="0" w:space="0" w:color="auto"/>
      </w:divBdr>
      <w:divsChild>
        <w:div w:id="955872902">
          <w:marLeft w:val="1080"/>
          <w:marRight w:val="0"/>
          <w:marTop w:val="100"/>
          <w:marBottom w:val="0"/>
          <w:divBdr>
            <w:top w:val="none" w:sz="0" w:space="0" w:color="auto"/>
            <w:left w:val="none" w:sz="0" w:space="0" w:color="auto"/>
            <w:bottom w:val="none" w:sz="0" w:space="0" w:color="auto"/>
            <w:right w:val="none" w:sz="0" w:space="0" w:color="auto"/>
          </w:divBdr>
        </w:div>
        <w:div w:id="912004859">
          <w:marLeft w:val="1080"/>
          <w:marRight w:val="0"/>
          <w:marTop w:val="100"/>
          <w:marBottom w:val="0"/>
          <w:divBdr>
            <w:top w:val="none" w:sz="0" w:space="0" w:color="auto"/>
            <w:left w:val="none" w:sz="0" w:space="0" w:color="auto"/>
            <w:bottom w:val="none" w:sz="0" w:space="0" w:color="auto"/>
            <w:right w:val="none" w:sz="0" w:space="0" w:color="auto"/>
          </w:divBdr>
        </w:div>
      </w:divsChild>
    </w:div>
    <w:div w:id="877275008">
      <w:bodyDiv w:val="1"/>
      <w:marLeft w:val="0"/>
      <w:marRight w:val="0"/>
      <w:marTop w:val="0"/>
      <w:marBottom w:val="0"/>
      <w:divBdr>
        <w:top w:val="none" w:sz="0" w:space="0" w:color="auto"/>
        <w:left w:val="none" w:sz="0" w:space="0" w:color="auto"/>
        <w:bottom w:val="none" w:sz="0" w:space="0" w:color="auto"/>
        <w:right w:val="none" w:sz="0" w:space="0" w:color="auto"/>
      </w:divBdr>
    </w:div>
    <w:div w:id="1023090550">
      <w:bodyDiv w:val="1"/>
      <w:marLeft w:val="0"/>
      <w:marRight w:val="0"/>
      <w:marTop w:val="0"/>
      <w:marBottom w:val="0"/>
      <w:divBdr>
        <w:top w:val="none" w:sz="0" w:space="0" w:color="auto"/>
        <w:left w:val="none" w:sz="0" w:space="0" w:color="auto"/>
        <w:bottom w:val="none" w:sz="0" w:space="0" w:color="auto"/>
        <w:right w:val="none" w:sz="0" w:space="0" w:color="auto"/>
      </w:divBdr>
    </w:div>
    <w:div w:id="1266691933">
      <w:bodyDiv w:val="1"/>
      <w:marLeft w:val="0"/>
      <w:marRight w:val="0"/>
      <w:marTop w:val="0"/>
      <w:marBottom w:val="0"/>
      <w:divBdr>
        <w:top w:val="none" w:sz="0" w:space="0" w:color="auto"/>
        <w:left w:val="none" w:sz="0" w:space="0" w:color="auto"/>
        <w:bottom w:val="none" w:sz="0" w:space="0" w:color="auto"/>
        <w:right w:val="none" w:sz="0" w:space="0" w:color="auto"/>
      </w:divBdr>
    </w:div>
    <w:div w:id="1273197918">
      <w:bodyDiv w:val="1"/>
      <w:marLeft w:val="0"/>
      <w:marRight w:val="0"/>
      <w:marTop w:val="0"/>
      <w:marBottom w:val="0"/>
      <w:divBdr>
        <w:top w:val="none" w:sz="0" w:space="0" w:color="auto"/>
        <w:left w:val="none" w:sz="0" w:space="0" w:color="auto"/>
        <w:bottom w:val="none" w:sz="0" w:space="0" w:color="auto"/>
        <w:right w:val="none" w:sz="0" w:space="0" w:color="auto"/>
      </w:divBdr>
      <w:divsChild>
        <w:div w:id="981276347">
          <w:marLeft w:val="720"/>
          <w:marRight w:val="0"/>
          <w:marTop w:val="0"/>
          <w:marBottom w:val="0"/>
          <w:divBdr>
            <w:top w:val="none" w:sz="0" w:space="0" w:color="auto"/>
            <w:left w:val="none" w:sz="0" w:space="0" w:color="auto"/>
            <w:bottom w:val="none" w:sz="0" w:space="0" w:color="auto"/>
            <w:right w:val="none" w:sz="0" w:space="0" w:color="auto"/>
          </w:divBdr>
        </w:div>
        <w:div w:id="214661384">
          <w:marLeft w:val="720"/>
          <w:marRight w:val="0"/>
          <w:marTop w:val="0"/>
          <w:marBottom w:val="0"/>
          <w:divBdr>
            <w:top w:val="none" w:sz="0" w:space="0" w:color="auto"/>
            <w:left w:val="none" w:sz="0" w:space="0" w:color="auto"/>
            <w:bottom w:val="none" w:sz="0" w:space="0" w:color="auto"/>
            <w:right w:val="none" w:sz="0" w:space="0" w:color="auto"/>
          </w:divBdr>
        </w:div>
      </w:divsChild>
    </w:div>
    <w:div w:id="1409301498">
      <w:bodyDiv w:val="1"/>
      <w:marLeft w:val="0"/>
      <w:marRight w:val="0"/>
      <w:marTop w:val="0"/>
      <w:marBottom w:val="0"/>
      <w:divBdr>
        <w:top w:val="none" w:sz="0" w:space="0" w:color="auto"/>
        <w:left w:val="none" w:sz="0" w:space="0" w:color="auto"/>
        <w:bottom w:val="none" w:sz="0" w:space="0" w:color="auto"/>
        <w:right w:val="none" w:sz="0" w:space="0" w:color="auto"/>
      </w:divBdr>
      <w:divsChild>
        <w:div w:id="917056524">
          <w:marLeft w:val="360"/>
          <w:marRight w:val="0"/>
          <w:marTop w:val="200"/>
          <w:marBottom w:val="0"/>
          <w:divBdr>
            <w:top w:val="none" w:sz="0" w:space="0" w:color="auto"/>
            <w:left w:val="none" w:sz="0" w:space="0" w:color="auto"/>
            <w:bottom w:val="none" w:sz="0" w:space="0" w:color="auto"/>
            <w:right w:val="none" w:sz="0" w:space="0" w:color="auto"/>
          </w:divBdr>
        </w:div>
      </w:divsChild>
    </w:div>
    <w:div w:id="1426002381">
      <w:bodyDiv w:val="1"/>
      <w:marLeft w:val="0"/>
      <w:marRight w:val="0"/>
      <w:marTop w:val="0"/>
      <w:marBottom w:val="0"/>
      <w:divBdr>
        <w:top w:val="none" w:sz="0" w:space="0" w:color="auto"/>
        <w:left w:val="none" w:sz="0" w:space="0" w:color="auto"/>
        <w:bottom w:val="none" w:sz="0" w:space="0" w:color="auto"/>
        <w:right w:val="none" w:sz="0" w:space="0" w:color="auto"/>
      </w:divBdr>
    </w:div>
    <w:div w:id="1432310552">
      <w:bodyDiv w:val="1"/>
      <w:marLeft w:val="0"/>
      <w:marRight w:val="0"/>
      <w:marTop w:val="0"/>
      <w:marBottom w:val="0"/>
      <w:divBdr>
        <w:top w:val="none" w:sz="0" w:space="0" w:color="auto"/>
        <w:left w:val="none" w:sz="0" w:space="0" w:color="auto"/>
        <w:bottom w:val="none" w:sz="0" w:space="0" w:color="auto"/>
        <w:right w:val="none" w:sz="0" w:space="0" w:color="auto"/>
      </w:divBdr>
    </w:div>
    <w:div w:id="1445077980">
      <w:bodyDiv w:val="1"/>
      <w:marLeft w:val="0"/>
      <w:marRight w:val="0"/>
      <w:marTop w:val="0"/>
      <w:marBottom w:val="0"/>
      <w:divBdr>
        <w:top w:val="none" w:sz="0" w:space="0" w:color="auto"/>
        <w:left w:val="none" w:sz="0" w:space="0" w:color="auto"/>
        <w:bottom w:val="none" w:sz="0" w:space="0" w:color="auto"/>
        <w:right w:val="none" w:sz="0" w:space="0" w:color="auto"/>
      </w:divBdr>
    </w:div>
    <w:div w:id="1459300203">
      <w:bodyDiv w:val="1"/>
      <w:marLeft w:val="0"/>
      <w:marRight w:val="0"/>
      <w:marTop w:val="0"/>
      <w:marBottom w:val="0"/>
      <w:divBdr>
        <w:top w:val="none" w:sz="0" w:space="0" w:color="auto"/>
        <w:left w:val="none" w:sz="0" w:space="0" w:color="auto"/>
        <w:bottom w:val="none" w:sz="0" w:space="0" w:color="auto"/>
        <w:right w:val="none" w:sz="0" w:space="0" w:color="auto"/>
      </w:divBdr>
      <w:divsChild>
        <w:div w:id="1260406591">
          <w:marLeft w:val="360"/>
          <w:marRight w:val="0"/>
          <w:marTop w:val="200"/>
          <w:marBottom w:val="0"/>
          <w:divBdr>
            <w:top w:val="none" w:sz="0" w:space="0" w:color="auto"/>
            <w:left w:val="none" w:sz="0" w:space="0" w:color="auto"/>
            <w:bottom w:val="none" w:sz="0" w:space="0" w:color="auto"/>
            <w:right w:val="none" w:sz="0" w:space="0" w:color="auto"/>
          </w:divBdr>
        </w:div>
      </w:divsChild>
    </w:div>
    <w:div w:id="1488092237">
      <w:bodyDiv w:val="1"/>
      <w:marLeft w:val="0"/>
      <w:marRight w:val="0"/>
      <w:marTop w:val="0"/>
      <w:marBottom w:val="0"/>
      <w:divBdr>
        <w:top w:val="none" w:sz="0" w:space="0" w:color="auto"/>
        <w:left w:val="none" w:sz="0" w:space="0" w:color="auto"/>
        <w:bottom w:val="none" w:sz="0" w:space="0" w:color="auto"/>
        <w:right w:val="none" w:sz="0" w:space="0" w:color="auto"/>
      </w:divBdr>
    </w:div>
    <w:div w:id="1492868880">
      <w:bodyDiv w:val="1"/>
      <w:marLeft w:val="0"/>
      <w:marRight w:val="0"/>
      <w:marTop w:val="0"/>
      <w:marBottom w:val="0"/>
      <w:divBdr>
        <w:top w:val="none" w:sz="0" w:space="0" w:color="auto"/>
        <w:left w:val="none" w:sz="0" w:space="0" w:color="auto"/>
        <w:bottom w:val="none" w:sz="0" w:space="0" w:color="auto"/>
        <w:right w:val="none" w:sz="0" w:space="0" w:color="auto"/>
      </w:divBdr>
    </w:div>
    <w:div w:id="1513640505">
      <w:bodyDiv w:val="1"/>
      <w:marLeft w:val="0"/>
      <w:marRight w:val="0"/>
      <w:marTop w:val="0"/>
      <w:marBottom w:val="0"/>
      <w:divBdr>
        <w:top w:val="none" w:sz="0" w:space="0" w:color="auto"/>
        <w:left w:val="none" w:sz="0" w:space="0" w:color="auto"/>
        <w:bottom w:val="none" w:sz="0" w:space="0" w:color="auto"/>
        <w:right w:val="none" w:sz="0" w:space="0" w:color="auto"/>
      </w:divBdr>
      <w:divsChild>
        <w:div w:id="1642419301">
          <w:marLeft w:val="360"/>
          <w:marRight w:val="0"/>
          <w:marTop w:val="200"/>
          <w:marBottom w:val="0"/>
          <w:divBdr>
            <w:top w:val="none" w:sz="0" w:space="0" w:color="auto"/>
            <w:left w:val="none" w:sz="0" w:space="0" w:color="auto"/>
            <w:bottom w:val="none" w:sz="0" w:space="0" w:color="auto"/>
            <w:right w:val="none" w:sz="0" w:space="0" w:color="auto"/>
          </w:divBdr>
        </w:div>
        <w:div w:id="416943234">
          <w:marLeft w:val="1080"/>
          <w:marRight w:val="0"/>
          <w:marTop w:val="100"/>
          <w:marBottom w:val="0"/>
          <w:divBdr>
            <w:top w:val="none" w:sz="0" w:space="0" w:color="auto"/>
            <w:left w:val="none" w:sz="0" w:space="0" w:color="auto"/>
            <w:bottom w:val="none" w:sz="0" w:space="0" w:color="auto"/>
            <w:right w:val="none" w:sz="0" w:space="0" w:color="auto"/>
          </w:divBdr>
        </w:div>
        <w:div w:id="2130052878">
          <w:marLeft w:val="1080"/>
          <w:marRight w:val="0"/>
          <w:marTop w:val="100"/>
          <w:marBottom w:val="0"/>
          <w:divBdr>
            <w:top w:val="none" w:sz="0" w:space="0" w:color="auto"/>
            <w:left w:val="none" w:sz="0" w:space="0" w:color="auto"/>
            <w:bottom w:val="none" w:sz="0" w:space="0" w:color="auto"/>
            <w:right w:val="none" w:sz="0" w:space="0" w:color="auto"/>
          </w:divBdr>
        </w:div>
        <w:div w:id="459998711">
          <w:marLeft w:val="1080"/>
          <w:marRight w:val="0"/>
          <w:marTop w:val="100"/>
          <w:marBottom w:val="0"/>
          <w:divBdr>
            <w:top w:val="none" w:sz="0" w:space="0" w:color="auto"/>
            <w:left w:val="none" w:sz="0" w:space="0" w:color="auto"/>
            <w:bottom w:val="none" w:sz="0" w:space="0" w:color="auto"/>
            <w:right w:val="none" w:sz="0" w:space="0" w:color="auto"/>
          </w:divBdr>
        </w:div>
      </w:divsChild>
    </w:div>
    <w:div w:id="1591349267">
      <w:bodyDiv w:val="1"/>
      <w:marLeft w:val="0"/>
      <w:marRight w:val="0"/>
      <w:marTop w:val="0"/>
      <w:marBottom w:val="0"/>
      <w:divBdr>
        <w:top w:val="none" w:sz="0" w:space="0" w:color="auto"/>
        <w:left w:val="none" w:sz="0" w:space="0" w:color="auto"/>
        <w:bottom w:val="none" w:sz="0" w:space="0" w:color="auto"/>
        <w:right w:val="none" w:sz="0" w:space="0" w:color="auto"/>
      </w:divBdr>
      <w:divsChild>
        <w:div w:id="721445394">
          <w:marLeft w:val="720"/>
          <w:marRight w:val="0"/>
          <w:marTop w:val="0"/>
          <w:marBottom w:val="0"/>
          <w:divBdr>
            <w:top w:val="none" w:sz="0" w:space="0" w:color="auto"/>
            <w:left w:val="none" w:sz="0" w:space="0" w:color="auto"/>
            <w:bottom w:val="none" w:sz="0" w:space="0" w:color="auto"/>
            <w:right w:val="none" w:sz="0" w:space="0" w:color="auto"/>
          </w:divBdr>
        </w:div>
      </w:divsChild>
    </w:div>
    <w:div w:id="1599219425">
      <w:bodyDiv w:val="1"/>
      <w:marLeft w:val="0"/>
      <w:marRight w:val="0"/>
      <w:marTop w:val="0"/>
      <w:marBottom w:val="0"/>
      <w:divBdr>
        <w:top w:val="none" w:sz="0" w:space="0" w:color="auto"/>
        <w:left w:val="none" w:sz="0" w:space="0" w:color="auto"/>
        <w:bottom w:val="none" w:sz="0" w:space="0" w:color="auto"/>
        <w:right w:val="none" w:sz="0" w:space="0" w:color="auto"/>
      </w:divBdr>
    </w:div>
    <w:div w:id="1730152599">
      <w:bodyDiv w:val="1"/>
      <w:marLeft w:val="0"/>
      <w:marRight w:val="0"/>
      <w:marTop w:val="0"/>
      <w:marBottom w:val="0"/>
      <w:divBdr>
        <w:top w:val="none" w:sz="0" w:space="0" w:color="auto"/>
        <w:left w:val="none" w:sz="0" w:space="0" w:color="auto"/>
        <w:bottom w:val="none" w:sz="0" w:space="0" w:color="auto"/>
        <w:right w:val="none" w:sz="0" w:space="0" w:color="auto"/>
      </w:divBdr>
    </w:div>
    <w:div w:id="1889758043">
      <w:bodyDiv w:val="1"/>
      <w:marLeft w:val="0"/>
      <w:marRight w:val="0"/>
      <w:marTop w:val="0"/>
      <w:marBottom w:val="0"/>
      <w:divBdr>
        <w:top w:val="none" w:sz="0" w:space="0" w:color="auto"/>
        <w:left w:val="none" w:sz="0" w:space="0" w:color="auto"/>
        <w:bottom w:val="none" w:sz="0" w:space="0" w:color="auto"/>
        <w:right w:val="none" w:sz="0" w:space="0" w:color="auto"/>
      </w:divBdr>
      <w:divsChild>
        <w:div w:id="2010015451">
          <w:marLeft w:val="360"/>
          <w:marRight w:val="0"/>
          <w:marTop w:val="200"/>
          <w:marBottom w:val="0"/>
          <w:divBdr>
            <w:top w:val="none" w:sz="0" w:space="0" w:color="auto"/>
            <w:left w:val="none" w:sz="0" w:space="0" w:color="auto"/>
            <w:bottom w:val="none" w:sz="0" w:space="0" w:color="auto"/>
            <w:right w:val="none" w:sz="0" w:space="0" w:color="auto"/>
          </w:divBdr>
        </w:div>
        <w:div w:id="537354816">
          <w:marLeft w:val="1080"/>
          <w:marRight w:val="0"/>
          <w:marTop w:val="100"/>
          <w:marBottom w:val="0"/>
          <w:divBdr>
            <w:top w:val="none" w:sz="0" w:space="0" w:color="auto"/>
            <w:left w:val="none" w:sz="0" w:space="0" w:color="auto"/>
            <w:bottom w:val="none" w:sz="0" w:space="0" w:color="auto"/>
            <w:right w:val="none" w:sz="0" w:space="0" w:color="auto"/>
          </w:divBdr>
        </w:div>
        <w:div w:id="1488590877">
          <w:marLeft w:val="1080"/>
          <w:marRight w:val="0"/>
          <w:marTop w:val="100"/>
          <w:marBottom w:val="0"/>
          <w:divBdr>
            <w:top w:val="none" w:sz="0" w:space="0" w:color="auto"/>
            <w:left w:val="none" w:sz="0" w:space="0" w:color="auto"/>
            <w:bottom w:val="none" w:sz="0" w:space="0" w:color="auto"/>
            <w:right w:val="none" w:sz="0" w:space="0" w:color="auto"/>
          </w:divBdr>
        </w:div>
        <w:div w:id="2077127024">
          <w:marLeft w:val="1080"/>
          <w:marRight w:val="0"/>
          <w:marTop w:val="100"/>
          <w:marBottom w:val="0"/>
          <w:divBdr>
            <w:top w:val="none" w:sz="0" w:space="0" w:color="auto"/>
            <w:left w:val="none" w:sz="0" w:space="0" w:color="auto"/>
            <w:bottom w:val="none" w:sz="0" w:space="0" w:color="auto"/>
            <w:right w:val="none" w:sz="0" w:space="0" w:color="auto"/>
          </w:divBdr>
        </w:div>
      </w:divsChild>
    </w:div>
    <w:div w:id="1927222350">
      <w:bodyDiv w:val="1"/>
      <w:marLeft w:val="0"/>
      <w:marRight w:val="0"/>
      <w:marTop w:val="0"/>
      <w:marBottom w:val="0"/>
      <w:divBdr>
        <w:top w:val="none" w:sz="0" w:space="0" w:color="auto"/>
        <w:left w:val="none" w:sz="0" w:space="0" w:color="auto"/>
        <w:bottom w:val="none" w:sz="0" w:space="0" w:color="auto"/>
        <w:right w:val="none" w:sz="0" w:space="0" w:color="auto"/>
      </w:divBdr>
      <w:divsChild>
        <w:div w:id="261183115">
          <w:marLeft w:val="720"/>
          <w:marRight w:val="0"/>
          <w:marTop w:val="0"/>
          <w:marBottom w:val="0"/>
          <w:divBdr>
            <w:top w:val="none" w:sz="0" w:space="0" w:color="auto"/>
            <w:left w:val="none" w:sz="0" w:space="0" w:color="auto"/>
            <w:bottom w:val="none" w:sz="0" w:space="0" w:color="auto"/>
            <w:right w:val="none" w:sz="0" w:space="0" w:color="auto"/>
          </w:divBdr>
        </w:div>
        <w:div w:id="45614403">
          <w:marLeft w:val="720"/>
          <w:marRight w:val="0"/>
          <w:marTop w:val="0"/>
          <w:marBottom w:val="0"/>
          <w:divBdr>
            <w:top w:val="none" w:sz="0" w:space="0" w:color="auto"/>
            <w:left w:val="none" w:sz="0" w:space="0" w:color="auto"/>
            <w:bottom w:val="none" w:sz="0" w:space="0" w:color="auto"/>
            <w:right w:val="none" w:sz="0" w:space="0" w:color="auto"/>
          </w:divBdr>
        </w:div>
        <w:div w:id="1252009068">
          <w:marLeft w:val="720"/>
          <w:marRight w:val="0"/>
          <w:marTop w:val="0"/>
          <w:marBottom w:val="0"/>
          <w:divBdr>
            <w:top w:val="none" w:sz="0" w:space="0" w:color="auto"/>
            <w:left w:val="none" w:sz="0" w:space="0" w:color="auto"/>
            <w:bottom w:val="none" w:sz="0" w:space="0" w:color="auto"/>
            <w:right w:val="none" w:sz="0" w:space="0" w:color="auto"/>
          </w:divBdr>
        </w:div>
        <w:div w:id="497572596">
          <w:marLeft w:val="720"/>
          <w:marRight w:val="0"/>
          <w:marTop w:val="0"/>
          <w:marBottom w:val="0"/>
          <w:divBdr>
            <w:top w:val="none" w:sz="0" w:space="0" w:color="auto"/>
            <w:left w:val="none" w:sz="0" w:space="0" w:color="auto"/>
            <w:bottom w:val="none" w:sz="0" w:space="0" w:color="auto"/>
            <w:right w:val="none" w:sz="0" w:space="0" w:color="auto"/>
          </w:divBdr>
        </w:div>
      </w:divsChild>
    </w:div>
    <w:div w:id="2004770483">
      <w:bodyDiv w:val="1"/>
      <w:marLeft w:val="0"/>
      <w:marRight w:val="0"/>
      <w:marTop w:val="0"/>
      <w:marBottom w:val="0"/>
      <w:divBdr>
        <w:top w:val="none" w:sz="0" w:space="0" w:color="auto"/>
        <w:left w:val="none" w:sz="0" w:space="0" w:color="auto"/>
        <w:bottom w:val="none" w:sz="0" w:space="0" w:color="auto"/>
        <w:right w:val="none" w:sz="0" w:space="0" w:color="auto"/>
      </w:divBdr>
      <w:divsChild>
        <w:div w:id="1472676725">
          <w:marLeft w:val="360"/>
          <w:marRight w:val="0"/>
          <w:marTop w:val="200"/>
          <w:marBottom w:val="0"/>
          <w:divBdr>
            <w:top w:val="none" w:sz="0" w:space="0" w:color="auto"/>
            <w:left w:val="none" w:sz="0" w:space="0" w:color="auto"/>
            <w:bottom w:val="none" w:sz="0" w:space="0" w:color="auto"/>
            <w:right w:val="none" w:sz="0" w:space="0" w:color="auto"/>
          </w:divBdr>
        </w:div>
      </w:divsChild>
    </w:div>
    <w:div w:id="2008897825">
      <w:bodyDiv w:val="1"/>
      <w:marLeft w:val="0"/>
      <w:marRight w:val="0"/>
      <w:marTop w:val="0"/>
      <w:marBottom w:val="0"/>
      <w:divBdr>
        <w:top w:val="none" w:sz="0" w:space="0" w:color="auto"/>
        <w:left w:val="none" w:sz="0" w:space="0" w:color="auto"/>
        <w:bottom w:val="none" w:sz="0" w:space="0" w:color="auto"/>
        <w:right w:val="none" w:sz="0" w:space="0" w:color="auto"/>
      </w:divBdr>
    </w:div>
    <w:div w:id="2018996222">
      <w:bodyDiv w:val="1"/>
      <w:marLeft w:val="0"/>
      <w:marRight w:val="0"/>
      <w:marTop w:val="0"/>
      <w:marBottom w:val="0"/>
      <w:divBdr>
        <w:top w:val="none" w:sz="0" w:space="0" w:color="auto"/>
        <w:left w:val="none" w:sz="0" w:space="0" w:color="auto"/>
        <w:bottom w:val="none" w:sz="0" w:space="0" w:color="auto"/>
        <w:right w:val="none" w:sz="0" w:space="0" w:color="auto"/>
      </w:divBdr>
    </w:div>
    <w:div w:id="2032880386">
      <w:bodyDiv w:val="1"/>
      <w:marLeft w:val="0"/>
      <w:marRight w:val="0"/>
      <w:marTop w:val="0"/>
      <w:marBottom w:val="0"/>
      <w:divBdr>
        <w:top w:val="none" w:sz="0" w:space="0" w:color="auto"/>
        <w:left w:val="none" w:sz="0" w:space="0" w:color="auto"/>
        <w:bottom w:val="none" w:sz="0" w:space="0" w:color="auto"/>
        <w:right w:val="none" w:sz="0" w:space="0" w:color="auto"/>
      </w:divBdr>
    </w:div>
    <w:div w:id="2057702516">
      <w:bodyDiv w:val="1"/>
      <w:marLeft w:val="0"/>
      <w:marRight w:val="0"/>
      <w:marTop w:val="0"/>
      <w:marBottom w:val="0"/>
      <w:divBdr>
        <w:top w:val="none" w:sz="0" w:space="0" w:color="auto"/>
        <w:left w:val="none" w:sz="0" w:space="0" w:color="auto"/>
        <w:bottom w:val="none" w:sz="0" w:space="0" w:color="auto"/>
        <w:right w:val="none" w:sz="0" w:space="0" w:color="auto"/>
      </w:divBdr>
    </w:div>
    <w:div w:id="2060281703">
      <w:bodyDiv w:val="1"/>
      <w:marLeft w:val="0"/>
      <w:marRight w:val="0"/>
      <w:marTop w:val="0"/>
      <w:marBottom w:val="0"/>
      <w:divBdr>
        <w:top w:val="none" w:sz="0" w:space="0" w:color="auto"/>
        <w:left w:val="none" w:sz="0" w:space="0" w:color="auto"/>
        <w:bottom w:val="none" w:sz="0" w:space="0" w:color="auto"/>
        <w:right w:val="none" w:sz="0" w:space="0" w:color="auto"/>
      </w:divBdr>
      <w:divsChild>
        <w:div w:id="880557437">
          <w:marLeft w:val="1080"/>
          <w:marRight w:val="0"/>
          <w:marTop w:val="100"/>
          <w:marBottom w:val="0"/>
          <w:divBdr>
            <w:top w:val="none" w:sz="0" w:space="0" w:color="auto"/>
            <w:left w:val="none" w:sz="0" w:space="0" w:color="auto"/>
            <w:bottom w:val="none" w:sz="0" w:space="0" w:color="auto"/>
            <w:right w:val="none" w:sz="0" w:space="0" w:color="auto"/>
          </w:divBdr>
        </w:div>
        <w:div w:id="63796847">
          <w:marLeft w:val="1080"/>
          <w:marRight w:val="0"/>
          <w:marTop w:val="100"/>
          <w:marBottom w:val="0"/>
          <w:divBdr>
            <w:top w:val="none" w:sz="0" w:space="0" w:color="auto"/>
            <w:left w:val="none" w:sz="0" w:space="0" w:color="auto"/>
            <w:bottom w:val="none" w:sz="0" w:space="0" w:color="auto"/>
            <w:right w:val="none" w:sz="0" w:space="0" w:color="auto"/>
          </w:divBdr>
        </w:div>
        <w:div w:id="1978947001">
          <w:marLeft w:val="1080"/>
          <w:marRight w:val="0"/>
          <w:marTop w:val="100"/>
          <w:marBottom w:val="0"/>
          <w:divBdr>
            <w:top w:val="none" w:sz="0" w:space="0" w:color="auto"/>
            <w:left w:val="none" w:sz="0" w:space="0" w:color="auto"/>
            <w:bottom w:val="none" w:sz="0" w:space="0" w:color="auto"/>
            <w:right w:val="none" w:sz="0" w:space="0" w:color="auto"/>
          </w:divBdr>
        </w:div>
        <w:div w:id="1375080302">
          <w:marLeft w:val="1080"/>
          <w:marRight w:val="0"/>
          <w:marTop w:val="100"/>
          <w:marBottom w:val="0"/>
          <w:divBdr>
            <w:top w:val="none" w:sz="0" w:space="0" w:color="auto"/>
            <w:left w:val="none" w:sz="0" w:space="0" w:color="auto"/>
            <w:bottom w:val="none" w:sz="0" w:space="0" w:color="auto"/>
            <w:right w:val="none" w:sz="0" w:space="0" w:color="auto"/>
          </w:divBdr>
        </w:div>
      </w:divsChild>
    </w:div>
    <w:div w:id="2080905275">
      <w:bodyDiv w:val="1"/>
      <w:marLeft w:val="0"/>
      <w:marRight w:val="0"/>
      <w:marTop w:val="0"/>
      <w:marBottom w:val="0"/>
      <w:divBdr>
        <w:top w:val="none" w:sz="0" w:space="0" w:color="auto"/>
        <w:left w:val="none" w:sz="0" w:space="0" w:color="auto"/>
        <w:bottom w:val="none" w:sz="0" w:space="0" w:color="auto"/>
        <w:right w:val="none" w:sz="0" w:space="0" w:color="auto"/>
      </w:divBdr>
      <w:divsChild>
        <w:div w:id="387727653">
          <w:marLeft w:val="1080"/>
          <w:marRight w:val="0"/>
          <w:marTop w:val="100"/>
          <w:marBottom w:val="0"/>
          <w:divBdr>
            <w:top w:val="none" w:sz="0" w:space="0" w:color="auto"/>
            <w:left w:val="none" w:sz="0" w:space="0" w:color="auto"/>
            <w:bottom w:val="none" w:sz="0" w:space="0" w:color="auto"/>
            <w:right w:val="none" w:sz="0" w:space="0" w:color="auto"/>
          </w:divBdr>
        </w:div>
        <w:div w:id="868180455">
          <w:marLeft w:val="1080"/>
          <w:marRight w:val="0"/>
          <w:marTop w:val="100"/>
          <w:marBottom w:val="0"/>
          <w:divBdr>
            <w:top w:val="none" w:sz="0" w:space="0" w:color="auto"/>
            <w:left w:val="none" w:sz="0" w:space="0" w:color="auto"/>
            <w:bottom w:val="none" w:sz="0" w:space="0" w:color="auto"/>
            <w:right w:val="none" w:sz="0" w:space="0" w:color="auto"/>
          </w:divBdr>
        </w:div>
        <w:div w:id="972901537">
          <w:marLeft w:val="1080"/>
          <w:marRight w:val="0"/>
          <w:marTop w:val="100"/>
          <w:marBottom w:val="0"/>
          <w:divBdr>
            <w:top w:val="none" w:sz="0" w:space="0" w:color="auto"/>
            <w:left w:val="none" w:sz="0" w:space="0" w:color="auto"/>
            <w:bottom w:val="none" w:sz="0" w:space="0" w:color="auto"/>
            <w:right w:val="none" w:sz="0" w:space="0" w:color="auto"/>
          </w:divBdr>
        </w:div>
        <w:div w:id="1964455634">
          <w:marLeft w:val="1080"/>
          <w:marRight w:val="0"/>
          <w:marTop w:val="100"/>
          <w:marBottom w:val="0"/>
          <w:divBdr>
            <w:top w:val="none" w:sz="0" w:space="0" w:color="auto"/>
            <w:left w:val="none" w:sz="0" w:space="0" w:color="auto"/>
            <w:bottom w:val="none" w:sz="0" w:space="0" w:color="auto"/>
            <w:right w:val="none" w:sz="0" w:space="0" w:color="auto"/>
          </w:divBdr>
        </w:div>
        <w:div w:id="1181814539">
          <w:marLeft w:val="1080"/>
          <w:marRight w:val="0"/>
          <w:marTop w:val="100"/>
          <w:marBottom w:val="0"/>
          <w:divBdr>
            <w:top w:val="none" w:sz="0" w:space="0" w:color="auto"/>
            <w:left w:val="none" w:sz="0" w:space="0" w:color="auto"/>
            <w:bottom w:val="none" w:sz="0" w:space="0" w:color="auto"/>
            <w:right w:val="none" w:sz="0" w:space="0" w:color="auto"/>
          </w:divBdr>
        </w:div>
        <w:div w:id="872039095">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rc.gov/security/byproduct/cyber-security-radioactive-byproduct-materials-licensees.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DBC64228B3764D9DDE37DAD0104121" ma:contentTypeVersion="8" ma:contentTypeDescription="Create a new document." ma:contentTypeScope="" ma:versionID="c19d4e76566cde4b822defe969db5843">
  <xsd:schema xmlns:xsd="http://www.w3.org/2001/XMLSchema" xmlns:xs="http://www.w3.org/2001/XMLSchema" xmlns:p="http://schemas.microsoft.com/office/2006/metadata/properties" xmlns:ns3="ecbb03b0-5d5f-4b1f-85b5-e757d288cdcb" targetNamespace="http://schemas.microsoft.com/office/2006/metadata/properties" ma:root="true" ma:fieldsID="958da9bed034054095b3dbacd0c55fcf" ns3:_="">
    <xsd:import namespace="ecbb03b0-5d5f-4b1f-85b5-e757d288cd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bb03b0-5d5f-4b1f-85b5-e757d288cd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6D13926D-C4F2-4177-B630-FE6CDFF3CD4F}">
  <ds:schemaRefs>
    <ds:schemaRef ds:uri="http://schemas.microsoft.com/sharepoint/v3/contenttype/forms"/>
  </ds:schemaRefs>
</ds:datastoreItem>
</file>

<file path=customXml/itemProps2.xml><?xml version="1.0" encoding="utf-8"?>
<ds:datastoreItem xmlns:ds="http://schemas.openxmlformats.org/officeDocument/2006/customXml" ds:itemID="{026BABF6-63C2-4077-8DF6-04FC882EE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bb03b0-5d5f-4b1f-85b5-e757d288c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ECAC62-014F-43B1-8057-1798F57223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A0FC7E-53C9-4E30-B889-3D7E776ED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5141</Words>
  <Characters>29306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2019-11-26T15:38:00Z</dcterms:created>
  <dcterms:modified xsi:type="dcterms:W3CDTF">2019-11-26T18:32:00Z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0x01010057DBC64228B3764D9DDE37DAD0104121</vt:lpwstr>
  </property>
</Properties>
</file>