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955A" w14:textId="77777777" w:rsidR="005F44EC" w:rsidRPr="00006606" w:rsidRDefault="005F44EC" w:rsidP="00006606">
      <w:pPr>
        <w:pStyle w:val="Heading1"/>
      </w:pPr>
      <w:bookmarkStart w:id="0" w:name="_GoBack"/>
      <w:bookmarkEnd w:id="0"/>
      <w:r w:rsidRPr="00006606">
        <w:t xml:space="preserve">EVALUATION OF THE EFFECTIVENESS OF PHYSICAL PROTECTION SYSTEM FOR NUCLEAR AND </w:t>
      </w:r>
      <w:r w:rsidR="0047017C">
        <w:t xml:space="preserve">OTHER </w:t>
      </w:r>
      <w:r w:rsidRPr="00006606">
        <w:t xml:space="preserve">RADIOACTIVE MATERIALS USED IN RESEARCH INSTITUTES </w:t>
      </w:r>
    </w:p>
    <w:p w14:paraId="767550F1" w14:textId="77777777" w:rsidR="00006606" w:rsidRDefault="00006606" w:rsidP="00006606">
      <w:pPr>
        <w:pStyle w:val="Authornameandaffiliation"/>
      </w:pPr>
    </w:p>
    <w:p w14:paraId="0DAF370C" w14:textId="77777777" w:rsidR="00006606" w:rsidRDefault="007F2BCB" w:rsidP="00006606">
      <w:pPr>
        <w:pStyle w:val="Authornameandaffiliation"/>
      </w:pPr>
      <w:r w:rsidRPr="00AA15F1">
        <w:t>Kawalpreet Kalra,</w:t>
      </w:r>
    </w:p>
    <w:p w14:paraId="15DF86D4" w14:textId="77777777" w:rsidR="00006606" w:rsidRDefault="00006606" w:rsidP="00006606">
      <w:pPr>
        <w:pStyle w:val="Authornameandaffiliation"/>
      </w:pPr>
      <w:r w:rsidRPr="00AA15F1">
        <w:t xml:space="preserve">Amity Institute of Nuclear Science &amp; Technology, </w:t>
      </w:r>
    </w:p>
    <w:p w14:paraId="3B4420B9" w14:textId="77777777" w:rsidR="00006606" w:rsidRPr="00AA15F1" w:rsidRDefault="00006606" w:rsidP="00006606">
      <w:pPr>
        <w:pStyle w:val="Authornameandaffiliation"/>
      </w:pPr>
      <w:r w:rsidRPr="00AA15F1">
        <w:t>Amity University Uttar Pradesh, 201303, India</w:t>
      </w:r>
    </w:p>
    <w:p w14:paraId="3FA82B67" w14:textId="77777777" w:rsidR="00006606" w:rsidRDefault="00006606" w:rsidP="00006606">
      <w:pPr>
        <w:pStyle w:val="Authornameandaffiliation"/>
      </w:pPr>
    </w:p>
    <w:p w14:paraId="3195F239" w14:textId="77777777" w:rsidR="00006606" w:rsidRDefault="007F2BCB" w:rsidP="00006606">
      <w:pPr>
        <w:pStyle w:val="Authornameandaffiliation"/>
      </w:pPr>
      <w:r w:rsidRPr="00AA15F1">
        <w:t xml:space="preserve"> Alpana Goel</w:t>
      </w:r>
      <w:r w:rsidR="00006606">
        <w:t>1</w:t>
      </w:r>
    </w:p>
    <w:p w14:paraId="607A4C72" w14:textId="77777777" w:rsidR="00006606" w:rsidRDefault="00006606" w:rsidP="00006606">
      <w:pPr>
        <w:pStyle w:val="Authornameandaffiliation"/>
      </w:pPr>
      <w:r w:rsidRPr="00AA15F1">
        <w:t xml:space="preserve">Amity Institute of Nuclear Science &amp; Technology, </w:t>
      </w:r>
    </w:p>
    <w:p w14:paraId="4ED3A627" w14:textId="77777777" w:rsidR="00006606" w:rsidRDefault="00006606" w:rsidP="00006606">
      <w:pPr>
        <w:pStyle w:val="Authornameandaffiliation"/>
      </w:pPr>
      <w:r w:rsidRPr="00AA15F1">
        <w:t>Amity University Uttar Pradesh, 201303, India</w:t>
      </w:r>
    </w:p>
    <w:p w14:paraId="2899FFDC" w14:textId="77777777" w:rsidR="00006606" w:rsidRPr="00AA15F1" w:rsidRDefault="00006606" w:rsidP="00006606">
      <w:pPr>
        <w:pStyle w:val="Authornameandaffiliation"/>
      </w:pPr>
      <w:r w:rsidRPr="00AA15F1">
        <w:t xml:space="preserve">Email: </w:t>
      </w:r>
      <w:hyperlink r:id="rId10" w:history="1">
        <w:r w:rsidRPr="00006606">
          <w:t>agoel1@amity.edu</w:t>
        </w:r>
      </w:hyperlink>
    </w:p>
    <w:p w14:paraId="36F95EA8" w14:textId="77777777" w:rsidR="00006606" w:rsidRDefault="00006606" w:rsidP="00006606">
      <w:pPr>
        <w:pStyle w:val="Authornameandaffiliation"/>
        <w:ind w:left="0"/>
      </w:pPr>
    </w:p>
    <w:p w14:paraId="17B134AA" w14:textId="77777777" w:rsidR="007F2BCB" w:rsidRPr="00AA15F1" w:rsidRDefault="007F2BCB" w:rsidP="00006606">
      <w:pPr>
        <w:pStyle w:val="Authornameandaffiliation"/>
      </w:pPr>
      <w:r w:rsidRPr="00AA15F1">
        <w:t xml:space="preserve"> Sunil S. Chirayath</w:t>
      </w:r>
      <w:r w:rsidRPr="00006606">
        <w:t>2</w:t>
      </w:r>
    </w:p>
    <w:p w14:paraId="043E2B3D" w14:textId="77777777" w:rsidR="007F2BCB" w:rsidRPr="00AA15F1" w:rsidRDefault="007F2BCB" w:rsidP="00006606">
      <w:pPr>
        <w:pStyle w:val="Authornameandaffiliation"/>
      </w:pPr>
      <w:r w:rsidRPr="00AA15F1">
        <w:t>Center for Nuclear Security Science &amp; Policy Initiatives, Department of Nuclear Engineering,</w:t>
      </w:r>
    </w:p>
    <w:p w14:paraId="600D6F97" w14:textId="77777777" w:rsidR="007F2BCB" w:rsidRPr="00AA15F1" w:rsidRDefault="007F2BCB" w:rsidP="00006606">
      <w:pPr>
        <w:pStyle w:val="Authornameandaffiliation"/>
      </w:pPr>
      <w:r w:rsidRPr="00AA15F1">
        <w:t>Texas A &amp; M University, College Station, TX-77843-3473, USA</w:t>
      </w:r>
    </w:p>
    <w:p w14:paraId="7E7EE90A" w14:textId="77777777" w:rsidR="002B4BAD" w:rsidRDefault="002B4BAD" w:rsidP="00E81AFD">
      <w:pPr>
        <w:spacing w:line="360" w:lineRule="auto"/>
        <w:jc w:val="both"/>
        <w:rPr>
          <w:rFonts w:ascii="Times New Roman" w:hAnsi="Times New Roman" w:cs="Times New Roman"/>
          <w:b/>
          <w:lang w:val="en-US"/>
        </w:rPr>
      </w:pPr>
    </w:p>
    <w:p w14:paraId="65BF2821" w14:textId="77777777" w:rsidR="00D21AE4" w:rsidRPr="002B4BAD" w:rsidRDefault="001062AC" w:rsidP="002B4BAD">
      <w:pPr>
        <w:pStyle w:val="Authornameandaffiliation"/>
        <w:jc w:val="both"/>
        <w:rPr>
          <w:b/>
        </w:rPr>
      </w:pPr>
      <w:r w:rsidRPr="002B4BAD">
        <w:rPr>
          <w:b/>
        </w:rPr>
        <w:t>Abstract:</w:t>
      </w:r>
      <w:r w:rsidR="00A31500" w:rsidRPr="002B4BAD">
        <w:rPr>
          <w:b/>
        </w:rPr>
        <w:t xml:space="preserve"> </w:t>
      </w:r>
    </w:p>
    <w:p w14:paraId="717371CC" w14:textId="77777777" w:rsidR="002B4BAD" w:rsidRPr="002B4BAD" w:rsidRDefault="002B4BAD" w:rsidP="002B4BAD">
      <w:pPr>
        <w:pStyle w:val="Authornameandaffiliation"/>
        <w:jc w:val="both"/>
      </w:pPr>
    </w:p>
    <w:p w14:paraId="74E189F4" w14:textId="77777777" w:rsidR="001062AC" w:rsidRPr="002B4BAD" w:rsidRDefault="002B4BAD" w:rsidP="002B4BAD">
      <w:pPr>
        <w:pStyle w:val="Authornameandaffiliation"/>
        <w:ind w:left="90"/>
        <w:jc w:val="both"/>
      </w:pPr>
      <w:r>
        <w:t xml:space="preserve">          </w:t>
      </w:r>
      <w:r w:rsidR="0090634B" w:rsidRPr="002B4BAD">
        <w:t>Small quantities of nuclear/</w:t>
      </w:r>
      <w:r w:rsidR="00D6741E" w:rsidRPr="002B4BAD">
        <w:t xml:space="preserve">radioactive materials </w:t>
      </w:r>
      <w:r w:rsidR="00AA5C2C" w:rsidRPr="002B4BAD">
        <w:t>are</w:t>
      </w:r>
      <w:r w:rsidR="00D6741E" w:rsidRPr="002B4BAD">
        <w:t xml:space="preserve"> used in educational institutions </w:t>
      </w:r>
      <w:r w:rsidR="00216126" w:rsidRPr="002B4BAD">
        <w:t xml:space="preserve">worldwide </w:t>
      </w:r>
      <w:r w:rsidR="00484109" w:rsidRPr="002B4BAD">
        <w:t xml:space="preserve">in </w:t>
      </w:r>
      <w:r w:rsidR="00BC0100" w:rsidRPr="002B4BAD">
        <w:t>research,</w:t>
      </w:r>
      <w:r w:rsidR="004B1B1A" w:rsidRPr="002B4BAD">
        <w:t xml:space="preserve"> </w:t>
      </w:r>
      <w:r w:rsidR="00AA5C2C" w:rsidRPr="002B4BAD">
        <w:t>health</w:t>
      </w:r>
      <w:r w:rsidR="00216126" w:rsidRPr="002B4BAD">
        <w:t xml:space="preserve"> care</w:t>
      </w:r>
      <w:r w:rsidR="004B1B1A" w:rsidRPr="002B4BAD">
        <w:t xml:space="preserve">, agriculture </w:t>
      </w:r>
      <w:r w:rsidR="00AA5C2C" w:rsidRPr="002B4BAD">
        <w:t xml:space="preserve">and industry. </w:t>
      </w:r>
      <w:r w:rsidR="00216126" w:rsidRPr="002B4BAD">
        <w:t>A</w:t>
      </w:r>
      <w:r w:rsidR="00FA2259" w:rsidRPr="002B4BAD">
        <w:t xml:space="preserve"> </w:t>
      </w:r>
      <w:r w:rsidR="00565300" w:rsidRPr="002B4BAD">
        <w:t>Physical Protection System (</w:t>
      </w:r>
      <w:r w:rsidR="00AA5C2C" w:rsidRPr="002B4BAD">
        <w:t>PPS</w:t>
      </w:r>
      <w:r w:rsidR="00565300" w:rsidRPr="002B4BAD">
        <w:t>)</w:t>
      </w:r>
      <w:r w:rsidR="00AA5C2C" w:rsidRPr="002B4BAD">
        <w:t xml:space="preserve"> </w:t>
      </w:r>
      <w:r w:rsidR="00FA2259" w:rsidRPr="002B4BAD">
        <w:t xml:space="preserve">is </w:t>
      </w:r>
      <w:r w:rsidR="00216126" w:rsidRPr="002B4BAD">
        <w:t xml:space="preserve">usually designed, evaluated and implemented </w:t>
      </w:r>
      <w:r w:rsidR="00FA2259" w:rsidRPr="002B4BAD">
        <w:t xml:space="preserve">to </w:t>
      </w:r>
      <w:r w:rsidR="00216126" w:rsidRPr="002B4BAD">
        <w:t xml:space="preserve">protect against perceived threats to these </w:t>
      </w:r>
      <w:r w:rsidR="00FA2259" w:rsidRPr="002B4BAD">
        <w:t>nuclear</w:t>
      </w:r>
      <w:r w:rsidR="0090634B" w:rsidRPr="002B4BAD">
        <w:t>/</w:t>
      </w:r>
      <w:r w:rsidR="006F5501" w:rsidRPr="002B4BAD">
        <w:t>radioactive</w:t>
      </w:r>
      <w:r w:rsidR="00FA2259" w:rsidRPr="002B4BAD">
        <w:t xml:space="preserve"> materials and facilities. </w:t>
      </w:r>
      <w:r w:rsidR="004B1B1A" w:rsidRPr="002B4BAD">
        <w:t xml:space="preserve">The </w:t>
      </w:r>
      <w:r w:rsidR="00495536" w:rsidRPr="002B4BAD">
        <w:t xml:space="preserve">evaluation of </w:t>
      </w:r>
      <w:r w:rsidR="00AA5C2C" w:rsidRPr="002B4BAD">
        <w:t xml:space="preserve">PPS </w:t>
      </w:r>
      <w:r w:rsidR="00216126" w:rsidRPr="002B4BAD">
        <w:t xml:space="preserve">designed </w:t>
      </w:r>
      <w:r w:rsidR="00AA5C2C" w:rsidRPr="002B4BAD">
        <w:t>for a research laborator</w:t>
      </w:r>
      <w:r w:rsidR="00956F21" w:rsidRPr="002B4BAD">
        <w:t xml:space="preserve">y against sabotage is presented. </w:t>
      </w:r>
      <w:r w:rsidR="001062AC" w:rsidRPr="002B4BAD">
        <w:t xml:space="preserve">The </w:t>
      </w:r>
      <w:r w:rsidR="00565300" w:rsidRPr="002B4BAD">
        <w:t>objective of the</w:t>
      </w:r>
      <w:r w:rsidR="001062AC" w:rsidRPr="002B4BAD">
        <w:t xml:space="preserve"> study is to create an </w:t>
      </w:r>
      <w:r w:rsidR="00C71941" w:rsidRPr="002B4BAD">
        <w:t>Adversary Sequence Diagram (</w:t>
      </w:r>
      <w:r w:rsidR="001062AC" w:rsidRPr="002B4BAD">
        <w:t>ASD</w:t>
      </w:r>
      <w:r w:rsidR="00C71941" w:rsidRPr="002B4BAD">
        <w:t>)</w:t>
      </w:r>
      <w:r w:rsidR="001062AC" w:rsidRPr="002B4BAD">
        <w:t xml:space="preserve"> and </w:t>
      </w:r>
      <w:r w:rsidR="009E25A7" w:rsidRPr="002B4BAD">
        <w:t>evaluate</w:t>
      </w:r>
      <w:r w:rsidR="001062AC" w:rsidRPr="002B4BAD">
        <w:t xml:space="preserve"> the </w:t>
      </w:r>
      <w:r w:rsidR="009E25A7" w:rsidRPr="002B4BAD">
        <w:t xml:space="preserve">PPS effectiveness </w:t>
      </w:r>
      <w:r w:rsidR="001062AC" w:rsidRPr="002B4BAD">
        <w:t xml:space="preserve">for the </w:t>
      </w:r>
      <w:r w:rsidR="007908E1" w:rsidRPr="002B4BAD">
        <w:t>M</w:t>
      </w:r>
      <w:r w:rsidR="001062AC" w:rsidRPr="002B4BAD">
        <w:t xml:space="preserve">ost </w:t>
      </w:r>
      <w:r w:rsidR="007908E1" w:rsidRPr="002B4BAD">
        <w:t>V</w:t>
      </w:r>
      <w:r w:rsidR="001062AC" w:rsidRPr="002B4BAD">
        <w:t xml:space="preserve">ulnerable </w:t>
      </w:r>
      <w:r w:rsidR="007908E1" w:rsidRPr="002B4BAD">
        <w:t>P</w:t>
      </w:r>
      <w:r w:rsidR="001062AC" w:rsidRPr="002B4BAD">
        <w:t>ath</w:t>
      </w:r>
      <w:r w:rsidR="007908E1" w:rsidRPr="002B4BAD">
        <w:t xml:space="preserve"> (MVP)</w:t>
      </w:r>
      <w:r w:rsidR="001062AC" w:rsidRPr="002B4BAD">
        <w:t xml:space="preserve"> </w:t>
      </w:r>
      <w:r w:rsidR="00216126" w:rsidRPr="002B4BAD">
        <w:t>into</w:t>
      </w:r>
      <w:r w:rsidR="001062AC" w:rsidRPr="002B4BAD">
        <w:t xml:space="preserve"> the </w:t>
      </w:r>
      <w:r w:rsidR="00565300" w:rsidRPr="002B4BAD">
        <w:t>research laboratory.</w:t>
      </w:r>
    </w:p>
    <w:p w14:paraId="0B7656BF" w14:textId="77777777" w:rsidR="00D21AE4" w:rsidRPr="002B4BAD" w:rsidRDefault="001062AC" w:rsidP="002B4BAD">
      <w:pPr>
        <w:pStyle w:val="Heading2"/>
        <w:numPr>
          <w:ilvl w:val="0"/>
          <w:numId w:val="8"/>
        </w:numPr>
      </w:pPr>
      <w:r w:rsidRPr="002B4BAD">
        <w:t xml:space="preserve">Introduction: </w:t>
      </w:r>
      <w:r w:rsidR="006E084D" w:rsidRPr="002B4BAD">
        <w:t xml:space="preserve"> </w:t>
      </w:r>
    </w:p>
    <w:p w14:paraId="55EA8FAA" w14:textId="77777777" w:rsidR="0047017C" w:rsidRDefault="002A609B"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In practice it is often desirable to protect the critical infrastructure (bui</w:t>
      </w:r>
      <w:r w:rsidR="00C34CE3" w:rsidRPr="002B4BAD">
        <w:rPr>
          <w:rFonts w:ascii="Times New Roman" w:eastAsia="Times New Roman" w:hAnsi="Times New Roman" w:cs="Times New Roman"/>
          <w:sz w:val="20"/>
          <w:szCs w:val="20"/>
        </w:rPr>
        <w:t>ldings, materials and equipment</w:t>
      </w:r>
      <w:r w:rsidR="00912E22" w:rsidRPr="002B4BAD">
        <w:rPr>
          <w:rFonts w:ascii="Times New Roman" w:eastAsia="Times New Roman" w:hAnsi="Times New Roman" w:cs="Times New Roman"/>
          <w:sz w:val="20"/>
          <w:szCs w:val="20"/>
        </w:rPr>
        <w:t xml:space="preserve">) from </w:t>
      </w:r>
      <w:r w:rsidRPr="002B4BAD">
        <w:rPr>
          <w:rFonts w:ascii="Times New Roman" w:eastAsia="Times New Roman" w:hAnsi="Times New Roman" w:cs="Times New Roman"/>
          <w:sz w:val="20"/>
          <w:szCs w:val="20"/>
        </w:rPr>
        <w:t>malicious act</w:t>
      </w:r>
      <w:r w:rsidR="00C34CE3" w:rsidRPr="002B4BAD">
        <w:rPr>
          <w:rFonts w:ascii="Times New Roman" w:eastAsia="Times New Roman" w:hAnsi="Times New Roman" w:cs="Times New Roman"/>
          <w:sz w:val="20"/>
          <w:szCs w:val="20"/>
        </w:rPr>
        <w:t>s</w:t>
      </w:r>
      <w:r w:rsidRPr="002B4BAD">
        <w:rPr>
          <w:rFonts w:ascii="Times New Roman" w:eastAsia="Times New Roman" w:hAnsi="Times New Roman" w:cs="Times New Roman"/>
          <w:sz w:val="20"/>
          <w:szCs w:val="20"/>
        </w:rPr>
        <w:t xml:space="preserve"> caused by humans </w:t>
      </w:r>
      <w:r w:rsidR="009E1176" w:rsidRPr="002B4BAD">
        <w:rPr>
          <w:rFonts w:ascii="Times New Roman" w:eastAsia="Times New Roman" w:hAnsi="Times New Roman" w:cs="Times New Roman"/>
          <w:sz w:val="20"/>
          <w:szCs w:val="20"/>
        </w:rPr>
        <w:t>[</w:t>
      </w:r>
      <w:r w:rsidR="009F1C04" w:rsidRPr="002B4BAD">
        <w:rPr>
          <w:rFonts w:ascii="Times New Roman" w:eastAsia="Times New Roman" w:hAnsi="Times New Roman" w:cs="Times New Roman"/>
          <w:sz w:val="20"/>
          <w:szCs w:val="20"/>
        </w:rPr>
        <w:t>1</w:t>
      </w:r>
      <w:r w:rsidR="009E1176" w:rsidRPr="002B4BAD">
        <w:rPr>
          <w:rFonts w:ascii="Times New Roman" w:eastAsia="Times New Roman" w:hAnsi="Times New Roman" w:cs="Times New Roman"/>
          <w:sz w:val="20"/>
          <w:szCs w:val="20"/>
        </w:rPr>
        <w:t xml:space="preserve">] </w:t>
      </w:r>
      <w:r w:rsidRPr="002B4BAD">
        <w:rPr>
          <w:rFonts w:ascii="Times New Roman" w:eastAsia="Times New Roman" w:hAnsi="Times New Roman" w:cs="Times New Roman"/>
          <w:sz w:val="20"/>
          <w:szCs w:val="20"/>
        </w:rPr>
        <w:t xml:space="preserve">and the protection is usually provided by complex </w:t>
      </w:r>
      <w:r w:rsidR="00C34CE3" w:rsidRPr="002B4BAD">
        <w:rPr>
          <w:rFonts w:ascii="Times New Roman" w:eastAsia="Times New Roman" w:hAnsi="Times New Roman" w:cs="Times New Roman"/>
          <w:sz w:val="20"/>
          <w:szCs w:val="20"/>
        </w:rPr>
        <w:t>Physical Protection System (</w:t>
      </w:r>
      <w:r w:rsidRPr="002B4BAD">
        <w:rPr>
          <w:rFonts w:ascii="Times New Roman" w:eastAsia="Times New Roman" w:hAnsi="Times New Roman" w:cs="Times New Roman"/>
          <w:sz w:val="20"/>
          <w:szCs w:val="20"/>
        </w:rPr>
        <w:t>PPS</w:t>
      </w:r>
      <w:r w:rsidR="00C34CE3" w:rsidRPr="002B4BAD">
        <w:rPr>
          <w:rFonts w:ascii="Times New Roman" w:eastAsia="Times New Roman" w:hAnsi="Times New Roman" w:cs="Times New Roman"/>
          <w:sz w:val="20"/>
          <w:szCs w:val="20"/>
        </w:rPr>
        <w:t>)</w:t>
      </w:r>
      <w:r w:rsidRPr="002B4BAD">
        <w:rPr>
          <w:rFonts w:ascii="Times New Roman" w:eastAsia="Times New Roman" w:hAnsi="Times New Roman" w:cs="Times New Roman"/>
          <w:sz w:val="20"/>
          <w:szCs w:val="20"/>
        </w:rPr>
        <w:t xml:space="preserve">. </w:t>
      </w:r>
      <w:r w:rsidR="00152085" w:rsidRPr="002B4BAD">
        <w:rPr>
          <w:rFonts w:ascii="Times New Roman" w:eastAsia="Times New Roman" w:hAnsi="Times New Roman" w:cs="Times New Roman"/>
          <w:sz w:val="20"/>
          <w:szCs w:val="20"/>
        </w:rPr>
        <w:t xml:space="preserve">The </w:t>
      </w:r>
      <w:r w:rsidR="0020109F" w:rsidRPr="002B4BAD">
        <w:rPr>
          <w:rFonts w:ascii="Times New Roman" w:eastAsia="Times New Roman" w:hAnsi="Times New Roman" w:cs="Times New Roman"/>
          <w:sz w:val="20"/>
          <w:szCs w:val="20"/>
        </w:rPr>
        <w:t>PPS</w:t>
      </w:r>
      <w:r w:rsidR="009E1176" w:rsidRPr="002B4BAD">
        <w:rPr>
          <w:rFonts w:ascii="Times New Roman" w:eastAsia="Times New Roman" w:hAnsi="Times New Roman" w:cs="Times New Roman"/>
          <w:sz w:val="20"/>
          <w:szCs w:val="20"/>
        </w:rPr>
        <w:t xml:space="preserve"> is a </w:t>
      </w:r>
      <w:r w:rsidR="00152085" w:rsidRPr="002B4BAD">
        <w:rPr>
          <w:rFonts w:ascii="Times New Roman" w:eastAsia="Times New Roman" w:hAnsi="Times New Roman" w:cs="Times New Roman"/>
          <w:sz w:val="20"/>
          <w:szCs w:val="20"/>
        </w:rPr>
        <w:t xml:space="preserve">system </w:t>
      </w:r>
      <w:r w:rsidR="009E1176" w:rsidRPr="002B4BAD">
        <w:rPr>
          <w:rFonts w:ascii="Times New Roman" w:eastAsia="Times New Roman" w:hAnsi="Times New Roman" w:cs="Times New Roman"/>
          <w:sz w:val="20"/>
          <w:szCs w:val="20"/>
        </w:rPr>
        <w:t xml:space="preserve">of technical and organizational measures </w:t>
      </w:r>
      <w:r w:rsidR="00152085" w:rsidRPr="002B4BAD">
        <w:rPr>
          <w:rFonts w:ascii="Times New Roman" w:eastAsia="Times New Roman" w:hAnsi="Times New Roman" w:cs="Times New Roman"/>
          <w:sz w:val="20"/>
          <w:szCs w:val="20"/>
        </w:rPr>
        <w:t xml:space="preserve">which integrates people, procedures and equipment for the </w:t>
      </w:r>
      <w:r w:rsidR="0020109F" w:rsidRPr="002B4BAD">
        <w:rPr>
          <w:rFonts w:ascii="Times New Roman" w:eastAsia="Times New Roman" w:hAnsi="Times New Roman" w:cs="Times New Roman"/>
          <w:sz w:val="20"/>
          <w:szCs w:val="20"/>
        </w:rPr>
        <w:t xml:space="preserve">protection of assets </w:t>
      </w:r>
      <w:r w:rsidR="00152085" w:rsidRPr="002B4BAD">
        <w:rPr>
          <w:rFonts w:ascii="Times New Roman" w:eastAsia="Times New Roman" w:hAnsi="Times New Roman" w:cs="Times New Roman"/>
          <w:sz w:val="20"/>
          <w:szCs w:val="20"/>
        </w:rPr>
        <w:t xml:space="preserve">against theft, sabotage or </w:t>
      </w:r>
      <w:r w:rsidR="0020109F" w:rsidRPr="002B4BAD">
        <w:rPr>
          <w:rFonts w:ascii="Times New Roman" w:eastAsia="Times New Roman" w:hAnsi="Times New Roman" w:cs="Times New Roman"/>
          <w:sz w:val="20"/>
          <w:szCs w:val="20"/>
        </w:rPr>
        <w:t xml:space="preserve">any </w:t>
      </w:r>
      <w:r w:rsidR="00152085" w:rsidRPr="002B4BAD">
        <w:rPr>
          <w:rFonts w:ascii="Times New Roman" w:eastAsia="Times New Roman" w:hAnsi="Times New Roman" w:cs="Times New Roman"/>
          <w:sz w:val="20"/>
          <w:szCs w:val="20"/>
        </w:rPr>
        <w:t>other malicious acts</w:t>
      </w:r>
      <w:r w:rsidR="009E1176" w:rsidRPr="002B4BAD">
        <w:rPr>
          <w:rFonts w:ascii="Times New Roman" w:eastAsia="Times New Roman" w:hAnsi="Times New Roman" w:cs="Times New Roman"/>
          <w:sz w:val="20"/>
          <w:szCs w:val="20"/>
        </w:rPr>
        <w:t xml:space="preserve"> [</w:t>
      </w:r>
      <w:r w:rsidR="00D17608" w:rsidRPr="002B4BAD">
        <w:rPr>
          <w:rFonts w:ascii="Times New Roman" w:eastAsia="Times New Roman" w:hAnsi="Times New Roman" w:cs="Times New Roman"/>
          <w:sz w:val="20"/>
          <w:szCs w:val="20"/>
        </w:rPr>
        <w:t>2-5</w:t>
      </w:r>
      <w:r w:rsidR="009E1176" w:rsidRPr="002B4BAD">
        <w:rPr>
          <w:rFonts w:ascii="Times New Roman" w:eastAsia="Times New Roman" w:hAnsi="Times New Roman" w:cs="Times New Roman"/>
          <w:sz w:val="20"/>
          <w:szCs w:val="20"/>
        </w:rPr>
        <w:t>].</w:t>
      </w:r>
      <w:r w:rsidR="00152085" w:rsidRPr="002B4BAD">
        <w:rPr>
          <w:rFonts w:ascii="Times New Roman" w:eastAsia="Times New Roman" w:hAnsi="Times New Roman" w:cs="Times New Roman"/>
          <w:sz w:val="20"/>
          <w:szCs w:val="20"/>
        </w:rPr>
        <w:t xml:space="preserve"> </w:t>
      </w:r>
      <w:r w:rsidR="0020109F" w:rsidRPr="002B4BAD">
        <w:rPr>
          <w:rFonts w:ascii="Times New Roman" w:eastAsia="Times New Roman" w:hAnsi="Times New Roman" w:cs="Times New Roman"/>
          <w:sz w:val="20"/>
          <w:szCs w:val="20"/>
        </w:rPr>
        <w:t>It</w:t>
      </w:r>
      <w:r w:rsidR="00152085" w:rsidRPr="002B4BAD">
        <w:rPr>
          <w:rFonts w:ascii="Times New Roman" w:eastAsia="Times New Roman" w:hAnsi="Times New Roman" w:cs="Times New Roman"/>
          <w:sz w:val="20"/>
          <w:szCs w:val="20"/>
        </w:rPr>
        <w:t xml:space="preserve"> is designed to achieve a set of </w:t>
      </w:r>
      <w:r w:rsidR="00912E22" w:rsidRPr="002B4BAD">
        <w:rPr>
          <w:rFonts w:ascii="Times New Roman" w:eastAsia="Times New Roman" w:hAnsi="Times New Roman" w:cs="Times New Roman"/>
          <w:sz w:val="20"/>
          <w:szCs w:val="20"/>
        </w:rPr>
        <w:t xml:space="preserve">objectives according to a plan and </w:t>
      </w:r>
      <w:r w:rsidR="00152085" w:rsidRPr="002B4BAD">
        <w:rPr>
          <w:rFonts w:ascii="Times New Roman" w:eastAsia="Times New Roman" w:hAnsi="Times New Roman" w:cs="Times New Roman"/>
          <w:sz w:val="20"/>
          <w:szCs w:val="20"/>
        </w:rPr>
        <w:t>must be analyzed to ensure</w:t>
      </w:r>
      <w:r w:rsidR="00562731" w:rsidRPr="002B4BAD">
        <w:rPr>
          <w:rFonts w:ascii="Times New Roman" w:eastAsia="Times New Roman" w:hAnsi="Times New Roman" w:cs="Times New Roman"/>
          <w:sz w:val="20"/>
          <w:szCs w:val="20"/>
        </w:rPr>
        <w:t xml:space="preserve"> that</w:t>
      </w:r>
      <w:r w:rsidR="00152085" w:rsidRPr="002B4BAD">
        <w:rPr>
          <w:rFonts w:ascii="Times New Roman" w:eastAsia="Times New Roman" w:hAnsi="Times New Roman" w:cs="Times New Roman"/>
          <w:sz w:val="20"/>
          <w:szCs w:val="20"/>
        </w:rPr>
        <w:t xml:space="preserve"> it meets the objectives</w:t>
      </w:r>
      <w:r w:rsidR="005154E2" w:rsidRPr="002B4BAD">
        <w:rPr>
          <w:rFonts w:ascii="Times New Roman" w:eastAsia="Times New Roman" w:hAnsi="Times New Roman" w:cs="Times New Roman"/>
          <w:sz w:val="20"/>
          <w:szCs w:val="20"/>
        </w:rPr>
        <w:t xml:space="preserve"> of physical protection</w:t>
      </w:r>
      <w:r w:rsidR="00152085" w:rsidRPr="002B4BAD">
        <w:rPr>
          <w:rFonts w:ascii="Times New Roman" w:eastAsia="Times New Roman" w:hAnsi="Times New Roman" w:cs="Times New Roman"/>
          <w:sz w:val="20"/>
          <w:szCs w:val="20"/>
        </w:rPr>
        <w:t>.</w:t>
      </w:r>
      <w:r w:rsidR="009E1176" w:rsidRPr="002B4BAD">
        <w:rPr>
          <w:rFonts w:ascii="Times New Roman" w:eastAsia="Times New Roman" w:hAnsi="Times New Roman" w:cs="Times New Roman"/>
          <w:sz w:val="20"/>
          <w:szCs w:val="20"/>
        </w:rPr>
        <w:t xml:space="preserve"> </w:t>
      </w:r>
      <w:r w:rsidR="00B330A3" w:rsidRPr="002B4BAD">
        <w:rPr>
          <w:rFonts w:ascii="Times New Roman" w:eastAsia="Times New Roman" w:hAnsi="Times New Roman" w:cs="Times New Roman"/>
          <w:sz w:val="20"/>
          <w:szCs w:val="20"/>
        </w:rPr>
        <w:t>Computational and simulation methods are used to analyze the security system to know its response to various Initiating Events (IEs).</w:t>
      </w:r>
      <w:r w:rsidR="00D21AE4" w:rsidRPr="002B4BAD">
        <w:rPr>
          <w:rFonts w:ascii="Times New Roman" w:eastAsia="Times New Roman" w:hAnsi="Times New Roman" w:cs="Times New Roman"/>
          <w:sz w:val="20"/>
          <w:szCs w:val="20"/>
        </w:rPr>
        <w:t xml:space="preserve"> </w:t>
      </w:r>
      <w:r w:rsidR="001C2ECA" w:rsidRPr="002B4BAD">
        <w:rPr>
          <w:rFonts w:ascii="Times New Roman" w:eastAsia="Times New Roman" w:hAnsi="Times New Roman" w:cs="Times New Roman"/>
          <w:sz w:val="20"/>
          <w:szCs w:val="20"/>
        </w:rPr>
        <w:t xml:space="preserve">The risk analysis </w:t>
      </w:r>
      <w:r w:rsidR="009E1176" w:rsidRPr="002B4BAD">
        <w:rPr>
          <w:rFonts w:ascii="Times New Roman" w:eastAsia="Times New Roman" w:hAnsi="Times New Roman" w:cs="Times New Roman"/>
          <w:sz w:val="20"/>
          <w:szCs w:val="20"/>
        </w:rPr>
        <w:t xml:space="preserve">can be used as a basis for the development and implementation of nuclear security systems. </w:t>
      </w:r>
      <w:r w:rsidR="001C2ECA" w:rsidRPr="002B4BAD">
        <w:rPr>
          <w:rFonts w:ascii="Times New Roman" w:eastAsia="Times New Roman" w:hAnsi="Times New Roman" w:cs="Times New Roman"/>
          <w:sz w:val="20"/>
          <w:szCs w:val="20"/>
        </w:rPr>
        <w:t>It</w:t>
      </w:r>
      <w:r w:rsidR="009E1176" w:rsidRPr="002B4BAD">
        <w:rPr>
          <w:rFonts w:ascii="Times New Roman" w:eastAsia="Times New Roman" w:hAnsi="Times New Roman" w:cs="Times New Roman"/>
          <w:sz w:val="20"/>
          <w:szCs w:val="20"/>
        </w:rPr>
        <w:t xml:space="preserve"> is an iterative process which is required to assign priorities through the design</w:t>
      </w:r>
      <w:r w:rsidR="00404398" w:rsidRPr="002B4BAD">
        <w:rPr>
          <w:rFonts w:ascii="Times New Roman" w:eastAsia="Times New Roman" w:hAnsi="Times New Roman" w:cs="Times New Roman"/>
          <w:sz w:val="20"/>
          <w:szCs w:val="20"/>
        </w:rPr>
        <w:t xml:space="preserve"> of</w:t>
      </w:r>
      <w:r w:rsidR="009E1176" w:rsidRPr="002B4BAD">
        <w:rPr>
          <w:rFonts w:ascii="Times New Roman" w:eastAsia="Times New Roman" w:hAnsi="Times New Roman" w:cs="Times New Roman"/>
          <w:sz w:val="20"/>
          <w:szCs w:val="20"/>
        </w:rPr>
        <w:t xml:space="preserve"> appropriate PPS</w:t>
      </w:r>
      <w:r w:rsidR="0088305C" w:rsidRPr="002B4BAD">
        <w:rPr>
          <w:rFonts w:ascii="Times New Roman" w:eastAsia="Times New Roman" w:hAnsi="Times New Roman" w:cs="Times New Roman"/>
          <w:sz w:val="20"/>
          <w:szCs w:val="20"/>
        </w:rPr>
        <w:t xml:space="preserve">. </w:t>
      </w:r>
      <w:r w:rsidR="0044080E" w:rsidRPr="002B4BAD">
        <w:rPr>
          <w:rFonts w:ascii="Times New Roman" w:eastAsia="Times New Roman" w:hAnsi="Times New Roman" w:cs="Times New Roman"/>
          <w:sz w:val="20"/>
          <w:szCs w:val="20"/>
        </w:rPr>
        <w:t xml:space="preserve">A significant contribution of the </w:t>
      </w:r>
      <w:r w:rsidR="001C2ECA" w:rsidRPr="002B4BAD">
        <w:rPr>
          <w:rFonts w:ascii="Times New Roman" w:eastAsia="Times New Roman" w:hAnsi="Times New Roman" w:cs="Times New Roman"/>
          <w:sz w:val="20"/>
          <w:szCs w:val="20"/>
        </w:rPr>
        <w:t>Sandia National Laboratories (</w:t>
      </w:r>
      <w:r w:rsidR="0044080E" w:rsidRPr="002B4BAD">
        <w:rPr>
          <w:rFonts w:ascii="Times New Roman" w:eastAsia="Times New Roman" w:hAnsi="Times New Roman" w:cs="Times New Roman"/>
          <w:sz w:val="20"/>
          <w:szCs w:val="20"/>
        </w:rPr>
        <w:t>SNL</w:t>
      </w:r>
      <w:r w:rsidR="001C2ECA" w:rsidRPr="002B4BAD">
        <w:rPr>
          <w:rFonts w:ascii="Times New Roman" w:eastAsia="Times New Roman" w:hAnsi="Times New Roman" w:cs="Times New Roman"/>
          <w:sz w:val="20"/>
          <w:szCs w:val="20"/>
        </w:rPr>
        <w:t>)</w:t>
      </w:r>
      <w:r w:rsidR="0044080E" w:rsidRPr="002B4BAD">
        <w:rPr>
          <w:rFonts w:ascii="Times New Roman" w:eastAsia="Times New Roman" w:hAnsi="Times New Roman" w:cs="Times New Roman"/>
          <w:sz w:val="20"/>
          <w:szCs w:val="20"/>
        </w:rPr>
        <w:t xml:space="preserve"> is the “Estimate of Adversary Sequence Interruption” (EASI) model [</w:t>
      </w:r>
      <w:r w:rsidR="0088305C" w:rsidRPr="002B4BAD">
        <w:rPr>
          <w:rFonts w:ascii="Times New Roman" w:eastAsia="Times New Roman" w:hAnsi="Times New Roman" w:cs="Times New Roman"/>
          <w:sz w:val="20"/>
          <w:szCs w:val="20"/>
        </w:rPr>
        <w:t>6</w:t>
      </w:r>
      <w:r w:rsidR="0079786D" w:rsidRPr="002B4BAD">
        <w:rPr>
          <w:rFonts w:ascii="Times New Roman" w:eastAsia="Times New Roman" w:hAnsi="Times New Roman" w:cs="Times New Roman"/>
          <w:sz w:val="20"/>
          <w:szCs w:val="20"/>
        </w:rPr>
        <w:t xml:space="preserve">] </w:t>
      </w:r>
      <w:r w:rsidR="0044080E" w:rsidRPr="002B4BAD">
        <w:rPr>
          <w:rFonts w:ascii="Times New Roman" w:eastAsia="Times New Roman" w:hAnsi="Times New Roman" w:cs="Times New Roman"/>
          <w:sz w:val="20"/>
          <w:szCs w:val="20"/>
        </w:rPr>
        <w:t xml:space="preserve">which provides a basis for evaluating the probability of ceasing the attack based on detection, delay, response and communication characteristics of the PPS. </w:t>
      </w:r>
      <w:r w:rsidR="001C2ECA" w:rsidRPr="002B4BAD">
        <w:rPr>
          <w:rFonts w:ascii="Times New Roman" w:eastAsia="Times New Roman" w:hAnsi="Times New Roman" w:cs="Times New Roman"/>
          <w:sz w:val="20"/>
          <w:szCs w:val="20"/>
        </w:rPr>
        <w:t>In 2007, Garcia [</w:t>
      </w:r>
      <w:r w:rsidR="00404398" w:rsidRPr="002B4BAD">
        <w:rPr>
          <w:rFonts w:ascii="Times New Roman" w:eastAsia="Times New Roman" w:hAnsi="Times New Roman" w:cs="Times New Roman"/>
          <w:sz w:val="20"/>
          <w:szCs w:val="20"/>
        </w:rPr>
        <w:t>2</w:t>
      </w:r>
      <w:r w:rsidR="001C2ECA" w:rsidRPr="002B4BAD">
        <w:rPr>
          <w:rFonts w:ascii="Times New Roman" w:eastAsia="Times New Roman" w:hAnsi="Times New Roman" w:cs="Times New Roman"/>
          <w:sz w:val="20"/>
          <w:szCs w:val="20"/>
        </w:rPr>
        <w:t xml:space="preserve">] gave an integrated approach for designing the PPS.  </w:t>
      </w:r>
      <w:r w:rsidR="0044080E" w:rsidRPr="002B4BAD">
        <w:rPr>
          <w:rFonts w:ascii="Times New Roman" w:eastAsia="Times New Roman" w:hAnsi="Times New Roman" w:cs="Times New Roman"/>
          <w:sz w:val="20"/>
          <w:szCs w:val="20"/>
        </w:rPr>
        <w:t xml:space="preserve">These are mainly focused on the risk evaluation of due to a security system by using probabilistic and simulation methods. </w:t>
      </w:r>
      <w:r w:rsidR="00E94881" w:rsidRPr="002B4BAD">
        <w:rPr>
          <w:rFonts w:ascii="Times New Roman" w:eastAsia="Times New Roman" w:hAnsi="Times New Roman" w:cs="Times New Roman"/>
          <w:sz w:val="20"/>
          <w:szCs w:val="20"/>
        </w:rPr>
        <w:t>The Effectiveness of a PPS (P</w:t>
      </w:r>
      <w:r w:rsidR="00E94881" w:rsidRPr="00A21162">
        <w:rPr>
          <w:rFonts w:ascii="Times New Roman" w:eastAsia="Times New Roman" w:hAnsi="Times New Roman" w:cs="Times New Roman"/>
          <w:sz w:val="20"/>
          <w:szCs w:val="20"/>
          <w:vertAlign w:val="subscript"/>
        </w:rPr>
        <w:t>E</w:t>
      </w:r>
      <w:r w:rsidR="00E94881" w:rsidRPr="002B4BAD">
        <w:rPr>
          <w:rFonts w:ascii="Times New Roman" w:eastAsia="Times New Roman" w:hAnsi="Times New Roman" w:cs="Times New Roman"/>
          <w:sz w:val="20"/>
          <w:szCs w:val="20"/>
        </w:rPr>
        <w:t>) is the metric for evaluating the PPS performance [</w:t>
      </w:r>
      <w:r w:rsidR="00404398" w:rsidRPr="002B4BAD">
        <w:rPr>
          <w:rFonts w:ascii="Times New Roman" w:eastAsia="Times New Roman" w:hAnsi="Times New Roman" w:cs="Times New Roman"/>
          <w:sz w:val="20"/>
          <w:szCs w:val="20"/>
        </w:rPr>
        <w:t>7</w:t>
      </w:r>
      <w:r w:rsidR="00E94881" w:rsidRPr="002B4BAD">
        <w:rPr>
          <w:rFonts w:ascii="Times New Roman" w:eastAsia="Times New Roman" w:hAnsi="Times New Roman" w:cs="Times New Roman"/>
          <w:sz w:val="20"/>
          <w:szCs w:val="20"/>
        </w:rPr>
        <w:t xml:space="preserve">]. The detailed explanation of the PPS effectiveness will be given in the following sections. </w:t>
      </w:r>
      <w:r w:rsidR="00B330A3" w:rsidRPr="002B4BAD">
        <w:rPr>
          <w:rFonts w:ascii="Times New Roman" w:eastAsia="Times New Roman" w:hAnsi="Times New Roman" w:cs="Times New Roman"/>
          <w:sz w:val="20"/>
          <w:szCs w:val="20"/>
        </w:rPr>
        <w:t xml:space="preserve">In this paper an evaluation of the PPS of a research laboratory </w:t>
      </w:r>
      <w:r w:rsidR="009E1CA3" w:rsidRPr="002B4BAD">
        <w:rPr>
          <w:rFonts w:ascii="Times New Roman" w:eastAsia="Times New Roman" w:hAnsi="Times New Roman" w:cs="Times New Roman"/>
          <w:sz w:val="20"/>
          <w:szCs w:val="20"/>
        </w:rPr>
        <w:t xml:space="preserve">in a University campus </w:t>
      </w:r>
      <w:r w:rsidR="00B330A3" w:rsidRPr="002B4BAD">
        <w:rPr>
          <w:rFonts w:ascii="Times New Roman" w:eastAsia="Times New Roman" w:hAnsi="Times New Roman" w:cs="Times New Roman"/>
          <w:sz w:val="20"/>
          <w:szCs w:val="20"/>
        </w:rPr>
        <w:t>is carried out using an ASD and results are presented for its effectiveness [</w:t>
      </w:r>
      <w:r w:rsidR="00BD186D" w:rsidRPr="002B4BAD">
        <w:rPr>
          <w:rFonts w:ascii="Times New Roman" w:eastAsia="Times New Roman" w:hAnsi="Times New Roman" w:cs="Times New Roman"/>
          <w:sz w:val="20"/>
          <w:szCs w:val="20"/>
        </w:rPr>
        <w:t xml:space="preserve">2, </w:t>
      </w:r>
      <w:r w:rsidR="0079786D" w:rsidRPr="002B4BAD">
        <w:rPr>
          <w:rFonts w:ascii="Times New Roman" w:eastAsia="Times New Roman" w:hAnsi="Times New Roman" w:cs="Times New Roman"/>
          <w:sz w:val="20"/>
          <w:szCs w:val="20"/>
        </w:rPr>
        <w:t>10</w:t>
      </w:r>
      <w:r w:rsidR="00B330A3" w:rsidRPr="002B4BAD">
        <w:rPr>
          <w:rFonts w:ascii="Times New Roman" w:eastAsia="Times New Roman" w:hAnsi="Times New Roman" w:cs="Times New Roman"/>
          <w:sz w:val="20"/>
          <w:szCs w:val="20"/>
        </w:rPr>
        <w:t>]. The perceived sabotage scenarios are used in creating the vulnerable path and for conducting the PPS evaluation and analysis.</w:t>
      </w:r>
      <w:r w:rsidR="001C2ECA" w:rsidRPr="002B4BAD">
        <w:rPr>
          <w:rFonts w:ascii="Times New Roman" w:eastAsia="Times New Roman" w:hAnsi="Times New Roman" w:cs="Times New Roman"/>
          <w:sz w:val="20"/>
          <w:szCs w:val="20"/>
        </w:rPr>
        <w:t xml:space="preserve"> </w:t>
      </w:r>
      <w:r w:rsidR="006506C8" w:rsidRPr="002B4BAD">
        <w:rPr>
          <w:rFonts w:ascii="Times New Roman" w:eastAsia="Times New Roman" w:hAnsi="Times New Roman" w:cs="Times New Roman"/>
          <w:sz w:val="20"/>
          <w:szCs w:val="20"/>
        </w:rPr>
        <w:t xml:space="preserve">Section 2 includes </w:t>
      </w:r>
      <w:r w:rsidR="0044080E" w:rsidRPr="002B4BAD">
        <w:rPr>
          <w:rFonts w:ascii="Times New Roman" w:eastAsia="Times New Roman" w:hAnsi="Times New Roman" w:cs="Times New Roman"/>
          <w:sz w:val="20"/>
          <w:szCs w:val="20"/>
        </w:rPr>
        <w:t xml:space="preserve">brief description of the methodology </w:t>
      </w:r>
      <w:r w:rsidR="00C75B8F" w:rsidRPr="002B4BAD">
        <w:rPr>
          <w:rFonts w:ascii="Times New Roman" w:eastAsia="Times New Roman" w:hAnsi="Times New Roman" w:cs="Times New Roman"/>
          <w:sz w:val="20"/>
          <w:szCs w:val="20"/>
        </w:rPr>
        <w:t>and sabotage scenario.</w:t>
      </w:r>
      <w:r w:rsidR="0044080E" w:rsidRPr="002B4BAD">
        <w:rPr>
          <w:rFonts w:ascii="Times New Roman" w:eastAsia="Times New Roman" w:hAnsi="Times New Roman" w:cs="Times New Roman"/>
          <w:sz w:val="20"/>
          <w:szCs w:val="20"/>
        </w:rPr>
        <w:t xml:space="preserve"> Section </w:t>
      </w:r>
      <w:r w:rsidR="00C75B8F" w:rsidRPr="002B4BAD">
        <w:rPr>
          <w:rFonts w:ascii="Times New Roman" w:eastAsia="Times New Roman" w:hAnsi="Times New Roman" w:cs="Times New Roman"/>
          <w:sz w:val="20"/>
          <w:szCs w:val="20"/>
        </w:rPr>
        <w:t>3</w:t>
      </w:r>
      <w:r w:rsidR="0044080E" w:rsidRPr="002B4BAD">
        <w:rPr>
          <w:rFonts w:ascii="Times New Roman" w:eastAsia="Times New Roman" w:hAnsi="Times New Roman" w:cs="Times New Roman"/>
          <w:sz w:val="20"/>
          <w:szCs w:val="20"/>
        </w:rPr>
        <w:t xml:space="preserve"> comprises results and discussion of evaluation of the PPS in the University campus. The results obtained from risk analysis equation are quoted in the same section. Section </w:t>
      </w:r>
      <w:r w:rsidR="00C75B8F" w:rsidRPr="002B4BAD">
        <w:rPr>
          <w:rFonts w:ascii="Times New Roman" w:eastAsia="Times New Roman" w:hAnsi="Times New Roman" w:cs="Times New Roman"/>
          <w:sz w:val="20"/>
          <w:szCs w:val="20"/>
        </w:rPr>
        <w:t>4</w:t>
      </w:r>
      <w:r w:rsidR="0044080E" w:rsidRPr="002B4BAD">
        <w:rPr>
          <w:rFonts w:ascii="Times New Roman" w:eastAsia="Times New Roman" w:hAnsi="Times New Roman" w:cs="Times New Roman"/>
          <w:sz w:val="20"/>
          <w:szCs w:val="20"/>
        </w:rPr>
        <w:t xml:space="preserve"> contains the conclusion of the work.</w:t>
      </w:r>
    </w:p>
    <w:p w14:paraId="22964207" w14:textId="77777777" w:rsidR="002B4BAD" w:rsidRPr="002B4BAD" w:rsidRDefault="0047017C" w:rsidP="0047017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96FD524" w14:textId="77777777" w:rsidR="000927A5" w:rsidRPr="00AA15F1" w:rsidRDefault="005D5876" w:rsidP="002B4BAD">
      <w:pPr>
        <w:pStyle w:val="Heading2"/>
        <w:numPr>
          <w:ilvl w:val="0"/>
          <w:numId w:val="8"/>
        </w:numPr>
      </w:pPr>
      <w:r w:rsidRPr="002B4BAD">
        <w:lastRenderedPageBreak/>
        <w:t>Methodology:</w:t>
      </w:r>
      <w:r w:rsidR="00A31500" w:rsidRPr="002B4BAD">
        <w:t xml:space="preserve"> </w:t>
      </w:r>
    </w:p>
    <w:p w14:paraId="5250B4AC" w14:textId="77777777" w:rsidR="002E408E" w:rsidRPr="002B4BAD" w:rsidRDefault="00DB10E4"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The effectiveness of PPS (P</w:t>
      </w:r>
      <w:r w:rsidRPr="00A21162">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is defined as the product of two probabilities: Probability of Interruption (P</w:t>
      </w:r>
      <w:r w:rsidRPr="009F7FD9">
        <w:rPr>
          <w:rFonts w:ascii="Times New Roman" w:eastAsia="Times New Roman" w:hAnsi="Times New Roman" w:cs="Times New Roman"/>
          <w:sz w:val="20"/>
          <w:szCs w:val="20"/>
          <w:vertAlign w:val="subscript"/>
        </w:rPr>
        <w:t>I</w:t>
      </w:r>
      <w:r w:rsidRPr="002B4BAD">
        <w:rPr>
          <w:rFonts w:ascii="Times New Roman" w:eastAsia="Times New Roman" w:hAnsi="Times New Roman" w:cs="Times New Roman"/>
          <w:sz w:val="20"/>
          <w:szCs w:val="20"/>
        </w:rPr>
        <w:t>) and Probability of Neutralization (P</w:t>
      </w:r>
      <w:r w:rsidRPr="009F7FD9">
        <w:rPr>
          <w:rFonts w:ascii="Times New Roman" w:eastAsia="Times New Roman" w:hAnsi="Times New Roman" w:cs="Times New Roman"/>
          <w:sz w:val="20"/>
          <w:szCs w:val="20"/>
          <w:vertAlign w:val="subscript"/>
        </w:rPr>
        <w:t>N</w:t>
      </w:r>
      <w:r w:rsidRPr="002B4BAD">
        <w:rPr>
          <w:rFonts w:ascii="Times New Roman" w:eastAsia="Times New Roman" w:hAnsi="Times New Roman" w:cs="Times New Roman"/>
          <w:sz w:val="20"/>
          <w:szCs w:val="20"/>
        </w:rPr>
        <w:t xml:space="preserve">). </w:t>
      </w:r>
      <w:r w:rsidR="002E408E" w:rsidRPr="002B4BAD">
        <w:rPr>
          <w:rFonts w:ascii="Times New Roman" w:eastAsia="Times New Roman" w:hAnsi="Times New Roman" w:cs="Times New Roman"/>
          <w:sz w:val="20"/>
          <w:szCs w:val="20"/>
        </w:rPr>
        <w:t>We will use risk (R) as our metric to determine the overall system performance. The risk of materials and facilities suffered from sabotage and theft is given by [</w:t>
      </w:r>
      <w:r w:rsidR="009942A9" w:rsidRPr="002B4BAD">
        <w:rPr>
          <w:rFonts w:ascii="Times New Roman" w:eastAsia="Times New Roman" w:hAnsi="Times New Roman" w:cs="Times New Roman"/>
          <w:sz w:val="20"/>
          <w:szCs w:val="20"/>
        </w:rPr>
        <w:t xml:space="preserve">2, </w:t>
      </w:r>
      <w:r w:rsidR="0079786D" w:rsidRPr="002B4BAD">
        <w:rPr>
          <w:rFonts w:ascii="Times New Roman" w:eastAsia="Times New Roman" w:hAnsi="Times New Roman" w:cs="Times New Roman"/>
          <w:sz w:val="20"/>
          <w:szCs w:val="20"/>
        </w:rPr>
        <w:t>9</w:t>
      </w:r>
      <w:r w:rsidR="002E408E" w:rsidRPr="002B4BAD">
        <w:rPr>
          <w:rFonts w:ascii="Times New Roman" w:eastAsia="Times New Roman" w:hAnsi="Times New Roman" w:cs="Times New Roman"/>
          <w:sz w:val="20"/>
          <w:szCs w:val="20"/>
        </w:rPr>
        <w:t>]:</w:t>
      </w:r>
    </w:p>
    <w:p w14:paraId="7D300837" w14:textId="77777777" w:rsidR="00992543" w:rsidRPr="002B4BAD" w:rsidRDefault="002E408E" w:rsidP="00CB3EE2">
      <w:pPr>
        <w:pStyle w:val="BodyText"/>
        <w:spacing w:after="0" w:line="260" w:lineRule="atLeast"/>
        <w:ind w:firstLine="567"/>
        <w:contextualSpacing/>
        <w:jc w:val="center"/>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R = P</w:t>
      </w:r>
      <w:r w:rsidRPr="009F7FD9">
        <w:rPr>
          <w:rFonts w:ascii="Times New Roman" w:eastAsia="Times New Roman" w:hAnsi="Times New Roman" w:cs="Times New Roman"/>
          <w:sz w:val="20"/>
          <w:szCs w:val="20"/>
          <w:vertAlign w:val="subscript"/>
        </w:rPr>
        <w:t>A</w:t>
      </w:r>
      <w:r w:rsidRPr="002B4BAD">
        <w:rPr>
          <w:rFonts w:ascii="Times New Roman" w:eastAsia="Times New Roman" w:hAnsi="Times New Roman" w:cs="Times New Roman"/>
          <w:sz w:val="20"/>
          <w:szCs w:val="20"/>
        </w:rPr>
        <w:t xml:space="preserve"> * [1 - 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 C          ……… (1)</w:t>
      </w:r>
    </w:p>
    <w:p w14:paraId="36B82F1A" w14:textId="77777777" w:rsidR="002E408E" w:rsidRPr="002B4BAD" w:rsidRDefault="002E408E" w:rsidP="00E3502E">
      <w:pPr>
        <w:pStyle w:val="BodyText"/>
        <w:spacing w:after="0" w:line="260" w:lineRule="atLeast"/>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In equation (1) P</w:t>
      </w:r>
      <w:r w:rsidRPr="009F7FD9">
        <w:rPr>
          <w:rFonts w:ascii="Times New Roman" w:eastAsia="Times New Roman" w:hAnsi="Times New Roman" w:cs="Times New Roman"/>
          <w:sz w:val="20"/>
          <w:szCs w:val="20"/>
          <w:vertAlign w:val="subscript"/>
        </w:rPr>
        <w:t>A</w:t>
      </w:r>
      <w:r w:rsidRPr="002B4BAD">
        <w:rPr>
          <w:rFonts w:ascii="Times New Roman" w:eastAsia="Times New Roman" w:hAnsi="Times New Roman" w:cs="Times New Roman"/>
          <w:sz w:val="20"/>
          <w:szCs w:val="20"/>
        </w:rPr>
        <w:t xml:space="preserve"> is the probability of attack</w:t>
      </w:r>
    </w:p>
    <w:p w14:paraId="52F3BB81" w14:textId="77777777"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xml:space="preserve"> is the physical protection system effectiveness given as </w:t>
      </w:r>
    </w:p>
    <w:p w14:paraId="6B6D3381" w14:textId="77777777"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xml:space="preserve"> = (P</w:t>
      </w:r>
      <w:r w:rsidRPr="009F7FD9">
        <w:rPr>
          <w:rFonts w:ascii="Times New Roman" w:eastAsia="Times New Roman" w:hAnsi="Times New Roman" w:cs="Times New Roman"/>
          <w:sz w:val="20"/>
          <w:szCs w:val="20"/>
          <w:vertAlign w:val="subscript"/>
        </w:rPr>
        <w:t>I</w:t>
      </w:r>
      <w:r w:rsidRPr="002B4BAD">
        <w:rPr>
          <w:rFonts w:ascii="Times New Roman" w:eastAsia="Times New Roman" w:hAnsi="Times New Roman" w:cs="Times New Roman"/>
          <w:sz w:val="20"/>
          <w:szCs w:val="20"/>
        </w:rPr>
        <w:t xml:space="preserve"> * P</w:t>
      </w:r>
      <w:r w:rsidRPr="009F7FD9">
        <w:rPr>
          <w:rFonts w:ascii="Times New Roman" w:eastAsia="Times New Roman" w:hAnsi="Times New Roman" w:cs="Times New Roman"/>
          <w:sz w:val="20"/>
          <w:szCs w:val="20"/>
          <w:vertAlign w:val="subscript"/>
        </w:rPr>
        <w:t>N</w:t>
      </w:r>
      <w:r w:rsidRPr="002B4BAD">
        <w:rPr>
          <w:rFonts w:ascii="Times New Roman" w:eastAsia="Times New Roman" w:hAnsi="Times New Roman" w:cs="Times New Roman"/>
          <w:sz w:val="20"/>
          <w:szCs w:val="20"/>
        </w:rPr>
        <w:t>)</w:t>
      </w:r>
    </w:p>
    <w:p w14:paraId="575DCE6D" w14:textId="77777777"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(1-P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is the probability of system failure</w:t>
      </w:r>
    </w:p>
    <w:p w14:paraId="44C52176" w14:textId="77777777"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C is the consequences of the attack</w:t>
      </w:r>
    </w:p>
    <w:p w14:paraId="59A17AFD" w14:textId="77777777" w:rsidR="00B33EC7" w:rsidRPr="002B4BAD" w:rsidRDefault="00992543"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The value of P</w:t>
      </w:r>
      <w:r w:rsidRPr="00A21162">
        <w:rPr>
          <w:rFonts w:ascii="Times New Roman" w:eastAsia="Times New Roman" w:hAnsi="Times New Roman" w:cs="Times New Roman"/>
          <w:sz w:val="20"/>
          <w:szCs w:val="20"/>
          <w:vertAlign w:val="subscript"/>
        </w:rPr>
        <w:t>I</w:t>
      </w:r>
      <w:r w:rsidRPr="002B4BAD">
        <w:rPr>
          <w:rFonts w:ascii="Times New Roman" w:eastAsia="Times New Roman" w:hAnsi="Times New Roman" w:cs="Times New Roman"/>
          <w:sz w:val="20"/>
          <w:szCs w:val="20"/>
        </w:rPr>
        <w:t xml:space="preserve"> can be determined by EASI Mode</w:t>
      </w:r>
      <w:r w:rsidR="0079786D" w:rsidRPr="002B4BAD">
        <w:rPr>
          <w:rFonts w:ascii="Times New Roman" w:eastAsia="Times New Roman" w:hAnsi="Times New Roman" w:cs="Times New Roman"/>
          <w:sz w:val="20"/>
          <w:szCs w:val="20"/>
        </w:rPr>
        <w:t>l</w:t>
      </w:r>
      <w:r w:rsidRPr="002B4BAD">
        <w:rPr>
          <w:rFonts w:ascii="Times New Roman" w:eastAsia="Times New Roman" w:hAnsi="Times New Roman" w:cs="Times New Roman"/>
          <w:sz w:val="20"/>
          <w:szCs w:val="20"/>
        </w:rPr>
        <w:t xml:space="preserve"> [</w:t>
      </w:r>
      <w:r w:rsidR="0079786D" w:rsidRPr="002B4BAD">
        <w:rPr>
          <w:rFonts w:ascii="Times New Roman" w:eastAsia="Times New Roman" w:hAnsi="Times New Roman" w:cs="Times New Roman"/>
          <w:sz w:val="20"/>
          <w:szCs w:val="20"/>
        </w:rPr>
        <w:t>2, 10</w:t>
      </w:r>
      <w:r w:rsidRPr="002B4BAD">
        <w:rPr>
          <w:rFonts w:ascii="Times New Roman" w:eastAsia="Times New Roman" w:hAnsi="Times New Roman" w:cs="Times New Roman"/>
          <w:sz w:val="20"/>
          <w:szCs w:val="20"/>
        </w:rPr>
        <w:t xml:space="preserve">]. It is a probabilistic approach which evaluates the PPS functions with respect to Response Force Time (RFT). </w:t>
      </w:r>
      <w:r w:rsidR="005310ED" w:rsidRPr="002B4BAD">
        <w:rPr>
          <w:rFonts w:ascii="Times New Roman" w:eastAsia="Times New Roman" w:hAnsi="Times New Roman" w:cs="Times New Roman"/>
          <w:sz w:val="20"/>
          <w:szCs w:val="20"/>
        </w:rPr>
        <w:t>There are multiple paths that can be followed by the adversary from the offsite area to the target area. The block diagram of concerned hypothetical research laboratory at t</w:t>
      </w:r>
      <w:r w:rsidR="0037331B">
        <w:rPr>
          <w:rFonts w:ascii="Times New Roman" w:eastAsia="Times New Roman" w:hAnsi="Times New Roman" w:cs="Times New Roman"/>
          <w:sz w:val="20"/>
          <w:szCs w:val="20"/>
        </w:rPr>
        <w:t>he University is shown in FIG.</w:t>
      </w:r>
      <w:r w:rsidR="005310ED" w:rsidRPr="002B4BAD">
        <w:rPr>
          <w:rFonts w:ascii="Times New Roman" w:eastAsia="Times New Roman" w:hAnsi="Times New Roman" w:cs="Times New Roman"/>
          <w:sz w:val="20"/>
          <w:szCs w:val="20"/>
        </w:rPr>
        <w:t xml:space="preserve"> 1. Each possible path has different protection layers with several security elements. For each pathway, EASI software can determine the P</w:t>
      </w:r>
      <w:r w:rsidR="005310ED" w:rsidRPr="00A21162">
        <w:rPr>
          <w:rFonts w:ascii="Times New Roman" w:eastAsia="Times New Roman" w:hAnsi="Times New Roman" w:cs="Times New Roman"/>
          <w:sz w:val="20"/>
          <w:szCs w:val="20"/>
          <w:vertAlign w:val="subscript"/>
        </w:rPr>
        <w:t>I</w:t>
      </w:r>
      <w:r w:rsidR="005310ED" w:rsidRPr="002B4BAD">
        <w:rPr>
          <w:rFonts w:ascii="Times New Roman" w:eastAsia="Times New Roman" w:hAnsi="Times New Roman" w:cs="Times New Roman"/>
          <w:sz w:val="20"/>
          <w:szCs w:val="20"/>
        </w:rPr>
        <w:t xml:space="preserve"> value. </w:t>
      </w:r>
      <w:r w:rsidR="00F45FFA" w:rsidRPr="002B4BAD">
        <w:rPr>
          <w:rFonts w:ascii="Times New Roman" w:eastAsia="Times New Roman" w:hAnsi="Times New Roman" w:cs="Times New Roman"/>
          <w:sz w:val="20"/>
          <w:szCs w:val="20"/>
        </w:rPr>
        <w:t>The detection and delay compone</w:t>
      </w:r>
      <w:r w:rsidR="000771FB" w:rsidRPr="002B4BAD">
        <w:rPr>
          <w:rFonts w:ascii="Times New Roman" w:eastAsia="Times New Roman" w:hAnsi="Times New Roman" w:cs="Times New Roman"/>
          <w:sz w:val="20"/>
          <w:szCs w:val="20"/>
        </w:rPr>
        <w:t>nts of the PPS, along with the</w:t>
      </w:r>
      <w:r w:rsidR="00F45FFA" w:rsidRPr="002B4BAD">
        <w:rPr>
          <w:rFonts w:ascii="Times New Roman" w:eastAsia="Times New Roman" w:hAnsi="Times New Roman" w:cs="Times New Roman"/>
          <w:sz w:val="20"/>
          <w:szCs w:val="20"/>
        </w:rPr>
        <w:t xml:space="preserve"> respective val</w:t>
      </w:r>
      <w:r w:rsidR="000771FB" w:rsidRPr="002B4BAD">
        <w:rPr>
          <w:rFonts w:ascii="Times New Roman" w:eastAsia="Times New Roman" w:hAnsi="Times New Roman" w:cs="Times New Roman"/>
          <w:sz w:val="20"/>
          <w:szCs w:val="20"/>
        </w:rPr>
        <w:t>ue</w:t>
      </w:r>
      <w:r w:rsidR="00F45FFA" w:rsidRPr="002B4BAD">
        <w:rPr>
          <w:rFonts w:ascii="Times New Roman" w:eastAsia="Times New Roman" w:hAnsi="Times New Roman" w:cs="Times New Roman"/>
          <w:sz w:val="20"/>
          <w:szCs w:val="20"/>
        </w:rPr>
        <w:t xml:space="preserve"> of </w:t>
      </w:r>
      <w:r w:rsidR="006E084D" w:rsidRPr="002B4BAD">
        <w:rPr>
          <w:rFonts w:ascii="Times New Roman" w:eastAsia="Times New Roman" w:hAnsi="Times New Roman" w:cs="Times New Roman"/>
          <w:sz w:val="20"/>
          <w:szCs w:val="20"/>
        </w:rPr>
        <w:t xml:space="preserve">Probability of </w:t>
      </w:r>
      <w:r w:rsidR="000C7030" w:rsidRPr="002B4BAD">
        <w:rPr>
          <w:rFonts w:ascii="Times New Roman" w:eastAsia="Times New Roman" w:hAnsi="Times New Roman" w:cs="Times New Roman"/>
          <w:sz w:val="20"/>
          <w:szCs w:val="20"/>
        </w:rPr>
        <w:t>D</w:t>
      </w:r>
      <w:r w:rsidR="00992D67" w:rsidRPr="002B4BAD">
        <w:rPr>
          <w:rFonts w:ascii="Times New Roman" w:eastAsia="Times New Roman" w:hAnsi="Times New Roman" w:cs="Times New Roman"/>
          <w:sz w:val="20"/>
          <w:szCs w:val="20"/>
        </w:rPr>
        <w:t>etection</w:t>
      </w:r>
      <w:r w:rsidR="009E2F8D" w:rsidRPr="002B4BAD">
        <w:rPr>
          <w:rFonts w:ascii="Times New Roman" w:eastAsia="Times New Roman" w:hAnsi="Times New Roman" w:cs="Times New Roman"/>
          <w:sz w:val="20"/>
          <w:szCs w:val="20"/>
        </w:rPr>
        <w:t xml:space="preserve"> (P</w:t>
      </w:r>
      <w:r w:rsidR="009E2F8D" w:rsidRPr="009F7FD9">
        <w:rPr>
          <w:rFonts w:ascii="Times New Roman" w:eastAsia="Times New Roman" w:hAnsi="Times New Roman" w:cs="Times New Roman"/>
          <w:sz w:val="20"/>
          <w:szCs w:val="20"/>
          <w:vertAlign w:val="subscript"/>
        </w:rPr>
        <w:t>D</w:t>
      </w:r>
      <w:r w:rsidR="009E2F8D" w:rsidRPr="002B4BAD">
        <w:rPr>
          <w:rFonts w:ascii="Times New Roman" w:eastAsia="Times New Roman" w:hAnsi="Times New Roman" w:cs="Times New Roman"/>
          <w:sz w:val="20"/>
          <w:szCs w:val="20"/>
        </w:rPr>
        <w:t>)</w:t>
      </w:r>
      <w:r w:rsidR="00992D67" w:rsidRPr="002B4BAD">
        <w:rPr>
          <w:rFonts w:ascii="Times New Roman" w:eastAsia="Times New Roman" w:hAnsi="Times New Roman" w:cs="Times New Roman"/>
          <w:sz w:val="20"/>
          <w:szCs w:val="20"/>
        </w:rPr>
        <w:t>, mean delay time</w:t>
      </w:r>
      <w:r w:rsidR="0013671D" w:rsidRPr="002B4BAD">
        <w:rPr>
          <w:rFonts w:ascii="Times New Roman" w:eastAsia="Times New Roman" w:hAnsi="Times New Roman" w:cs="Times New Roman"/>
          <w:sz w:val="20"/>
          <w:szCs w:val="20"/>
        </w:rPr>
        <w:t xml:space="preserve"> (t</w:t>
      </w:r>
      <w:r w:rsidR="0013671D" w:rsidRPr="009F7FD9">
        <w:rPr>
          <w:rFonts w:ascii="Times New Roman" w:eastAsia="Times New Roman" w:hAnsi="Times New Roman" w:cs="Times New Roman"/>
          <w:sz w:val="20"/>
          <w:szCs w:val="20"/>
          <w:vertAlign w:val="subscript"/>
        </w:rPr>
        <w:t>D</w:t>
      </w:r>
      <w:r w:rsidR="0013671D" w:rsidRPr="002B4BAD">
        <w:rPr>
          <w:rFonts w:ascii="Times New Roman" w:eastAsia="Times New Roman" w:hAnsi="Times New Roman" w:cs="Times New Roman"/>
          <w:sz w:val="20"/>
          <w:szCs w:val="20"/>
        </w:rPr>
        <w:t>)</w:t>
      </w:r>
      <w:r w:rsidR="00992D67" w:rsidRPr="002B4BAD">
        <w:rPr>
          <w:rFonts w:ascii="Times New Roman" w:eastAsia="Times New Roman" w:hAnsi="Times New Roman" w:cs="Times New Roman"/>
          <w:sz w:val="20"/>
          <w:szCs w:val="20"/>
        </w:rPr>
        <w:t xml:space="preserve">, </w:t>
      </w:r>
      <w:r w:rsidR="005309C1" w:rsidRPr="002B4BAD">
        <w:rPr>
          <w:rFonts w:ascii="Times New Roman" w:eastAsia="Times New Roman" w:hAnsi="Times New Roman" w:cs="Times New Roman"/>
          <w:sz w:val="20"/>
          <w:szCs w:val="20"/>
        </w:rPr>
        <w:t>and Probability of C</w:t>
      </w:r>
      <w:r w:rsidR="00992D67" w:rsidRPr="002B4BAD">
        <w:rPr>
          <w:rFonts w:ascii="Times New Roman" w:eastAsia="Times New Roman" w:hAnsi="Times New Roman" w:cs="Times New Roman"/>
          <w:sz w:val="20"/>
          <w:szCs w:val="20"/>
        </w:rPr>
        <w:t xml:space="preserve">ommunication </w:t>
      </w:r>
      <w:r w:rsidR="00C82AD9" w:rsidRPr="002B4BAD">
        <w:rPr>
          <w:rFonts w:ascii="Times New Roman" w:eastAsia="Times New Roman" w:hAnsi="Times New Roman" w:cs="Times New Roman"/>
          <w:sz w:val="20"/>
          <w:szCs w:val="20"/>
        </w:rPr>
        <w:t>(P</w:t>
      </w:r>
      <w:r w:rsidR="009F7FD9">
        <w:rPr>
          <w:rFonts w:ascii="Times New Roman" w:eastAsia="Times New Roman" w:hAnsi="Times New Roman" w:cs="Times New Roman"/>
          <w:sz w:val="20"/>
          <w:szCs w:val="20"/>
          <w:vertAlign w:val="subscript"/>
        </w:rPr>
        <w:t>C</w:t>
      </w:r>
      <w:r w:rsidR="00C82AD9" w:rsidRPr="002B4BAD">
        <w:rPr>
          <w:rFonts w:ascii="Times New Roman" w:eastAsia="Times New Roman" w:hAnsi="Times New Roman" w:cs="Times New Roman"/>
          <w:sz w:val="20"/>
          <w:szCs w:val="20"/>
        </w:rPr>
        <w:t xml:space="preserve">) </w:t>
      </w:r>
      <w:r w:rsidR="00A11A39" w:rsidRPr="002B4BAD">
        <w:rPr>
          <w:rFonts w:ascii="Times New Roman" w:eastAsia="Times New Roman" w:hAnsi="Times New Roman" w:cs="Times New Roman"/>
          <w:sz w:val="20"/>
          <w:szCs w:val="20"/>
        </w:rPr>
        <w:t>are</w:t>
      </w:r>
      <w:r w:rsidR="00992D67" w:rsidRPr="002B4BAD">
        <w:rPr>
          <w:rFonts w:ascii="Times New Roman" w:eastAsia="Times New Roman" w:hAnsi="Times New Roman" w:cs="Times New Roman"/>
          <w:sz w:val="20"/>
          <w:szCs w:val="20"/>
        </w:rPr>
        <w:t xml:space="preserve"> measured along a specific </w:t>
      </w:r>
      <w:r w:rsidR="000D751D" w:rsidRPr="002B4BAD">
        <w:rPr>
          <w:rFonts w:ascii="Times New Roman" w:eastAsia="Times New Roman" w:hAnsi="Times New Roman" w:cs="Times New Roman"/>
          <w:sz w:val="20"/>
          <w:szCs w:val="20"/>
        </w:rPr>
        <w:t xml:space="preserve">adversary path </w:t>
      </w:r>
      <w:r w:rsidR="006E084D" w:rsidRPr="002B4BAD">
        <w:rPr>
          <w:rFonts w:ascii="Times New Roman" w:eastAsia="Times New Roman" w:hAnsi="Times New Roman" w:cs="Times New Roman"/>
          <w:sz w:val="20"/>
          <w:szCs w:val="20"/>
        </w:rPr>
        <w:t xml:space="preserve">and are used </w:t>
      </w:r>
      <w:r w:rsidR="000C7030" w:rsidRPr="002B4BAD">
        <w:rPr>
          <w:rFonts w:ascii="Times New Roman" w:eastAsia="Times New Roman" w:hAnsi="Times New Roman" w:cs="Times New Roman"/>
          <w:sz w:val="20"/>
          <w:szCs w:val="20"/>
        </w:rPr>
        <w:t xml:space="preserve">as inputs in </w:t>
      </w:r>
      <w:r w:rsidR="006E084D" w:rsidRPr="002B4BAD">
        <w:rPr>
          <w:rFonts w:ascii="Times New Roman" w:eastAsia="Times New Roman" w:hAnsi="Times New Roman" w:cs="Times New Roman"/>
          <w:sz w:val="20"/>
          <w:szCs w:val="20"/>
        </w:rPr>
        <w:t>the ASD.</w:t>
      </w:r>
      <w:r w:rsidR="005309C1" w:rsidRPr="002B4BAD">
        <w:rPr>
          <w:rFonts w:ascii="Times New Roman" w:eastAsia="Times New Roman" w:hAnsi="Times New Roman" w:cs="Times New Roman"/>
          <w:sz w:val="20"/>
          <w:szCs w:val="20"/>
        </w:rPr>
        <w:t xml:space="preserve"> The Response Force Time (RFT) is used to decide the Critical Detection Point </w:t>
      </w:r>
      <w:r w:rsidR="000771FB" w:rsidRPr="002B4BAD">
        <w:rPr>
          <w:rFonts w:ascii="Times New Roman" w:eastAsia="Times New Roman" w:hAnsi="Times New Roman" w:cs="Times New Roman"/>
          <w:sz w:val="20"/>
          <w:szCs w:val="20"/>
        </w:rPr>
        <w:t xml:space="preserve">(CDP) </w:t>
      </w:r>
      <w:r w:rsidR="005309C1" w:rsidRPr="002B4BAD">
        <w:rPr>
          <w:rFonts w:ascii="Times New Roman" w:eastAsia="Times New Roman" w:hAnsi="Times New Roman" w:cs="Times New Roman"/>
          <w:sz w:val="20"/>
          <w:szCs w:val="20"/>
        </w:rPr>
        <w:t xml:space="preserve">in the ASD. </w:t>
      </w:r>
      <w:r w:rsidR="000C7030" w:rsidRPr="002B4BAD">
        <w:rPr>
          <w:rFonts w:ascii="Times New Roman" w:eastAsia="Times New Roman" w:hAnsi="Times New Roman" w:cs="Times New Roman"/>
          <w:sz w:val="20"/>
          <w:szCs w:val="20"/>
        </w:rPr>
        <w:t>The CDP is defined as that point along the path to the target</w:t>
      </w:r>
      <w:r w:rsidR="000D751D" w:rsidRPr="002B4BAD">
        <w:rPr>
          <w:rFonts w:ascii="Times New Roman" w:eastAsia="Times New Roman" w:hAnsi="Times New Roman" w:cs="Times New Roman"/>
          <w:sz w:val="20"/>
          <w:szCs w:val="20"/>
        </w:rPr>
        <w:t>,</w:t>
      </w:r>
      <w:r w:rsidR="00C22EF0" w:rsidRPr="002B4BAD">
        <w:rPr>
          <w:rFonts w:ascii="Times New Roman" w:eastAsia="Times New Roman" w:hAnsi="Times New Roman" w:cs="Times New Roman"/>
          <w:sz w:val="20"/>
          <w:szCs w:val="20"/>
        </w:rPr>
        <w:t xml:space="preserve"> </w:t>
      </w:r>
      <w:r w:rsidR="000C7030" w:rsidRPr="002B4BAD">
        <w:rPr>
          <w:rFonts w:ascii="Times New Roman" w:eastAsia="Times New Roman" w:hAnsi="Times New Roman" w:cs="Times New Roman"/>
          <w:sz w:val="20"/>
          <w:szCs w:val="20"/>
        </w:rPr>
        <w:t xml:space="preserve">detection beyond which might result in the success of the adversary. </w:t>
      </w:r>
      <w:r w:rsidR="00586AF9" w:rsidRPr="002B4BAD">
        <w:rPr>
          <w:rFonts w:ascii="Times New Roman" w:eastAsia="Times New Roman" w:hAnsi="Times New Roman" w:cs="Times New Roman"/>
          <w:sz w:val="20"/>
          <w:szCs w:val="20"/>
        </w:rPr>
        <w:t>The</w:t>
      </w:r>
      <w:r w:rsidR="0062173C" w:rsidRPr="002B4BAD">
        <w:rPr>
          <w:rFonts w:ascii="Times New Roman" w:eastAsia="Times New Roman" w:hAnsi="Times New Roman" w:cs="Times New Roman"/>
          <w:sz w:val="20"/>
          <w:szCs w:val="20"/>
        </w:rPr>
        <w:t xml:space="preserve"> </w:t>
      </w:r>
      <w:r w:rsidR="00D33F83" w:rsidRPr="002B4BAD">
        <w:rPr>
          <w:rFonts w:ascii="Times New Roman" w:eastAsia="Times New Roman" w:hAnsi="Times New Roman" w:cs="Times New Roman"/>
          <w:sz w:val="20"/>
          <w:szCs w:val="20"/>
        </w:rPr>
        <w:t>non</w:t>
      </w:r>
      <w:r w:rsidR="0062173C" w:rsidRPr="002B4BAD">
        <w:rPr>
          <w:rFonts w:ascii="Times New Roman" w:eastAsia="Times New Roman" w:hAnsi="Times New Roman" w:cs="Times New Roman"/>
          <w:sz w:val="20"/>
          <w:szCs w:val="20"/>
        </w:rPr>
        <w:t>–detection probability</w:t>
      </w:r>
      <w:r w:rsidR="0032481C" w:rsidRPr="002B4BAD">
        <w:rPr>
          <w:rFonts w:ascii="Times New Roman" w:eastAsia="Times New Roman" w:hAnsi="Times New Roman" w:cs="Times New Roman"/>
          <w:sz w:val="20"/>
          <w:szCs w:val="20"/>
        </w:rPr>
        <w:t xml:space="preserve"> (1 - P</w:t>
      </w:r>
      <w:r w:rsidR="0032481C" w:rsidRPr="009F7FD9">
        <w:rPr>
          <w:rFonts w:ascii="Times New Roman" w:eastAsia="Times New Roman" w:hAnsi="Times New Roman" w:cs="Times New Roman"/>
          <w:sz w:val="20"/>
          <w:szCs w:val="20"/>
          <w:vertAlign w:val="subscript"/>
        </w:rPr>
        <w:t>D</w:t>
      </w:r>
      <w:r w:rsidR="0032481C" w:rsidRPr="002B4BAD">
        <w:rPr>
          <w:rFonts w:ascii="Times New Roman" w:eastAsia="Times New Roman" w:hAnsi="Times New Roman" w:cs="Times New Roman"/>
          <w:sz w:val="20"/>
          <w:szCs w:val="20"/>
        </w:rPr>
        <w:t xml:space="preserve">) </w:t>
      </w:r>
      <w:r w:rsidR="0062173C" w:rsidRPr="002B4BAD">
        <w:rPr>
          <w:rFonts w:ascii="Times New Roman" w:eastAsia="Times New Roman" w:hAnsi="Times New Roman" w:cs="Times New Roman"/>
          <w:sz w:val="20"/>
          <w:szCs w:val="20"/>
        </w:rPr>
        <w:t>of each detection element</w:t>
      </w:r>
      <w:r w:rsidR="00D33F83" w:rsidRPr="002B4BAD">
        <w:rPr>
          <w:rFonts w:ascii="Times New Roman" w:eastAsia="Times New Roman" w:hAnsi="Times New Roman" w:cs="Times New Roman"/>
          <w:sz w:val="20"/>
          <w:szCs w:val="20"/>
        </w:rPr>
        <w:t xml:space="preserve"> is given by</w:t>
      </w:r>
      <m:oMath>
        <m:sSubSup>
          <m:sSubSupPr>
            <m:ctrlPr>
              <w:rPr>
                <w:rFonts w:ascii="Cambria Math" w:eastAsia="Times New Roman" w:hAnsi="Times New Roman" w:cs="Times New Roman"/>
                <w:sz w:val="20"/>
                <w:szCs w:val="20"/>
              </w:rPr>
            </m:ctrlPr>
          </m:sSubSupPr>
          <m:e>
            <m:r>
              <m:rPr>
                <m:sty m:val="p"/>
              </m:rPr>
              <w:rPr>
                <w:rFonts w:ascii="Cambria Math" w:eastAsia="Times New Roman" w:hAnsi="Times New Roman" w:cs="Times New Roman"/>
                <w:sz w:val="20"/>
                <w:szCs w:val="20"/>
              </w:rPr>
              <m:t xml:space="preserve"> </m:t>
            </m:r>
            <m:r>
              <m:rPr>
                <m:sty m:val="p"/>
              </m:rPr>
              <w:rPr>
                <w:rFonts w:ascii="Cambria Math" w:eastAsia="Times New Roman" w:hAnsi="Times New Roman" w:cs="Times New Roman"/>
                <w:sz w:val="20"/>
                <w:szCs w:val="20"/>
              </w:rPr>
              <m:t>β</m:t>
            </m:r>
          </m:e>
          <m:sub>
            <m:r>
              <m:rPr>
                <m:sty m:val="p"/>
              </m:rPr>
              <w:rPr>
                <w:rFonts w:ascii="Cambria Math" w:eastAsia="Times New Roman" w:hAnsi="Times New Roman" w:cs="Times New Roman"/>
                <w:sz w:val="20"/>
                <w:szCs w:val="20"/>
              </w:rPr>
              <m:t>D</m:t>
            </m:r>
          </m:sub>
          <m:sup>
            <m:r>
              <m:rPr>
                <m:sty m:val="p"/>
              </m:rPr>
              <w:rPr>
                <w:rFonts w:ascii="Cambria Math" w:eastAsia="Times New Roman" w:hAnsi="Times New Roman" w:cs="Times New Roman"/>
                <w:sz w:val="20"/>
                <w:szCs w:val="20"/>
              </w:rPr>
              <m:t>j</m:t>
            </m:r>
          </m:sup>
        </m:sSubSup>
      </m:oMath>
      <w:r w:rsidR="000538FF" w:rsidRPr="002B4BAD">
        <w:rPr>
          <w:rFonts w:ascii="Times New Roman" w:eastAsia="Times New Roman" w:hAnsi="Times New Roman" w:cs="Times New Roman"/>
          <w:sz w:val="20"/>
          <w:szCs w:val="20"/>
        </w:rPr>
        <w:t>:</w:t>
      </w:r>
    </w:p>
    <w:p w14:paraId="22F834EC" w14:textId="77777777" w:rsidR="00C54069" w:rsidRPr="002B4BAD" w:rsidRDefault="00C54069"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w:t>
      </w:r>
      <m:oMath>
        <m:sSubSup>
          <m:sSubSupPr>
            <m:ctrlPr>
              <w:rPr>
                <w:rFonts w:ascii="Cambria Math" w:eastAsia="Times New Roman" w:hAnsi="Times New Roman" w:cs="Times New Roman"/>
                <w:sz w:val="20"/>
                <w:szCs w:val="20"/>
              </w:rPr>
            </m:ctrlPr>
          </m:sSubSupPr>
          <m:e>
            <m:r>
              <m:rPr>
                <m:sty m:val="p"/>
              </m:rPr>
              <w:rPr>
                <w:rFonts w:ascii="Cambria Math" w:eastAsia="Times New Roman" w:hAnsi="Times New Roman" w:cs="Times New Roman"/>
                <w:sz w:val="20"/>
                <w:szCs w:val="20"/>
              </w:rPr>
              <m:t xml:space="preserve"> </m:t>
            </m:r>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r>
          <m:rPr>
            <m:sty m:val="p"/>
          </m:rPr>
          <w:rPr>
            <w:rFonts w:ascii="Cambria Math" w:eastAsia="Times New Roman" w:hAnsi="Times New Roman" w:cs="Times New Roman"/>
            <w:sz w:val="20"/>
            <w:szCs w:val="20"/>
          </w:rPr>
          <m:t>=1</m:t>
        </m:r>
        <m:r>
          <m:rPr>
            <m:sty m:val="p"/>
          </m:rPr>
          <w:rPr>
            <w:rFonts w:ascii="Cambria Math" w:eastAsia="Times New Roman" w:hAnsi="Times New Roman" w:cs="Times New Roman"/>
            <w:sz w:val="20"/>
            <w:szCs w:val="20"/>
          </w:rPr>
          <m:t>-</m:t>
        </m:r>
        <m:r>
          <m:rPr>
            <m:sty m:val="p"/>
          </m:rPr>
          <w:rPr>
            <w:rFonts w:ascii="Cambria Math" w:eastAsia="Times New Roman" w:hAnsi="Times New Roman" w:cs="Times New Roman"/>
            <w:sz w:val="20"/>
            <w:szCs w:val="20"/>
          </w:rPr>
          <m:t xml:space="preserve"> </m:t>
        </m:r>
        <m:sSubSup>
          <m:sSubSupPr>
            <m:ctrlPr>
              <w:rPr>
                <w:rFonts w:ascii="Cambria Math" w:eastAsia="Times New Roman" w:hAnsi="Times New Roman" w:cs="Times New Roman"/>
                <w:sz w:val="20"/>
                <w:szCs w:val="20"/>
              </w:rPr>
            </m:ctrlPr>
          </m:sSubSup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oMath>
      <w:r w:rsidRPr="002B4BAD">
        <w:rPr>
          <w:rFonts w:ascii="Times New Roman" w:eastAsia="Times New Roman" w:hAnsi="Times New Roman" w:cs="Times New Roman"/>
          <w:sz w:val="20"/>
          <w:szCs w:val="20"/>
        </w:rPr>
        <w:t xml:space="preserve">    ………. (2)</w:t>
      </w:r>
    </w:p>
    <w:p w14:paraId="271302A0" w14:textId="77777777" w:rsidR="00C54069" w:rsidRPr="002B4BAD" w:rsidRDefault="00C54069" w:rsidP="00E3502E">
      <w:pPr>
        <w:pStyle w:val="BodyText"/>
        <w:spacing w:after="0" w:line="260" w:lineRule="atLeast"/>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where </w:t>
      </w:r>
      <m:oMath>
        <m:sSubSup>
          <m:sSubSupPr>
            <m:ctrlPr>
              <w:rPr>
                <w:rFonts w:ascii="Cambria Math" w:eastAsia="Times New Roman" w:hAnsi="Times New Roman" w:cs="Times New Roman"/>
                <w:sz w:val="20"/>
                <w:szCs w:val="20"/>
              </w:rPr>
            </m:ctrlPr>
          </m:sSubSup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oMath>
      <w:r w:rsidRPr="002B4BAD">
        <w:rPr>
          <w:rFonts w:ascii="Times New Roman" w:eastAsia="Times New Roman" w:hAnsi="Times New Roman" w:cs="Times New Roman"/>
          <w:sz w:val="20"/>
          <w:szCs w:val="20"/>
        </w:rPr>
        <w:t xml:space="preserve"> is the probability of detection of j</w:t>
      </w:r>
      <w:r w:rsidRPr="00A21162">
        <w:rPr>
          <w:rFonts w:ascii="Times New Roman" w:eastAsia="Times New Roman" w:hAnsi="Times New Roman" w:cs="Times New Roman"/>
          <w:sz w:val="20"/>
          <w:szCs w:val="20"/>
          <w:vertAlign w:val="superscript"/>
        </w:rPr>
        <w:t>th</w:t>
      </w:r>
      <w:r w:rsidRPr="002B4BAD">
        <w:rPr>
          <w:rFonts w:ascii="Times New Roman" w:eastAsia="Times New Roman" w:hAnsi="Times New Roman" w:cs="Times New Roman"/>
          <w:sz w:val="20"/>
          <w:szCs w:val="20"/>
        </w:rPr>
        <w:t xml:space="preserve"> element. β</w:t>
      </w:r>
      <w:r w:rsidRPr="00A21162">
        <w:rPr>
          <w:rFonts w:ascii="Times New Roman" w:eastAsia="Times New Roman" w:hAnsi="Times New Roman" w:cs="Times New Roman"/>
          <w:sz w:val="20"/>
          <w:szCs w:val="20"/>
          <w:vertAlign w:val="subscript"/>
        </w:rPr>
        <w:t>D</w:t>
      </w:r>
      <w:r w:rsidRPr="002B4BAD">
        <w:rPr>
          <w:rFonts w:ascii="Times New Roman" w:eastAsia="Times New Roman" w:hAnsi="Times New Roman" w:cs="Times New Roman"/>
          <w:sz w:val="20"/>
          <w:szCs w:val="20"/>
        </w:rPr>
        <w:t xml:space="preserve"> is the combined non-detection probability and given by:</w:t>
      </w:r>
    </w:p>
    <w:p w14:paraId="1F587324" w14:textId="77777777" w:rsidR="00C54069" w:rsidRPr="002B4BAD" w:rsidRDefault="00751D10" w:rsidP="00A21162">
      <w:pPr>
        <w:pStyle w:val="BodyText"/>
        <w:spacing w:after="0" w:line="260" w:lineRule="atLeast"/>
        <w:ind w:firstLine="567"/>
        <w:contextualSpacing/>
        <w:jc w:val="center"/>
        <w:rPr>
          <w:rFonts w:ascii="Times New Roman" w:eastAsia="Times New Roman" w:hAnsi="Times New Roman" w:cs="Times New Roman"/>
          <w:sz w:val="20"/>
          <w:szCs w:val="20"/>
        </w:rPr>
      </w:pPr>
      <m:oMath>
        <m:sSub>
          <m:sSubPr>
            <m:ctrlPr>
              <w:rPr>
                <w:rFonts w:ascii="Cambria Math" w:eastAsia="Times New Roman" w:hAnsi="Times New Roman" w:cs="Times New Roman"/>
                <w:sz w:val="20"/>
                <w:szCs w:val="20"/>
              </w:rPr>
            </m:ctrlPr>
          </m:sSubPr>
          <m:e>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Sub>
        <m:r>
          <m:rPr>
            <m:sty m:val="p"/>
          </m:rPr>
          <w:rPr>
            <w:rFonts w:ascii="Cambria Math" w:eastAsia="Times New Roman" w:hAnsi="Times New Roman" w:cs="Times New Roman"/>
            <w:sz w:val="20"/>
            <w:szCs w:val="20"/>
          </w:rPr>
          <m:t>=</m:t>
        </m:r>
        <m:nary>
          <m:naryPr>
            <m:chr m:val="∏"/>
            <m:ctrlPr>
              <w:rPr>
                <w:rFonts w:ascii="Cambria Math" w:eastAsia="Times New Roman" w:hAnsi="Times New Roman" w:cs="Times New Roman"/>
                <w:sz w:val="20"/>
                <w:szCs w:val="20"/>
              </w:rPr>
            </m:ctrlPr>
          </m:naryPr>
          <m:sub>
            <m:r>
              <m:rPr>
                <m:sty m:val="p"/>
              </m:rPr>
              <w:rPr>
                <w:rFonts w:ascii="Cambria Math" w:eastAsia="Times New Roman" w:hAnsi="Cambria Math" w:cs="Times New Roman"/>
                <w:sz w:val="20"/>
                <w:szCs w:val="20"/>
              </w:rPr>
              <m:t>j</m:t>
            </m:r>
            <m:r>
              <m:rPr>
                <m:sty m:val="p"/>
              </m:rPr>
              <w:rPr>
                <w:rFonts w:ascii="Cambria Math" w:eastAsia="Times New Roman" w:hAnsi="Times New Roman" w:cs="Times New Roman"/>
                <w:sz w:val="20"/>
                <w:szCs w:val="20"/>
              </w:rPr>
              <m:t>=1</m:t>
            </m:r>
          </m:sub>
          <m:sup>
            <m:r>
              <m:rPr>
                <m:sty m:val="p"/>
              </m:rPr>
              <w:rPr>
                <w:rFonts w:ascii="Cambria Math" w:eastAsia="Times New Roman" w:hAnsi="Cambria Math" w:cs="Times New Roman"/>
                <w:sz w:val="20"/>
                <w:szCs w:val="20"/>
              </w:rPr>
              <m:t>J</m:t>
            </m:r>
          </m:sup>
          <m:e>
            <m:sSubSup>
              <m:sSubSupPr>
                <m:ctrlPr>
                  <w:rPr>
                    <w:rFonts w:ascii="Cambria Math" w:eastAsia="Times New Roman" w:hAnsi="Times New Roman" w:cs="Times New Roman"/>
                    <w:sz w:val="20"/>
                    <w:szCs w:val="20"/>
                  </w:rPr>
                </m:ctrlPr>
              </m:sSubSupPr>
              <m:e>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e>
        </m:nary>
      </m:oMath>
      <w:r w:rsidR="00C54069" w:rsidRPr="002B4BAD">
        <w:rPr>
          <w:rFonts w:ascii="Times New Roman" w:eastAsia="Times New Roman" w:hAnsi="Times New Roman" w:cs="Times New Roman"/>
          <w:sz w:val="20"/>
          <w:szCs w:val="20"/>
        </w:rPr>
        <w:t xml:space="preserve">  ……. (3)</w:t>
      </w:r>
    </w:p>
    <w:p w14:paraId="1F45FCB4" w14:textId="77777777" w:rsidR="00C54069" w:rsidRPr="002B4BAD" w:rsidRDefault="00C54069" w:rsidP="00E3502E">
      <w:pPr>
        <w:pStyle w:val="BodyText"/>
        <w:spacing w:after="0" w:line="260" w:lineRule="atLeast"/>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The estimated value of PI is given by following relation:</w:t>
      </w:r>
    </w:p>
    <w:p w14:paraId="5AFC49F3" w14:textId="77777777" w:rsidR="00C54069" w:rsidRPr="00CB3EE2" w:rsidRDefault="00C54069"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CB3EE2">
        <w:rPr>
          <w:rFonts w:ascii="Times New Roman" w:eastAsia="Times New Roman" w:hAnsi="Times New Roman" w:cs="Times New Roman"/>
          <w:sz w:val="20"/>
          <w:szCs w:val="20"/>
        </w:rPr>
        <w:t xml:space="preserve">                          </w:t>
      </w:r>
      <w:r w:rsidR="001D7103" w:rsidRPr="00CB3EE2">
        <w:rPr>
          <w:rFonts w:ascii="Times New Roman" w:eastAsia="Times New Roman" w:hAnsi="Times New Roman" w:cs="Times New Roman"/>
          <w:sz w:val="20"/>
          <w:szCs w:val="20"/>
        </w:rPr>
        <w:t xml:space="preserve">                    </w:t>
      </w:r>
      <w:r w:rsidRPr="00CB3EE2">
        <w:rPr>
          <w:rFonts w:ascii="Times New Roman" w:eastAsia="Times New Roman" w:hAnsi="Times New Roman" w:cs="Times New Roman"/>
          <w:sz w:val="20"/>
          <w:szCs w:val="20"/>
        </w:rPr>
        <w:t xml:space="preserve">        </w:t>
      </w:r>
      <m:oMath>
        <m:sSub>
          <m:sSubPr>
            <m:ctrlPr>
              <w:rPr>
                <w:rFonts w:ascii="Cambria Math" w:eastAsia="Times New Roman" w:hAnsi="Times New Roman"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I</m:t>
            </m:r>
          </m:sub>
        </m:sSub>
        <m:r>
          <m:rPr>
            <m:sty m:val="p"/>
          </m:rPr>
          <w:rPr>
            <w:rFonts w:ascii="Cambria Math" w:eastAsia="Times New Roman" w:hAnsi="Times New Roman" w:cs="Times New Roman"/>
            <w:sz w:val="20"/>
            <w:szCs w:val="20"/>
          </w:rPr>
          <m:t>=1</m:t>
        </m:r>
        <m:r>
          <m:rPr>
            <m:sty m:val="p"/>
          </m:rPr>
          <w:rPr>
            <w:rFonts w:ascii="Cambria Math" w:eastAsia="Times New Roman" w:hAnsi="Cambria Math" w:cs="Times New Roman"/>
            <w:sz w:val="20"/>
            <w:szCs w:val="20"/>
          </w:rPr>
          <m:t>-</m:t>
        </m:r>
        <m:sSub>
          <m:sSubPr>
            <m:ctrlPr>
              <w:rPr>
                <w:rFonts w:ascii="Cambria Math" w:eastAsia="Times New Roman" w:hAnsi="Times New Roman" w:cs="Times New Roman"/>
                <w:sz w:val="20"/>
                <w:szCs w:val="20"/>
              </w:rPr>
            </m:ctrlPr>
          </m:sSubPr>
          <m:e>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Sub>
      </m:oMath>
      <w:r w:rsidRPr="00CB3EE2">
        <w:rPr>
          <w:rFonts w:ascii="Times New Roman" w:eastAsia="Times New Roman" w:hAnsi="Times New Roman" w:cs="Times New Roman"/>
          <w:sz w:val="20"/>
          <w:szCs w:val="20"/>
        </w:rPr>
        <w:t xml:space="preserve">………………. (4) </w:t>
      </w:r>
    </w:p>
    <w:p w14:paraId="1BADD0D6" w14:textId="77777777" w:rsidR="002B4BAD" w:rsidRDefault="000927A5" w:rsidP="00CB3EE2">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P</w:t>
      </w:r>
      <w:r w:rsidRPr="00CB3EE2">
        <w:rPr>
          <w:rFonts w:ascii="Times New Roman" w:eastAsia="Times New Roman" w:hAnsi="Times New Roman" w:cs="Times New Roman"/>
          <w:sz w:val="20"/>
          <w:szCs w:val="20"/>
          <w:vertAlign w:val="subscript"/>
        </w:rPr>
        <w:t>N</w:t>
      </w:r>
      <w:r w:rsidRPr="002B4BAD">
        <w:rPr>
          <w:rFonts w:ascii="Times New Roman" w:eastAsia="Times New Roman" w:hAnsi="Times New Roman" w:cs="Times New Roman"/>
          <w:sz w:val="20"/>
          <w:szCs w:val="20"/>
        </w:rPr>
        <w:t xml:space="preserve"> will be calculated by using Microsoft Excel macro worksheet [</w:t>
      </w:r>
      <w:r w:rsidR="0079786D" w:rsidRPr="002B4BAD">
        <w:rPr>
          <w:rFonts w:ascii="Times New Roman" w:eastAsia="Times New Roman" w:hAnsi="Times New Roman" w:cs="Times New Roman"/>
          <w:sz w:val="20"/>
          <w:szCs w:val="20"/>
        </w:rPr>
        <w:t>8</w:t>
      </w:r>
      <w:r w:rsidRPr="002B4BAD">
        <w:rPr>
          <w:rFonts w:ascii="Times New Roman" w:eastAsia="Times New Roman" w:hAnsi="Times New Roman" w:cs="Times New Roman"/>
          <w:sz w:val="20"/>
          <w:szCs w:val="20"/>
        </w:rPr>
        <w:t xml:space="preserve">]. </w:t>
      </w:r>
      <w:r w:rsidR="00114C3D" w:rsidRPr="002B4BAD">
        <w:rPr>
          <w:rFonts w:ascii="Times New Roman" w:eastAsia="Times New Roman" w:hAnsi="Times New Roman" w:cs="Times New Roman"/>
          <w:sz w:val="20"/>
          <w:szCs w:val="20"/>
        </w:rPr>
        <w:t xml:space="preserve">It is the probability that the response force can successfully confront and stop the threat if they are notified timely. </w:t>
      </w:r>
      <w:r w:rsidR="00023F1B" w:rsidRPr="002B4BAD">
        <w:rPr>
          <w:rFonts w:ascii="Times New Roman" w:eastAsia="Times New Roman" w:hAnsi="Times New Roman" w:cs="Times New Roman"/>
          <w:sz w:val="20"/>
          <w:szCs w:val="20"/>
        </w:rPr>
        <w:t>The estimation of P</w:t>
      </w:r>
      <w:r w:rsidR="00023F1B" w:rsidRPr="0037331B">
        <w:rPr>
          <w:rFonts w:ascii="Times New Roman" w:eastAsia="Times New Roman" w:hAnsi="Times New Roman" w:cs="Times New Roman"/>
          <w:sz w:val="20"/>
          <w:szCs w:val="20"/>
          <w:vertAlign w:val="subscript"/>
        </w:rPr>
        <w:t>N</w:t>
      </w:r>
      <w:r w:rsidR="00023F1B" w:rsidRPr="002B4BAD">
        <w:rPr>
          <w:rFonts w:ascii="Times New Roman" w:eastAsia="Times New Roman" w:hAnsi="Times New Roman" w:cs="Times New Roman"/>
          <w:sz w:val="20"/>
          <w:szCs w:val="20"/>
        </w:rPr>
        <w:t xml:space="preserve"> </w:t>
      </w:r>
      <w:r w:rsidR="000D751D" w:rsidRPr="002B4BAD">
        <w:rPr>
          <w:rFonts w:ascii="Times New Roman" w:eastAsia="Times New Roman" w:hAnsi="Times New Roman" w:cs="Times New Roman"/>
          <w:sz w:val="20"/>
          <w:szCs w:val="20"/>
        </w:rPr>
        <w:t xml:space="preserve">requires data on the threat and </w:t>
      </w:r>
      <w:r w:rsidR="00023F1B" w:rsidRPr="002B4BAD">
        <w:rPr>
          <w:rFonts w:ascii="Times New Roman" w:eastAsia="Times New Roman" w:hAnsi="Times New Roman" w:cs="Times New Roman"/>
          <w:sz w:val="20"/>
          <w:szCs w:val="20"/>
        </w:rPr>
        <w:t xml:space="preserve">the response </w:t>
      </w:r>
      <w:r w:rsidR="000D751D" w:rsidRPr="002B4BAD">
        <w:rPr>
          <w:rFonts w:ascii="Times New Roman" w:eastAsia="Times New Roman" w:hAnsi="Times New Roman" w:cs="Times New Roman"/>
          <w:sz w:val="20"/>
          <w:szCs w:val="20"/>
        </w:rPr>
        <w:t>force</w:t>
      </w:r>
      <w:r w:rsidR="00023F1B" w:rsidRPr="002B4BAD">
        <w:rPr>
          <w:rFonts w:ascii="Times New Roman" w:eastAsia="Times New Roman" w:hAnsi="Times New Roman" w:cs="Times New Roman"/>
          <w:sz w:val="20"/>
          <w:szCs w:val="20"/>
        </w:rPr>
        <w:t>. Threat data include</w:t>
      </w:r>
      <w:r w:rsidR="002D6401" w:rsidRPr="002B4BAD">
        <w:rPr>
          <w:rFonts w:ascii="Times New Roman" w:eastAsia="Times New Roman" w:hAnsi="Times New Roman" w:cs="Times New Roman"/>
          <w:sz w:val="20"/>
          <w:szCs w:val="20"/>
        </w:rPr>
        <w:t xml:space="preserve"> threat type</w:t>
      </w:r>
      <w:r w:rsidR="00661A1D" w:rsidRPr="002B4BAD">
        <w:rPr>
          <w:rFonts w:ascii="Times New Roman" w:eastAsia="Times New Roman" w:hAnsi="Times New Roman" w:cs="Times New Roman"/>
          <w:sz w:val="20"/>
          <w:szCs w:val="20"/>
        </w:rPr>
        <w:t>, number of adversaries and their capabilities</w:t>
      </w:r>
      <w:r w:rsidR="00110AA2" w:rsidRPr="002B4BAD">
        <w:rPr>
          <w:rFonts w:ascii="Times New Roman" w:eastAsia="Times New Roman" w:hAnsi="Times New Roman" w:cs="Times New Roman"/>
          <w:sz w:val="20"/>
          <w:szCs w:val="20"/>
        </w:rPr>
        <w:t>, weapons</w:t>
      </w:r>
      <w:r w:rsidR="00017CAF" w:rsidRPr="002B4BAD">
        <w:rPr>
          <w:rFonts w:ascii="Times New Roman" w:eastAsia="Times New Roman" w:hAnsi="Times New Roman" w:cs="Times New Roman"/>
          <w:sz w:val="20"/>
          <w:szCs w:val="20"/>
        </w:rPr>
        <w:t xml:space="preserve"> </w:t>
      </w:r>
      <w:r w:rsidR="00023F1B" w:rsidRPr="002B4BAD">
        <w:rPr>
          <w:rFonts w:ascii="Times New Roman" w:eastAsia="Times New Roman" w:hAnsi="Times New Roman" w:cs="Times New Roman"/>
          <w:sz w:val="20"/>
          <w:szCs w:val="20"/>
        </w:rPr>
        <w:t>and a specific target</w:t>
      </w:r>
      <w:r w:rsidR="00F3464D" w:rsidRPr="002B4BAD">
        <w:rPr>
          <w:rFonts w:ascii="Times New Roman" w:eastAsia="Times New Roman" w:hAnsi="Times New Roman" w:cs="Times New Roman"/>
          <w:sz w:val="20"/>
          <w:szCs w:val="20"/>
        </w:rPr>
        <w:t>. The response force data contain the information about weapons, number of guards and response</w:t>
      </w:r>
      <w:r w:rsidR="00017CAF" w:rsidRPr="002B4BAD">
        <w:rPr>
          <w:rFonts w:ascii="Times New Roman" w:eastAsia="Times New Roman" w:hAnsi="Times New Roman" w:cs="Times New Roman"/>
          <w:sz w:val="20"/>
          <w:szCs w:val="20"/>
        </w:rPr>
        <w:t xml:space="preserve"> time for each target</w:t>
      </w:r>
      <w:r w:rsidR="009B5184" w:rsidRPr="002B4BAD">
        <w:rPr>
          <w:rFonts w:ascii="Times New Roman" w:eastAsia="Times New Roman" w:hAnsi="Times New Roman" w:cs="Times New Roman"/>
          <w:sz w:val="20"/>
          <w:szCs w:val="20"/>
        </w:rPr>
        <w:t>.</w:t>
      </w:r>
      <w:r w:rsidR="00110AA2" w:rsidRPr="002B4BAD">
        <w:rPr>
          <w:rFonts w:ascii="Times New Roman" w:eastAsia="Times New Roman" w:hAnsi="Times New Roman" w:cs="Times New Roman"/>
          <w:sz w:val="20"/>
          <w:szCs w:val="20"/>
        </w:rPr>
        <w:t xml:space="preserve"> </w:t>
      </w:r>
      <w:r w:rsidR="00E94881" w:rsidRPr="002B4BAD">
        <w:rPr>
          <w:rFonts w:ascii="Times New Roman" w:eastAsia="Times New Roman" w:hAnsi="Times New Roman" w:cs="Times New Roman"/>
          <w:sz w:val="20"/>
          <w:szCs w:val="20"/>
        </w:rPr>
        <w:t>Finally the risk associated with adversary’s specific path for any of the malicious act is calculated from the product of probability of system failure, the consequence (C) of the malicious act and the Probability of Attack (P</w:t>
      </w:r>
      <w:r w:rsidR="00E94881" w:rsidRPr="00CB3EE2">
        <w:rPr>
          <w:rFonts w:ascii="Times New Roman" w:eastAsia="Times New Roman" w:hAnsi="Times New Roman" w:cs="Times New Roman"/>
          <w:sz w:val="20"/>
          <w:szCs w:val="20"/>
          <w:vertAlign w:val="subscript"/>
        </w:rPr>
        <w:t>A</w:t>
      </w:r>
      <w:r w:rsidR="00E94881" w:rsidRPr="002B4BAD">
        <w:rPr>
          <w:rFonts w:ascii="Times New Roman" w:eastAsia="Times New Roman" w:hAnsi="Times New Roman" w:cs="Times New Roman"/>
          <w:sz w:val="20"/>
          <w:szCs w:val="20"/>
        </w:rPr>
        <w:t>) as given in equation (1).</w:t>
      </w:r>
    </w:p>
    <w:p w14:paraId="7631683F" w14:textId="77777777" w:rsidR="00CB3EE2" w:rsidRPr="002B4BAD" w:rsidRDefault="00CB3EE2" w:rsidP="00CB3EE2">
      <w:pPr>
        <w:pStyle w:val="BodyText"/>
        <w:spacing w:after="0" w:line="260" w:lineRule="atLeast"/>
        <w:ind w:firstLine="567"/>
        <w:contextualSpacing/>
        <w:jc w:val="both"/>
        <w:rPr>
          <w:rFonts w:ascii="Times New Roman" w:eastAsia="Times New Roman" w:hAnsi="Times New Roman" w:cs="Times New Roman"/>
          <w:sz w:val="20"/>
          <w:szCs w:val="20"/>
        </w:rPr>
      </w:pPr>
    </w:p>
    <w:p w14:paraId="6079362A" w14:textId="77777777" w:rsidR="00E94881" w:rsidRPr="00AA15F1" w:rsidRDefault="00751D10" w:rsidP="00E81AFD">
      <w:pPr>
        <w:spacing w:line="360" w:lineRule="auto"/>
        <w:jc w:val="both"/>
        <w:rPr>
          <w:rFonts w:ascii="Times New Roman" w:hAnsi="Times New Roman" w:cs="Times New Roman"/>
        </w:rPr>
      </w:pPr>
      <w:r>
        <w:rPr>
          <w:rFonts w:ascii="Times New Roman" w:hAnsi="Times New Roman" w:cs="Times New Roman"/>
          <w:noProof/>
        </w:rPr>
        <w:pict w14:anchorId="1947F3DA">
          <v:shapetype id="_x0000_t202" coordsize="21600,21600" o:spt="202" path="m,l,21600r21600,l21600,xe">
            <v:stroke joinstyle="miter"/>
            <v:path gradientshapeok="t" o:connecttype="rect"/>
          </v:shapetype>
          <v:shape id="_x0000_s1029" type="#_x0000_t202" style="position:absolute;left:0;text-align:left;margin-left:348.75pt;margin-top:29.9pt;width:142.5pt;height:147.45pt;z-index:251661312">
            <v:textbox style="mso-next-textbox:#_x0000_s1029">
              <w:txbxContent>
                <w:p w14:paraId="47ED1C39"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GAT – Steel turnstile pedestrian gate </w:t>
                  </w:r>
                </w:p>
                <w:p w14:paraId="6E609DBB"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VEH- Vehicle Entry Gate</w:t>
                  </w:r>
                </w:p>
                <w:p w14:paraId="0B9005C6"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FEN- Fencing around the boundary</w:t>
                  </w:r>
                </w:p>
                <w:p w14:paraId="2F3A33B4"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GAT1, GAT2- </w:t>
                  </w:r>
                </w:p>
                <w:p w14:paraId="66DE51C3"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Iron channel Gate</w:t>
                  </w:r>
                </w:p>
                <w:p w14:paraId="79F389B7"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DOR1-Glass door </w:t>
                  </w:r>
                </w:p>
                <w:p w14:paraId="0EF7368E"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STA1, STA2, STA3- staircase to control building</w:t>
                  </w:r>
                </w:p>
                <w:p w14:paraId="3CF4AFD7"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DOR- wooden pedestrian door</w:t>
                  </w:r>
                </w:p>
                <w:p w14:paraId="120AA52C" w14:textId="77777777"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SUR- Surface of Wall </w:t>
                  </w:r>
                </w:p>
              </w:txbxContent>
            </v:textbox>
          </v:shape>
        </w:pict>
      </w:r>
      <w:r w:rsidR="00E94881" w:rsidRPr="00AA15F1">
        <w:rPr>
          <w:rFonts w:ascii="Times New Roman" w:hAnsi="Times New Roman" w:cs="Times New Roman"/>
          <w:noProof/>
        </w:rPr>
        <w:t xml:space="preserve"> </w:t>
      </w:r>
      <w:r w:rsidR="00E94881" w:rsidRPr="00AA15F1">
        <w:rPr>
          <w:rFonts w:ascii="Times New Roman" w:hAnsi="Times New Roman" w:cs="Times New Roman"/>
          <w:noProof/>
          <w:lang w:val="en-US"/>
        </w:rPr>
        <w:drawing>
          <wp:inline distT="0" distB="0" distL="0" distR="0" wp14:anchorId="7862C390" wp14:editId="7FF5758D">
            <wp:extent cx="4171950" cy="244792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4876800"/>
                      <a:chOff x="685800" y="1295400"/>
                      <a:chExt cx="6934200" cy="4876800"/>
                    </a:xfrm>
                  </a:grpSpPr>
                  <a:sp>
                    <a:nvSpPr>
                      <a:cNvPr id="15" name="Rectangle 14"/>
                      <a:cNvSpPr/>
                    </a:nvSpPr>
                    <a:spPr>
                      <a:xfrm>
                        <a:off x="990600" y="1447800"/>
                        <a:ext cx="6629400" cy="4724400"/>
                      </a:xfrm>
                      <a:prstGeom prst="rect">
                        <a:avLst/>
                      </a:prstGeom>
                      <a:noFill/>
                      <a:ln>
                        <a:solidFill>
                          <a:srgbClr val="04030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3048000" y="2362200"/>
                        <a:ext cx="3124200"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600" dirty="0" smtClean="0"/>
                            <a:t>Protected Area </a:t>
                          </a:r>
                          <a:r>
                            <a:rPr lang="en-US" sz="1600" dirty="0" smtClean="0"/>
                            <a:t>(Main Building)</a:t>
                          </a:r>
                          <a:endParaRPr lang="en-US" sz="1600" dirty="0"/>
                        </a:p>
                      </a:txBody>
                      <a:useSpRect/>
                    </a:txSp>
                  </a:sp>
                  <a:sp>
                    <a:nvSpPr>
                      <a:cNvPr id="18" name="Rectangle 17"/>
                      <a:cNvSpPr/>
                    </a:nvSpPr>
                    <a:spPr>
                      <a:xfrm>
                        <a:off x="1371600" y="2286000"/>
                        <a:ext cx="5638800" cy="3124200"/>
                      </a:xfrm>
                      <a:prstGeom prst="rect">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8"/>
                      <a:cNvSpPr txBox="1"/>
                    </a:nvSpPr>
                    <a:spPr>
                      <a:xfrm>
                        <a:off x="2590800" y="1554163"/>
                        <a:ext cx="304367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(Gate1)</a:t>
                          </a:r>
                          <a:endParaRPr lang="en-US" dirty="0"/>
                        </a:p>
                      </a:txBody>
                      <a:useSpRect/>
                    </a:txSp>
                  </a:sp>
                  <a:sp>
                    <a:nvSpPr>
                      <a:cNvPr id="20" name="TextBox 8"/>
                      <a:cNvSpPr txBox="1"/>
                    </a:nvSpPr>
                    <a:spPr>
                      <a:xfrm>
                        <a:off x="2819400" y="5638800"/>
                        <a:ext cx="304367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(Gate4)</a:t>
                          </a:r>
                          <a:endParaRPr lang="en-US" dirty="0"/>
                        </a:p>
                      </a:txBody>
                      <a:useSpRect/>
                    </a:txSp>
                  </a:sp>
                  <a:sp>
                    <a:nvSpPr>
                      <a:cNvPr id="21" name="TextBox 8"/>
                      <a:cNvSpPr txBox="1"/>
                    </a:nvSpPr>
                    <a:spPr>
                      <a:xfrm rot="5400000">
                        <a:off x="6265616" y="3868984"/>
                        <a:ext cx="201130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(Gate3)</a:t>
                          </a:r>
                          <a:endParaRPr lang="en-US" dirty="0"/>
                        </a:p>
                      </a:txBody>
                      <a:useSpRect/>
                    </a:txSp>
                  </a:sp>
                  <a:sp>
                    <a:nvSpPr>
                      <a:cNvPr id="22" name="TextBox 8"/>
                      <a:cNvSpPr txBox="1"/>
                    </a:nvSpPr>
                    <a:spPr>
                      <a:xfrm rot="16200000">
                        <a:off x="169616" y="3716584"/>
                        <a:ext cx="201130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(Gate2)</a:t>
                          </a:r>
                          <a:endParaRPr lang="en-US" dirty="0"/>
                        </a:p>
                      </a:txBody>
                      <a:useSpRect/>
                    </a:txSp>
                  </a:sp>
                  <a:sp>
                    <a:nvSpPr>
                      <a:cNvPr id="23" name="Rectangle 22"/>
                      <a:cNvSpPr/>
                    </a:nvSpPr>
                    <a:spPr>
                      <a:xfrm>
                        <a:off x="1600200" y="2819400"/>
                        <a:ext cx="5029200" cy="2209800"/>
                      </a:xfrm>
                      <a:prstGeom prst="rect">
                        <a:avLst/>
                      </a:prstGeom>
                      <a:noFill/>
                      <a:ln>
                        <a:solidFill>
                          <a:srgbClr val="FF000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3124200" y="2819400"/>
                        <a:ext cx="3151737"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600" dirty="0" smtClean="0"/>
                            <a:t>Controlled </a:t>
                          </a:r>
                          <a:r>
                            <a:rPr lang="en-US" sz="1600" dirty="0" smtClean="0"/>
                            <a:t>Building</a:t>
                          </a:r>
                          <a:endParaRPr lang="en-US" sz="1600" dirty="0"/>
                        </a:p>
                      </a:txBody>
                      <a:useSpRect/>
                    </a:txSp>
                  </a:sp>
                  <a:sp>
                    <a:nvSpPr>
                      <a:cNvPr id="25" name="Rectangle 24"/>
                      <a:cNvSpPr/>
                    </a:nvSpPr>
                    <a:spPr>
                      <a:xfrm>
                        <a:off x="1905000" y="3124200"/>
                        <a:ext cx="4419600" cy="1676400"/>
                      </a:xfrm>
                      <a:prstGeom prst="rect">
                        <a:avLst/>
                      </a:prstGeom>
                      <a:noFill/>
                      <a:ln>
                        <a:solidFill>
                          <a:srgbClr val="7030A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2895600" y="3048000"/>
                        <a:ext cx="2874111"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100" dirty="0" smtClean="0"/>
                            <a:t>Controlled Room </a:t>
                          </a:r>
                          <a:r>
                            <a:rPr lang="en-US" sz="1100" dirty="0" smtClean="0"/>
                            <a:t>(Research Lab</a:t>
                          </a:r>
                          <a:r>
                            <a:rPr lang="en-US" sz="1100" dirty="0" smtClean="0"/>
                            <a:t>)</a:t>
                          </a:r>
                          <a:endParaRPr lang="en-US" sz="1100" dirty="0"/>
                        </a:p>
                      </a:txBody>
                      <a:useSpRect/>
                    </a:txSp>
                  </a:sp>
                  <a:sp>
                    <a:nvSpPr>
                      <a:cNvPr id="28" name="TextBox 27"/>
                      <a:cNvSpPr txBox="1"/>
                    </a:nvSpPr>
                    <a:spPr>
                      <a:xfrm>
                        <a:off x="2667000" y="3810000"/>
                        <a:ext cx="2799135"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200" dirty="0" smtClean="0"/>
                            <a:t>Target (Source Room)</a:t>
                          </a:r>
                          <a:endParaRPr lang="en-US" sz="1200" dirty="0"/>
                        </a:p>
                      </a:txBody>
                      <a:useSpRect/>
                    </a:txSp>
                  </a:sp>
                  <a:sp>
                    <a:nvSpPr>
                      <a:cNvPr id="30" name="Rectangle 29"/>
                      <a:cNvSpPr/>
                    </a:nvSpPr>
                    <a:spPr bwMode="auto">
                      <a:xfrm>
                        <a:off x="685800" y="55626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a:latin typeface="Courier New" pitchFamily="49" charset="0"/>
                              <a:cs typeface="Courier New" pitchFamily="49" charset="0"/>
                            </a:rPr>
                            <a:t>FEN</a:t>
                          </a:r>
                        </a:p>
                      </a:txBody>
                      <a:useSpRect/>
                    </a:txSp>
                  </a:sp>
                  <a:sp>
                    <a:nvSpPr>
                      <a:cNvPr id="31" name="Rectangle 30"/>
                      <a:cNvSpPr/>
                    </a:nvSpPr>
                    <a:spPr bwMode="auto">
                      <a:xfrm>
                        <a:off x="2438400" y="13716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a:latin typeface="Courier New" pitchFamily="49" charset="0"/>
                              <a:cs typeface="Courier New" pitchFamily="49" charset="0"/>
                            </a:rPr>
                            <a:t>GAT</a:t>
                          </a:r>
                        </a:p>
                      </a:txBody>
                      <a:useSpRect/>
                    </a:txSp>
                  </a:sp>
                  <a:sp>
                    <a:nvSpPr>
                      <a:cNvPr id="32" name="Rectangle 31"/>
                      <a:cNvSpPr/>
                    </a:nvSpPr>
                    <a:spPr bwMode="auto">
                      <a:xfrm>
                        <a:off x="4800600" y="12954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VEH</a:t>
                          </a:r>
                          <a:endParaRPr lang="en-US" sz="1400" dirty="0">
                            <a:latin typeface="Courier New" pitchFamily="49" charset="0"/>
                            <a:cs typeface="Courier New" pitchFamily="49" charset="0"/>
                          </a:endParaRPr>
                        </a:p>
                      </a:txBody>
                      <a:useSpRect/>
                    </a:txSp>
                  </a:sp>
                  <a:sp>
                    <a:nvSpPr>
                      <a:cNvPr id="33" name="Rectangle 32"/>
                      <a:cNvSpPr/>
                    </a:nvSpPr>
                    <a:spPr bwMode="auto">
                      <a:xfrm>
                        <a:off x="1752600" y="2133600"/>
                        <a:ext cx="685800" cy="3587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GAT1</a:t>
                          </a:r>
                          <a:endParaRPr lang="en-US" sz="1400" dirty="0">
                            <a:latin typeface="Courier New" pitchFamily="49" charset="0"/>
                            <a:cs typeface="Courier New" pitchFamily="49" charset="0"/>
                          </a:endParaRPr>
                        </a:p>
                      </a:txBody>
                      <a:useSpRect/>
                    </a:txSp>
                  </a:sp>
                  <a:sp>
                    <a:nvSpPr>
                      <a:cNvPr id="34" name="Rectangle 33"/>
                      <a:cNvSpPr/>
                    </a:nvSpPr>
                    <a:spPr bwMode="auto">
                      <a:xfrm>
                        <a:off x="1981200" y="5257800"/>
                        <a:ext cx="685800" cy="3810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DOR1</a:t>
                          </a:r>
                          <a:endParaRPr lang="en-US" sz="1400" dirty="0">
                            <a:latin typeface="Courier New" pitchFamily="49" charset="0"/>
                            <a:cs typeface="Courier New" pitchFamily="49" charset="0"/>
                          </a:endParaRPr>
                        </a:p>
                      </a:txBody>
                      <a:useSpRect/>
                    </a:txSp>
                  </a:sp>
                  <a:sp>
                    <a:nvSpPr>
                      <a:cNvPr id="35" name="Rectangle 34"/>
                      <a:cNvSpPr/>
                    </a:nvSpPr>
                    <a:spPr bwMode="auto">
                      <a:xfrm>
                        <a:off x="5486400" y="5334000"/>
                        <a:ext cx="609600" cy="3587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GAT2</a:t>
                          </a:r>
                          <a:endParaRPr lang="en-US" sz="1400" dirty="0">
                            <a:latin typeface="Courier New" pitchFamily="49" charset="0"/>
                            <a:cs typeface="Courier New" pitchFamily="49" charset="0"/>
                          </a:endParaRPr>
                        </a:p>
                      </a:txBody>
                      <a:useSpRect/>
                    </a:txSp>
                  </a:sp>
                  <a:sp>
                    <a:nvSpPr>
                      <a:cNvPr id="36" name="Rectangle 35"/>
                      <a:cNvSpPr/>
                    </a:nvSpPr>
                    <a:spPr bwMode="auto">
                      <a:xfrm>
                        <a:off x="1981200" y="2667000"/>
                        <a:ext cx="66675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STA1</a:t>
                          </a:r>
                          <a:endParaRPr lang="en-US" sz="1400" dirty="0">
                            <a:latin typeface="Courier New" pitchFamily="49" charset="0"/>
                            <a:cs typeface="Courier New" pitchFamily="49" charset="0"/>
                          </a:endParaRPr>
                        </a:p>
                      </a:txBody>
                      <a:useSpRect/>
                    </a:txSp>
                  </a:sp>
                  <a:sp>
                    <a:nvSpPr>
                      <a:cNvPr id="37" name="Rectangle 36"/>
                      <a:cNvSpPr/>
                    </a:nvSpPr>
                    <a:spPr bwMode="auto">
                      <a:xfrm>
                        <a:off x="3505200" y="4876800"/>
                        <a:ext cx="66675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STA2</a:t>
                          </a:r>
                          <a:endParaRPr lang="en-US" sz="1400" dirty="0">
                            <a:latin typeface="Courier New" pitchFamily="49" charset="0"/>
                            <a:cs typeface="Courier New" pitchFamily="49" charset="0"/>
                          </a:endParaRPr>
                        </a:p>
                      </a:txBody>
                      <a:useSpRect/>
                    </a:txSp>
                  </a:sp>
                  <a:sp>
                    <a:nvSpPr>
                      <a:cNvPr id="38" name="Rectangle 37"/>
                      <a:cNvSpPr/>
                    </a:nvSpPr>
                    <a:spPr bwMode="auto">
                      <a:xfrm>
                        <a:off x="5867400" y="2667000"/>
                        <a:ext cx="66675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STA3</a:t>
                          </a:r>
                          <a:endParaRPr lang="en-US" sz="1400" dirty="0">
                            <a:latin typeface="Courier New" pitchFamily="49" charset="0"/>
                            <a:cs typeface="Courier New" pitchFamily="49" charset="0"/>
                          </a:endParaRPr>
                        </a:p>
                      </a:txBody>
                      <a:useSpRect/>
                    </a:txSp>
                  </a:sp>
                  <a:sp>
                    <a:nvSpPr>
                      <a:cNvPr id="39" name="Rectangle 38"/>
                      <a:cNvSpPr/>
                    </a:nvSpPr>
                    <a:spPr bwMode="auto">
                      <a:xfrm>
                        <a:off x="2743200" y="2895600"/>
                        <a:ext cx="53340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DOR</a:t>
                          </a:r>
                          <a:endParaRPr lang="en-US" sz="1400" dirty="0">
                            <a:latin typeface="Courier New" pitchFamily="49" charset="0"/>
                            <a:cs typeface="Courier New" pitchFamily="49" charset="0"/>
                          </a:endParaRPr>
                        </a:p>
                      </a:txBody>
                      <a:useSpRect/>
                    </a:txSp>
                  </a:sp>
                  <a:sp>
                    <a:nvSpPr>
                      <a:cNvPr id="40" name="Rectangle 39"/>
                      <a:cNvSpPr/>
                    </a:nvSpPr>
                    <a:spPr bwMode="auto">
                      <a:xfrm>
                        <a:off x="5943600" y="4724400"/>
                        <a:ext cx="4572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000" dirty="0" smtClean="0">
                              <a:latin typeface="Courier New" pitchFamily="49" charset="0"/>
                              <a:cs typeface="Courier New" pitchFamily="49" charset="0"/>
                            </a:rPr>
                            <a:t>SUR</a:t>
                          </a:r>
                          <a:endParaRPr lang="en-US" sz="1000" dirty="0">
                            <a:latin typeface="Courier New" pitchFamily="49" charset="0"/>
                            <a:cs typeface="Courier New" pitchFamily="49" charset="0"/>
                          </a:endParaRPr>
                        </a:p>
                      </a:txBody>
                      <a:useSpRect/>
                    </a:txSp>
                  </a:sp>
                  <a:sp>
                    <a:nvSpPr>
                      <a:cNvPr id="41" name="Rectangle 40"/>
                      <a:cNvSpPr/>
                    </a:nvSpPr>
                    <a:spPr>
                      <a:xfrm>
                        <a:off x="1981200" y="3276600"/>
                        <a:ext cx="4267200" cy="1447800"/>
                      </a:xfrm>
                      <a:prstGeom prst="rect">
                        <a:avLst/>
                      </a:prstGeom>
                      <a:noFill/>
                      <a:ln>
                        <a:solidFill>
                          <a:srgbClr val="00B05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bwMode="auto">
                      <a:xfrm>
                        <a:off x="5486400" y="32004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200" dirty="0" smtClean="0">
                              <a:latin typeface="Courier New" pitchFamily="49" charset="0"/>
                              <a:cs typeface="Courier New" pitchFamily="49" charset="0"/>
                            </a:rPr>
                            <a:t>SUR</a:t>
                          </a:r>
                          <a:endParaRPr lang="en-US" sz="1200" dirty="0">
                            <a:latin typeface="Courier New" pitchFamily="49" charset="0"/>
                            <a:cs typeface="Courier New" pitchFamily="49" charset="0"/>
                          </a:endParaRPr>
                        </a:p>
                      </a:txBody>
                      <a:useSpRect/>
                    </a:txSp>
                  </a:sp>
                  <a:sp>
                    <a:nvSpPr>
                      <a:cNvPr id="45" name="Rectangle 44"/>
                      <a:cNvSpPr/>
                    </a:nvSpPr>
                    <a:spPr bwMode="auto">
                      <a:xfrm>
                        <a:off x="1981200" y="4038600"/>
                        <a:ext cx="533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DOR</a:t>
                          </a:r>
                          <a:endParaRPr lang="en-US" sz="1400" dirty="0">
                            <a:latin typeface="Courier New" pitchFamily="49" charset="0"/>
                            <a:cs typeface="Courier New" pitchFamily="49" charset="0"/>
                          </a:endParaRPr>
                        </a:p>
                      </a:txBody>
                      <a:useSpRect/>
                    </a:txSp>
                  </a:sp>
                  <a:sp>
                    <a:nvSpPr>
                      <a:cNvPr id="29" name="Rectangle 28"/>
                      <a:cNvSpPr/>
                    </a:nvSpPr>
                    <a:spPr>
                      <a:xfrm>
                        <a:off x="5257800" y="4038600"/>
                        <a:ext cx="381000" cy="304800"/>
                      </a:xfrm>
                      <a:prstGeom prst="rect">
                        <a:avLst/>
                      </a:prstGeom>
                      <a:solidFill>
                        <a:srgbClr val="FF0000"/>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TextBox 41"/>
                      <a:cNvSpPr txBox="1"/>
                    </a:nvSpPr>
                    <a:spPr>
                      <a:xfrm>
                        <a:off x="5029200" y="4419600"/>
                        <a:ext cx="1143000"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200" dirty="0" smtClean="0"/>
                            <a:t>Target</a:t>
                          </a:r>
                          <a:endParaRPr lang="en-US" sz="1200" dirty="0"/>
                        </a:p>
                      </a:txBody>
                      <a:useSpRect/>
                    </a:txSp>
                  </a:sp>
                </lc:lockedCanvas>
              </a:graphicData>
            </a:graphic>
          </wp:inline>
        </w:drawing>
      </w:r>
    </w:p>
    <w:p w14:paraId="251FDE13" w14:textId="77777777" w:rsidR="00CA7A00" w:rsidRDefault="00CB3EE2" w:rsidP="00CB3EE2">
      <w:pPr>
        <w:pStyle w:val="Caption"/>
        <w:jc w:val="center"/>
        <w:rPr>
          <w:i/>
        </w:rPr>
      </w:pPr>
      <w:r>
        <w:rPr>
          <w:i/>
        </w:rPr>
        <w:t>FIG. 1.</w:t>
      </w:r>
      <w:r w:rsidR="00E94881" w:rsidRPr="00CB3EE2">
        <w:rPr>
          <w:i/>
        </w:rPr>
        <w:t xml:space="preserve"> Partition of facility into different physical areas                 </w:t>
      </w:r>
    </w:p>
    <w:p w14:paraId="52973932" w14:textId="77777777" w:rsidR="00CB3EE2" w:rsidRPr="00CB3EE2" w:rsidRDefault="00CB3EE2" w:rsidP="00CB3EE2">
      <w:pPr>
        <w:rPr>
          <w:lang w:val="en-US"/>
        </w:rPr>
      </w:pPr>
    </w:p>
    <w:p w14:paraId="0E7A1925" w14:textId="77777777" w:rsidR="00CA7A00" w:rsidRPr="00E3502E" w:rsidRDefault="00B76CBE" w:rsidP="00E3502E">
      <w:pPr>
        <w:pStyle w:val="Heading2"/>
        <w:numPr>
          <w:ilvl w:val="0"/>
          <w:numId w:val="0"/>
        </w:numPr>
      </w:pPr>
      <w:r w:rsidRPr="00E3502E">
        <w:t xml:space="preserve">2.1 </w:t>
      </w:r>
      <w:r w:rsidR="00403608" w:rsidRPr="00E3502E">
        <w:t xml:space="preserve">Sabotage Scenario: </w:t>
      </w:r>
    </w:p>
    <w:p w14:paraId="7D235C15" w14:textId="77777777" w:rsidR="00B53F53"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To use the EASI software, it is required to determine the MVP followed by the adversary. For the case analyzed, the adversary under consideration is an insider who has access to the University. Adversary’s intent is to reach the radioactive material storage vault in the research laboratory at the University and sabotage it. The analysis includes the path travelled by the adversary from the steel turnstile gate (off-site) to the target through various detection and delay elements of the PPS. After getting authorized access, the adversary would be in the protected area. He is using an acetylene torch and a pointed pin to open the door of controlled room and research laboratory.</w:t>
      </w:r>
    </w:p>
    <w:p w14:paraId="509081F2" w14:textId="77777777" w:rsidR="00E3502E" w:rsidRPr="00E3502E" w:rsidRDefault="00E3502E" w:rsidP="00E3502E">
      <w:pPr>
        <w:pStyle w:val="BodyText"/>
        <w:spacing w:after="0" w:line="260" w:lineRule="atLeast"/>
        <w:ind w:firstLine="567"/>
        <w:contextualSpacing/>
        <w:jc w:val="both"/>
        <w:rPr>
          <w:rFonts w:ascii="Times New Roman" w:eastAsia="Times New Roman" w:hAnsi="Times New Roman" w:cs="Times New Roman"/>
          <w:sz w:val="20"/>
          <w:szCs w:val="20"/>
        </w:rPr>
      </w:pPr>
    </w:p>
    <w:p w14:paraId="52D6058B" w14:textId="77777777" w:rsidR="00B53F53" w:rsidRPr="00E3502E" w:rsidRDefault="00B53F53" w:rsidP="00E3502E">
      <w:pPr>
        <w:pStyle w:val="Heading2"/>
        <w:numPr>
          <w:ilvl w:val="0"/>
          <w:numId w:val="8"/>
        </w:numPr>
      </w:pPr>
      <w:r w:rsidRPr="00E3502E">
        <w:t xml:space="preserve">Results &amp; Discussion: </w:t>
      </w:r>
    </w:p>
    <w:p w14:paraId="779F7D29" w14:textId="77777777" w:rsidR="00B53F53"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The main aim of the work is to analyze the MVP for the sabotage scenario. ASD is created with all the protection layers (offsite, protected area, controlled building etc.) and the security elements (fence, vehicle entry gate, st</w:t>
      </w:r>
      <w:r w:rsidR="00E3502E">
        <w:rPr>
          <w:rFonts w:ascii="Times New Roman" w:eastAsia="Times New Roman" w:hAnsi="Times New Roman" w:cs="Times New Roman"/>
          <w:sz w:val="20"/>
          <w:szCs w:val="20"/>
        </w:rPr>
        <w:t>eel turnstile gate etc.). FIG.</w:t>
      </w:r>
      <w:r w:rsidRPr="00E3502E">
        <w:rPr>
          <w:rFonts w:ascii="Times New Roman" w:eastAsia="Times New Roman" w:hAnsi="Times New Roman" w:cs="Times New Roman"/>
          <w:sz w:val="20"/>
          <w:szCs w:val="20"/>
        </w:rPr>
        <w:t xml:space="preserve"> 2 shows the ASD for the hypothetical research laboratory for a specific path [</w:t>
      </w:r>
      <w:r w:rsidR="00D20E42" w:rsidRPr="00E3502E">
        <w:rPr>
          <w:rFonts w:ascii="Times New Roman" w:eastAsia="Times New Roman" w:hAnsi="Times New Roman" w:cs="Times New Roman"/>
          <w:sz w:val="20"/>
          <w:szCs w:val="20"/>
        </w:rPr>
        <w:t xml:space="preserve">2, </w:t>
      </w:r>
      <w:r w:rsidR="00261910" w:rsidRPr="00E3502E">
        <w:rPr>
          <w:rFonts w:ascii="Times New Roman" w:eastAsia="Times New Roman" w:hAnsi="Times New Roman" w:cs="Times New Roman"/>
          <w:sz w:val="20"/>
          <w:szCs w:val="20"/>
        </w:rPr>
        <w:t>9</w:t>
      </w:r>
      <w:r w:rsidRPr="00E3502E">
        <w:rPr>
          <w:rFonts w:ascii="Times New Roman" w:eastAsia="Times New Roman" w:hAnsi="Times New Roman" w:cs="Times New Roman"/>
          <w:sz w:val="20"/>
          <w:szCs w:val="20"/>
        </w:rPr>
        <w:t>]. The boxes in the ASD consist of two values; the value on the left side shows the P</w:t>
      </w:r>
      <w:r w:rsidRPr="00E3502E">
        <w:rPr>
          <w:rFonts w:ascii="Times New Roman" w:eastAsia="Times New Roman" w:hAnsi="Times New Roman" w:cs="Times New Roman"/>
          <w:sz w:val="20"/>
          <w:szCs w:val="20"/>
          <w:vertAlign w:val="subscript"/>
        </w:rPr>
        <w:t>D</w:t>
      </w:r>
      <w:r w:rsidRPr="00E3502E">
        <w:rPr>
          <w:rFonts w:ascii="Times New Roman" w:eastAsia="Times New Roman" w:hAnsi="Times New Roman" w:cs="Times New Roman"/>
          <w:sz w:val="20"/>
          <w:szCs w:val="20"/>
        </w:rPr>
        <w:t xml:space="preserve"> value of the security element and the second value on right side shows the t</w:t>
      </w:r>
      <w:r w:rsidRPr="00E3502E">
        <w:rPr>
          <w:rFonts w:ascii="Times New Roman" w:eastAsia="Times New Roman" w:hAnsi="Times New Roman" w:cs="Times New Roman"/>
          <w:sz w:val="20"/>
          <w:szCs w:val="20"/>
          <w:vertAlign w:val="subscript"/>
        </w:rPr>
        <w:t>D</w:t>
      </w:r>
      <w:r w:rsidRPr="00E3502E">
        <w:rPr>
          <w:rFonts w:ascii="Times New Roman" w:eastAsia="Times New Roman" w:hAnsi="Times New Roman" w:cs="Times New Roman"/>
          <w:sz w:val="20"/>
          <w:szCs w:val="20"/>
        </w:rPr>
        <w:t xml:space="preserve"> value in seconds. </w:t>
      </w:r>
    </w:p>
    <w:p w14:paraId="3C917BAA" w14:textId="77777777" w:rsidR="00E3502E" w:rsidRPr="00E3502E" w:rsidRDefault="00E3502E" w:rsidP="00E3502E">
      <w:pPr>
        <w:pStyle w:val="BodyText"/>
        <w:spacing w:after="0" w:line="260" w:lineRule="atLeast"/>
        <w:ind w:firstLine="567"/>
        <w:contextualSpacing/>
        <w:jc w:val="both"/>
        <w:rPr>
          <w:rFonts w:ascii="Times New Roman" w:eastAsia="Times New Roman" w:hAnsi="Times New Roman" w:cs="Times New Roman"/>
          <w:sz w:val="20"/>
          <w:szCs w:val="20"/>
        </w:rPr>
      </w:pPr>
    </w:p>
    <w:p w14:paraId="344206A5" w14:textId="77777777" w:rsidR="00B53F53" w:rsidRPr="00AA15F1" w:rsidRDefault="00B53F53" w:rsidP="00E81AFD">
      <w:pPr>
        <w:spacing w:line="360" w:lineRule="auto"/>
        <w:jc w:val="both"/>
        <w:rPr>
          <w:rFonts w:ascii="Times New Roman" w:hAnsi="Times New Roman" w:cs="Times New Roman"/>
          <w:b/>
        </w:rPr>
      </w:pPr>
      <w:r w:rsidRPr="00AA15F1">
        <w:rPr>
          <w:rFonts w:ascii="Times New Roman" w:hAnsi="Times New Roman" w:cs="Times New Roman"/>
          <w:b/>
        </w:rPr>
        <w:t xml:space="preserve">                   </w:t>
      </w:r>
      <w:r w:rsidRPr="00AA15F1">
        <w:rPr>
          <w:rFonts w:ascii="Times New Roman" w:hAnsi="Times New Roman" w:cs="Times New Roman"/>
          <w:b/>
          <w:noProof/>
          <w:lang w:val="en-US"/>
        </w:rPr>
        <w:drawing>
          <wp:inline distT="0" distB="0" distL="0" distR="0" wp14:anchorId="06ABA760" wp14:editId="0240B8D0">
            <wp:extent cx="4438650" cy="2495550"/>
            <wp:effectExtent l="19050" t="0" r="0" b="0"/>
            <wp:docPr id="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5741445"/>
                      <a:chOff x="685800" y="914400"/>
                      <a:chExt cx="7772400" cy="5741445"/>
                    </a:xfrm>
                  </a:grpSpPr>
                  <a:sp>
                    <a:nvSpPr>
                      <a:cNvPr id="5" name="Rectangle 4"/>
                      <a:cNvSpPr/>
                    </a:nvSpPr>
                    <a:spPr bwMode="auto">
                      <a:xfrm>
                        <a:off x="685800" y="9144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b="1" dirty="0">
                              <a:solidFill>
                                <a:srgbClr val="040300"/>
                              </a:solidFill>
                              <a:latin typeface="Times New Roman" pitchFamily="18" charset="0"/>
                            </a:rPr>
                            <a:t>Offsite</a:t>
                          </a:r>
                        </a:p>
                      </a:txBody>
                      <a:useSpRect/>
                    </a:txSp>
                  </a:sp>
                  <a:sp>
                    <a:nvSpPr>
                      <a:cNvPr id="6" name="Rectangle 5"/>
                      <a:cNvSpPr/>
                    </a:nvSpPr>
                    <a:spPr bwMode="auto">
                      <a:xfrm>
                        <a:off x="685800" y="18288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Protected Area </a:t>
                          </a:r>
                          <a:r>
                            <a:rPr lang="en-US" sz="1400" b="1" dirty="0" smtClean="0">
                              <a:solidFill>
                                <a:srgbClr val="040300"/>
                              </a:solidFill>
                              <a:latin typeface="Times New Roman" pitchFamily="18" charset="0"/>
                            </a:rPr>
                            <a:t>(</a:t>
                          </a:r>
                          <a:r>
                            <a:rPr lang="en-US" sz="1400" b="1" dirty="0" smtClean="0">
                              <a:solidFill>
                                <a:srgbClr val="040300"/>
                              </a:solidFill>
                              <a:latin typeface="Times New Roman" pitchFamily="18" charset="0"/>
                            </a:rPr>
                            <a:t>M</a:t>
                          </a:r>
                          <a:r>
                            <a:rPr lang="en-US" sz="1400" b="1" dirty="0" smtClean="0">
                              <a:solidFill>
                                <a:srgbClr val="040300"/>
                              </a:solidFill>
                              <a:latin typeface="Times New Roman" pitchFamily="18" charset="0"/>
                            </a:rPr>
                            <a:t>ain</a:t>
                          </a:r>
                          <a:r>
                            <a:rPr lang="en-US" sz="1400" b="1" dirty="0" smtClean="0">
                              <a:solidFill>
                                <a:srgbClr val="040300"/>
                              </a:solidFill>
                              <a:latin typeface="Times New Roman" pitchFamily="18" charset="0"/>
                            </a:rPr>
                            <a:t> </a:t>
                          </a:r>
                          <a:r>
                            <a:rPr lang="en-US" sz="1400" b="1" dirty="0" smtClean="0">
                              <a:solidFill>
                                <a:srgbClr val="040300"/>
                              </a:solidFill>
                              <a:latin typeface="Times New Roman" pitchFamily="18" charset="0"/>
                            </a:rPr>
                            <a:t>Building)</a:t>
                          </a:r>
                          <a:endParaRPr lang="en-US" sz="1400" b="1" dirty="0">
                            <a:solidFill>
                              <a:srgbClr val="040300"/>
                            </a:solidFill>
                            <a:latin typeface="Times New Roman" pitchFamily="18" charset="0"/>
                          </a:endParaRPr>
                        </a:p>
                      </a:txBody>
                      <a:useSpRect/>
                    </a:txSp>
                  </a:sp>
                  <a:sp>
                    <a:nvSpPr>
                      <a:cNvPr id="7" name="Rectangle 6"/>
                      <a:cNvSpPr/>
                    </a:nvSpPr>
                    <a:spPr bwMode="auto">
                      <a:xfrm>
                        <a:off x="685800" y="28194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Exact floor</a:t>
                          </a:r>
                          <a:endParaRPr lang="en-US" sz="1400" b="1" dirty="0">
                            <a:solidFill>
                              <a:srgbClr val="040300"/>
                            </a:solidFill>
                            <a:latin typeface="Times New Roman" pitchFamily="18" charset="0"/>
                          </a:endParaRPr>
                        </a:p>
                      </a:txBody>
                      <a:useSpRect/>
                    </a:txSp>
                  </a:sp>
                  <a:sp>
                    <a:nvSpPr>
                      <a:cNvPr id="8" name="Rectangle 7"/>
                      <a:cNvSpPr/>
                    </a:nvSpPr>
                    <a:spPr bwMode="auto">
                      <a:xfrm>
                        <a:off x="685800" y="45720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Controlled Room </a:t>
                          </a:r>
                          <a:r>
                            <a:rPr lang="en-US" sz="1400" b="1" dirty="0" smtClean="0">
                              <a:solidFill>
                                <a:srgbClr val="040300"/>
                              </a:solidFill>
                              <a:latin typeface="Times New Roman" pitchFamily="18" charset="0"/>
                            </a:rPr>
                            <a:t>(</a:t>
                          </a:r>
                          <a:r>
                            <a:rPr lang="en-US" sz="1400" b="1" dirty="0" err="1" smtClean="0">
                              <a:solidFill>
                                <a:srgbClr val="040300"/>
                              </a:solidFill>
                              <a:latin typeface="Times New Roman" pitchFamily="18" charset="0"/>
                            </a:rPr>
                            <a:t>ResearchLab</a:t>
                          </a:r>
                          <a:r>
                            <a:rPr lang="en-US" sz="1400" b="1" dirty="0" smtClean="0">
                              <a:solidFill>
                                <a:srgbClr val="040300"/>
                              </a:solidFill>
                              <a:latin typeface="Times New Roman" pitchFamily="18" charset="0"/>
                            </a:rPr>
                            <a:t>) </a:t>
                          </a:r>
                          <a:endParaRPr lang="en-US" sz="1400" b="1" dirty="0">
                            <a:solidFill>
                              <a:srgbClr val="040300"/>
                            </a:solidFill>
                            <a:latin typeface="Times New Roman" pitchFamily="18" charset="0"/>
                          </a:endParaRPr>
                        </a:p>
                      </a:txBody>
                      <a:useSpRect/>
                    </a:txSp>
                  </a:sp>
                  <a:sp>
                    <a:nvSpPr>
                      <a:cNvPr id="9" name="Rectangle 8"/>
                      <a:cNvSpPr/>
                    </a:nvSpPr>
                    <a:spPr bwMode="auto">
                      <a:xfrm>
                        <a:off x="685800" y="5436644"/>
                        <a:ext cx="7772400" cy="27835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Target Area </a:t>
                          </a:r>
                          <a:r>
                            <a:rPr lang="en-US" sz="1400" b="1" dirty="0" smtClean="0">
                              <a:solidFill>
                                <a:srgbClr val="040300"/>
                              </a:solidFill>
                              <a:latin typeface="Times New Roman" pitchFamily="18" charset="0"/>
                            </a:rPr>
                            <a:t>(Storage Vault)</a:t>
                          </a:r>
                          <a:endParaRPr lang="en-US" sz="1400" b="1" dirty="0">
                            <a:solidFill>
                              <a:srgbClr val="040300"/>
                            </a:solidFill>
                            <a:latin typeface="Times New Roman" pitchFamily="18" charset="0"/>
                          </a:endParaRPr>
                        </a:p>
                      </a:txBody>
                      <a:useSpRect/>
                    </a:txSp>
                  </a:sp>
                  <a:sp>
                    <a:nvSpPr>
                      <a:cNvPr id="10" name="Rectangle 9"/>
                      <a:cNvSpPr/>
                    </a:nvSpPr>
                    <a:spPr bwMode="auto">
                      <a:xfrm>
                        <a:off x="685800" y="6427245"/>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b="1" dirty="0" smtClean="0">
                              <a:solidFill>
                                <a:srgbClr val="040300"/>
                              </a:solidFill>
                              <a:latin typeface="Times New Roman" pitchFamily="18" charset="0"/>
                            </a:rPr>
                            <a:t>Target</a:t>
                          </a:r>
                          <a:endParaRPr lang="en-US" sz="1400" b="1" dirty="0">
                            <a:solidFill>
                              <a:srgbClr val="040300"/>
                            </a:solidFill>
                            <a:latin typeface="Times New Roman" pitchFamily="18" charset="0"/>
                          </a:endParaRPr>
                        </a:p>
                      </a:txBody>
                      <a:useSpRect/>
                    </a:txSp>
                  </a:sp>
                  <a:sp>
                    <a:nvSpPr>
                      <a:cNvPr id="11" name="Rectangle 10"/>
                      <a:cNvSpPr/>
                    </a:nvSpPr>
                    <a:spPr bwMode="auto">
                      <a:xfrm>
                        <a:off x="838200" y="1143000"/>
                        <a:ext cx="7315200" cy="6858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2" name="Rectangle 11"/>
                      <a:cNvSpPr/>
                    </a:nvSpPr>
                    <a:spPr bwMode="auto">
                      <a:xfrm>
                        <a:off x="838200" y="2057400"/>
                        <a:ext cx="7315200" cy="7620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3" name="Rectangle 12"/>
                      <a:cNvSpPr/>
                    </a:nvSpPr>
                    <a:spPr bwMode="auto">
                      <a:xfrm>
                        <a:off x="838200" y="3048000"/>
                        <a:ext cx="7315200" cy="6096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4" name="Rectangle 13"/>
                      <a:cNvSpPr/>
                    </a:nvSpPr>
                    <a:spPr bwMode="auto">
                      <a:xfrm>
                        <a:off x="914400" y="4800601"/>
                        <a:ext cx="7315200" cy="636044"/>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5" name="Rectangle 14"/>
                      <a:cNvSpPr/>
                    </a:nvSpPr>
                    <a:spPr bwMode="auto">
                      <a:xfrm>
                        <a:off x="914400" y="5715000"/>
                        <a:ext cx="7315200" cy="6858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grpSp>
                    <a:nvGrpSpPr>
                      <a:cNvPr id="16" name="Group 43"/>
                      <a:cNvGrpSpPr/>
                    </a:nvGrpSpPr>
                    <a:grpSpPr>
                      <a:xfrm>
                        <a:off x="1676400" y="2057400"/>
                        <a:ext cx="1219200" cy="685800"/>
                        <a:chOff x="1447800" y="685800"/>
                        <a:chExt cx="1219200" cy="762000"/>
                      </a:xfrm>
                      <a:noFill/>
                    </a:grpSpPr>
                    <a:sp>
                      <a:nvSpPr>
                        <a:cNvPr id="17" name="Rectangle 16"/>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GAT1</a:t>
                            </a:r>
                            <a:endParaRPr lang="en-US" sz="1600" b="1" dirty="0">
                              <a:solidFill>
                                <a:srgbClr val="1D3362"/>
                              </a:solidFill>
                              <a:latin typeface="Courier New" pitchFamily="49" charset="0"/>
                              <a:cs typeface="Courier New" pitchFamily="49" charset="0"/>
                            </a:endParaRPr>
                          </a:p>
                        </a:txBody>
                        <a:useSpRect/>
                      </a:txSp>
                    </a:sp>
                    <a:cxnSp>
                      <a:nvCxnSpPr>
                        <a:cNvPr id="18" name="Straight Connector 17"/>
                        <a:cNvCxnSpPr>
                          <a:stCxn id="17"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19" name="Straight Connector 18"/>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20" name="Rectangle 19"/>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0.6</a:t>
                            </a:r>
                            <a:endParaRPr lang="en-US" sz="1400" dirty="0">
                              <a:solidFill>
                                <a:srgbClr val="1D3362"/>
                              </a:solidFill>
                              <a:latin typeface="Courier New" pitchFamily="49" charset="0"/>
                              <a:cs typeface="Courier New" pitchFamily="49" charset="0"/>
                            </a:endParaRPr>
                          </a:p>
                        </a:txBody>
                        <a:useSpRect/>
                      </a:txSp>
                    </a:sp>
                    <a:sp>
                      <a:nvSpPr>
                        <a:cNvPr id="21" name="Rectangle 20"/>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45</a:t>
                            </a:r>
                            <a:endParaRPr lang="en-US" sz="1400" dirty="0">
                              <a:solidFill>
                                <a:srgbClr val="1D3362"/>
                              </a:solidFill>
                              <a:latin typeface="Courier New" pitchFamily="49" charset="0"/>
                              <a:cs typeface="Courier New" pitchFamily="49" charset="0"/>
                            </a:endParaRPr>
                          </a:p>
                        </a:txBody>
                        <a:useSpRect/>
                      </a:txSp>
                    </a:sp>
                  </a:grpSp>
                  <a:grpSp>
                    <a:nvGrpSpPr>
                      <a:cNvPr id="22" name="Group 49"/>
                      <a:cNvGrpSpPr/>
                    </a:nvGrpSpPr>
                    <a:grpSpPr>
                      <a:xfrm>
                        <a:off x="3810000" y="2057400"/>
                        <a:ext cx="1219200" cy="712245"/>
                        <a:chOff x="1447800" y="685800"/>
                        <a:chExt cx="1219200" cy="762000"/>
                      </a:xfrm>
                      <a:solidFill>
                        <a:srgbClr val="92D050"/>
                      </a:solidFill>
                    </a:grpSpPr>
                    <a:sp>
                      <a:nvSpPr>
                        <a:cNvPr id="23" name="Rectangle 22"/>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24" name="Straight Connector 23"/>
                        <a:cNvCxnSpPr>
                          <a:stCxn id="23"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25" name="Straight Connector 24"/>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26" name="Rectangle 25"/>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0.5</a:t>
                            </a:r>
                            <a:endParaRPr lang="en-US" sz="1400" dirty="0">
                              <a:solidFill>
                                <a:srgbClr val="1D3362"/>
                              </a:solidFill>
                              <a:latin typeface="Courier New" pitchFamily="49" charset="0"/>
                              <a:cs typeface="Courier New" pitchFamily="49" charset="0"/>
                            </a:endParaRPr>
                          </a:p>
                        </a:txBody>
                        <a:useSpRect/>
                      </a:txSp>
                    </a:sp>
                    <a:sp>
                      <a:nvSpPr>
                        <a:cNvPr id="27" name="Rectangle 26"/>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25</a:t>
                            </a:r>
                            <a:endParaRPr lang="en-US" sz="1400" dirty="0">
                              <a:solidFill>
                                <a:srgbClr val="1D3362"/>
                              </a:solidFill>
                              <a:latin typeface="Courier New" pitchFamily="49" charset="0"/>
                              <a:cs typeface="Courier New" pitchFamily="49" charset="0"/>
                            </a:endParaRPr>
                          </a:p>
                        </a:txBody>
                        <a:useSpRect/>
                      </a:txSp>
                    </a:sp>
                  </a:grpSp>
                  <a:grpSp>
                    <a:nvGrpSpPr>
                      <a:cNvPr id="28" name="Group 55"/>
                      <a:cNvGrpSpPr/>
                    </a:nvGrpSpPr>
                    <a:grpSpPr>
                      <a:xfrm>
                        <a:off x="5943600" y="2057400"/>
                        <a:ext cx="1219200" cy="685800"/>
                        <a:chOff x="1447800" y="685800"/>
                        <a:chExt cx="1219200" cy="685800"/>
                      </a:xfrm>
                      <a:solidFill>
                        <a:schemeClr val="accent3"/>
                      </a:solidFill>
                    </a:grpSpPr>
                    <a:sp>
                      <a:nvSpPr>
                        <a:cNvPr id="29" name="Rectangle 28"/>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GAT2</a:t>
                            </a:r>
                            <a:endParaRPr lang="en-US" sz="1600" b="1" dirty="0">
                              <a:solidFill>
                                <a:srgbClr val="1D3362"/>
                              </a:solidFill>
                              <a:latin typeface="Courier New" pitchFamily="49" charset="0"/>
                              <a:cs typeface="Courier New" pitchFamily="49" charset="0"/>
                            </a:endParaRPr>
                          </a:p>
                        </a:txBody>
                        <a:useSpRect/>
                      </a:txSp>
                    </a:sp>
                    <a:cxnSp>
                      <a:nvCxnSpPr>
                        <a:cNvPr id="30" name="Straight Connector 29"/>
                        <a:cNvCxnSpPr>
                          <a:stCxn id="29"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31" name="Straight Connector 30"/>
                        <a:cNvCxnSpPr/>
                      </a:nvCxnSpPr>
                      <a:spPr bwMode="auto">
                        <a:xfrm>
                          <a:off x="2057400" y="1295400"/>
                          <a:ext cx="0" cy="76200"/>
                        </a:xfrm>
                        <a:prstGeom prst="line">
                          <a:avLst/>
                        </a:prstGeom>
                        <a:grpFill/>
                        <a:ln w="9525" cap="flat" cmpd="sng" algn="ctr">
                          <a:solidFill>
                            <a:schemeClr val="tx1"/>
                          </a:solidFill>
                          <a:prstDash val="solid"/>
                          <a:round/>
                          <a:headEnd type="none" w="med" len="med"/>
                          <a:tailEnd type="none" w="med" len="med"/>
                        </a:ln>
                        <a:effectLst/>
                      </a:spPr>
                    </a:cxnSp>
                    <a:sp>
                      <a:nvSpPr>
                        <a:cNvPr id="32" name="Rectangle 31"/>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0.5</a:t>
                            </a:r>
                            <a:endParaRPr lang="en-US" sz="1400" dirty="0">
                              <a:solidFill>
                                <a:srgbClr val="1D3362"/>
                              </a:solidFill>
                              <a:latin typeface="Courier New" pitchFamily="49" charset="0"/>
                              <a:cs typeface="Courier New" pitchFamily="49" charset="0"/>
                            </a:endParaRPr>
                          </a:p>
                        </a:txBody>
                        <a:useSpRect/>
                      </a:txSp>
                    </a:sp>
                    <a:sp>
                      <a:nvSpPr>
                        <a:cNvPr id="33" name="Rectangle 32"/>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25</a:t>
                            </a:r>
                            <a:endParaRPr lang="en-US" sz="1400" dirty="0">
                              <a:solidFill>
                                <a:srgbClr val="1D3362"/>
                              </a:solidFill>
                              <a:latin typeface="Courier New" pitchFamily="49" charset="0"/>
                              <a:cs typeface="Courier New" pitchFamily="49" charset="0"/>
                            </a:endParaRPr>
                          </a:p>
                        </a:txBody>
                        <a:useSpRect/>
                      </a:txSp>
                    </a:sp>
                  </a:grpSp>
                  <a:grpSp>
                    <a:nvGrpSpPr>
                      <a:cNvPr id="34" name="Group 61"/>
                      <a:cNvGrpSpPr/>
                    </a:nvGrpSpPr>
                    <a:grpSpPr>
                      <a:xfrm>
                        <a:off x="1676400" y="3048000"/>
                        <a:ext cx="1219200" cy="609600"/>
                        <a:chOff x="1447800" y="685800"/>
                        <a:chExt cx="1219200" cy="762000"/>
                      </a:xfrm>
                      <a:noFill/>
                    </a:grpSpPr>
                    <a:sp>
                      <a:nvSpPr>
                        <a:cNvPr id="35" name="Rectangle 34"/>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STAR1</a:t>
                            </a:r>
                            <a:endParaRPr lang="en-US" sz="1600" b="1" dirty="0">
                              <a:solidFill>
                                <a:srgbClr val="1D3362"/>
                              </a:solidFill>
                              <a:latin typeface="Courier New" pitchFamily="49" charset="0"/>
                              <a:cs typeface="Courier New" pitchFamily="49" charset="0"/>
                            </a:endParaRPr>
                          </a:p>
                        </a:txBody>
                        <a:useSpRect/>
                      </a:txSp>
                    </a:sp>
                    <a:cxnSp>
                      <a:nvCxnSpPr>
                        <a:cNvPr id="36" name="Straight Connector 35"/>
                        <a:cNvCxnSpPr>
                          <a:stCxn id="35"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38" name="Rectangle 37"/>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0.02</a:t>
                            </a:r>
                            <a:endParaRPr lang="en-US" sz="1400" dirty="0">
                              <a:solidFill>
                                <a:srgbClr val="1D3362"/>
                              </a:solidFill>
                              <a:latin typeface="Courier New" pitchFamily="49" charset="0"/>
                              <a:cs typeface="Courier New" pitchFamily="49" charset="0"/>
                            </a:endParaRPr>
                          </a:p>
                        </a:txBody>
                        <a:useSpRect/>
                      </a:txSp>
                    </a:sp>
                    <a:sp>
                      <a:nvSpPr>
                        <a:cNvPr id="39" name="Rectangle 38"/>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50</a:t>
                            </a:r>
                            <a:endParaRPr lang="en-US" sz="1400" dirty="0">
                              <a:solidFill>
                                <a:srgbClr val="1D3362"/>
                              </a:solidFill>
                              <a:latin typeface="Courier New" pitchFamily="49" charset="0"/>
                              <a:cs typeface="Courier New" pitchFamily="49" charset="0"/>
                            </a:endParaRPr>
                          </a:p>
                        </a:txBody>
                        <a:useSpRect/>
                      </a:txSp>
                    </a:sp>
                  </a:grpSp>
                  <a:grpSp>
                    <a:nvGrpSpPr>
                      <a:cNvPr id="40" name="Group 67"/>
                      <a:cNvGrpSpPr/>
                    </a:nvGrpSpPr>
                    <a:grpSpPr>
                      <a:xfrm>
                        <a:off x="3810000" y="3048000"/>
                        <a:ext cx="1219200" cy="609600"/>
                        <a:chOff x="1447800" y="685800"/>
                        <a:chExt cx="1219200" cy="762000"/>
                      </a:xfrm>
                      <a:solidFill>
                        <a:schemeClr val="accent3"/>
                      </a:solidFill>
                    </a:grpSpPr>
                    <a:sp>
                      <a:nvSpPr>
                        <a:cNvPr id="41" name="Rectangle 40"/>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STAR2</a:t>
                            </a:r>
                            <a:endParaRPr lang="en-US" sz="1600" b="1" dirty="0">
                              <a:solidFill>
                                <a:srgbClr val="1D3362"/>
                              </a:solidFill>
                              <a:latin typeface="Courier New" pitchFamily="49" charset="0"/>
                              <a:cs typeface="Courier New" pitchFamily="49" charset="0"/>
                            </a:endParaRPr>
                          </a:p>
                        </a:txBody>
                        <a:useSpRect/>
                      </a:txSp>
                    </a:sp>
                    <a:cxnSp>
                      <a:nvCxnSpPr>
                        <a:cNvPr id="42" name="Straight Connector 41"/>
                        <a:cNvCxnSpPr>
                          <a:stCxn id="41"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43" name="Straight Connector 42"/>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44" name="Rectangle 43"/>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0.02</a:t>
                            </a:r>
                            <a:endParaRPr lang="en-US" sz="1400" dirty="0">
                              <a:solidFill>
                                <a:srgbClr val="1D3362"/>
                              </a:solidFill>
                              <a:latin typeface="Courier New" pitchFamily="49" charset="0"/>
                              <a:cs typeface="Courier New" pitchFamily="49" charset="0"/>
                            </a:endParaRPr>
                          </a:p>
                        </a:txBody>
                        <a:useSpRect/>
                      </a:txSp>
                    </a:sp>
                    <a:sp>
                      <a:nvSpPr>
                        <a:cNvPr id="45" name="Rectangle 44"/>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54</a:t>
                            </a:r>
                            <a:endParaRPr lang="en-US" sz="1400" dirty="0">
                              <a:solidFill>
                                <a:srgbClr val="1D3362"/>
                              </a:solidFill>
                              <a:latin typeface="Courier New" pitchFamily="49" charset="0"/>
                              <a:cs typeface="Courier New" pitchFamily="49" charset="0"/>
                            </a:endParaRPr>
                          </a:p>
                        </a:txBody>
                        <a:useSpRect/>
                      </a:txSp>
                    </a:sp>
                  </a:grpSp>
                  <a:grpSp>
                    <a:nvGrpSpPr>
                      <a:cNvPr id="46" name="Group 73"/>
                      <a:cNvGrpSpPr/>
                    </a:nvGrpSpPr>
                    <a:grpSpPr>
                      <a:xfrm>
                        <a:off x="5943600" y="3048000"/>
                        <a:ext cx="1219200" cy="609600"/>
                        <a:chOff x="1447800" y="685800"/>
                        <a:chExt cx="1219200" cy="762000"/>
                      </a:xfrm>
                      <a:solidFill>
                        <a:srgbClr val="92D050"/>
                      </a:solidFill>
                    </a:grpSpPr>
                    <a:sp>
                      <a:nvSpPr>
                        <a:cNvPr id="47" name="Rectangle 46"/>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STAR3</a:t>
                            </a:r>
                            <a:endParaRPr lang="en-US" sz="1600" b="1" dirty="0">
                              <a:solidFill>
                                <a:srgbClr val="1D3362"/>
                              </a:solidFill>
                              <a:latin typeface="Courier New" pitchFamily="49" charset="0"/>
                              <a:cs typeface="Courier New" pitchFamily="49" charset="0"/>
                            </a:endParaRPr>
                          </a:p>
                        </a:txBody>
                        <a:useSpRect/>
                      </a:txSp>
                    </a:sp>
                    <a:cxnSp>
                      <a:nvCxnSpPr>
                        <a:cNvPr id="48" name="Straight Connector 47"/>
                        <a:cNvCxnSpPr>
                          <a:stCxn id="47"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49" name="Straight Connector 48"/>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50" name="Rectangle 49"/>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0.02</a:t>
                            </a:r>
                            <a:endParaRPr lang="en-US" sz="1400" dirty="0">
                              <a:solidFill>
                                <a:srgbClr val="1D3362"/>
                              </a:solidFill>
                              <a:latin typeface="Courier New" pitchFamily="49" charset="0"/>
                              <a:cs typeface="Courier New" pitchFamily="49" charset="0"/>
                            </a:endParaRPr>
                          </a:p>
                        </a:txBody>
                        <a:useSpRect/>
                      </a:txSp>
                    </a:sp>
                    <a:sp>
                      <a:nvSpPr>
                        <a:cNvPr id="51" name="Rectangle 50"/>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42</a:t>
                            </a:r>
                            <a:endParaRPr lang="en-US" sz="1400" dirty="0">
                              <a:solidFill>
                                <a:srgbClr val="1D3362"/>
                              </a:solidFill>
                              <a:latin typeface="Courier New" pitchFamily="49" charset="0"/>
                              <a:cs typeface="Courier New" pitchFamily="49" charset="0"/>
                            </a:endParaRPr>
                          </a:p>
                        </a:txBody>
                        <a:useSpRect/>
                      </a:txSp>
                    </a:sp>
                  </a:grpSp>
                  <a:grpSp>
                    <a:nvGrpSpPr>
                      <a:cNvPr id="52" name="Group 79"/>
                      <a:cNvGrpSpPr/>
                    </a:nvGrpSpPr>
                    <a:grpSpPr>
                      <a:xfrm>
                        <a:off x="2819400" y="4800600"/>
                        <a:ext cx="1219200" cy="636044"/>
                        <a:chOff x="1447800" y="685799"/>
                        <a:chExt cx="1219200" cy="762001"/>
                      </a:xfrm>
                      <a:solidFill>
                        <a:srgbClr val="92D050"/>
                      </a:solidFill>
                    </a:grpSpPr>
                    <a:sp>
                      <a:nvSpPr>
                        <a:cNvPr id="53" name="Rectangle 52"/>
                        <a:cNvSpPr/>
                      </a:nvSpPr>
                      <a:spPr bwMode="auto">
                        <a:xfrm>
                          <a:off x="1447800" y="838199"/>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54" name="Straight Connector 53"/>
                        <a:cNvCxnSpPr>
                          <a:stCxn id="53"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55" name="Straight Connector 54"/>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56" name="Rectangle 55"/>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0.8</a:t>
                            </a:r>
                            <a:endParaRPr lang="en-US" sz="1400" dirty="0">
                              <a:solidFill>
                                <a:srgbClr val="1D3362"/>
                              </a:solidFill>
                              <a:latin typeface="Courier New" pitchFamily="49" charset="0"/>
                              <a:cs typeface="Courier New" pitchFamily="49" charset="0"/>
                            </a:endParaRPr>
                          </a:p>
                        </a:txBody>
                        <a:useSpRect/>
                      </a:txSp>
                    </a:sp>
                    <a:sp>
                      <a:nvSpPr>
                        <a:cNvPr id="57" name="Rectangle 56"/>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40</a:t>
                            </a:r>
                            <a:endParaRPr lang="en-US" sz="1400" dirty="0">
                              <a:solidFill>
                                <a:srgbClr val="1D3362"/>
                              </a:solidFill>
                              <a:latin typeface="Courier New" pitchFamily="49" charset="0"/>
                              <a:cs typeface="Courier New" pitchFamily="49" charset="0"/>
                            </a:endParaRPr>
                          </a:p>
                        </a:txBody>
                        <a:useSpRect/>
                      </a:txSp>
                    </a:sp>
                  </a:grpSp>
                  <a:grpSp>
                    <a:nvGrpSpPr>
                      <a:cNvPr id="58" name="Group 85"/>
                      <a:cNvGrpSpPr/>
                    </a:nvGrpSpPr>
                    <a:grpSpPr>
                      <a:xfrm>
                        <a:off x="5105400" y="4800600"/>
                        <a:ext cx="1219200" cy="609600"/>
                        <a:chOff x="1447800" y="685800"/>
                        <a:chExt cx="1219200" cy="762000"/>
                      </a:xfrm>
                      <a:solidFill>
                        <a:schemeClr val="accent3"/>
                      </a:solidFill>
                    </a:grpSpPr>
                    <a:sp>
                      <a:nvSpPr>
                        <a:cNvPr id="59" name="Rectangle 58"/>
                        <a:cNvSpPr/>
                      </a:nvSpPr>
                      <a:spPr bwMode="auto">
                        <a:xfrm>
                          <a:off x="1447800" y="794657"/>
                          <a:ext cx="1219200" cy="272143"/>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SUR</a:t>
                            </a:r>
                          </a:p>
                        </a:txBody>
                        <a:useSpRect/>
                      </a:txSp>
                    </a:sp>
                    <a:cxnSp>
                      <a:nvCxnSpPr>
                        <a:cNvPr id="60" name="Straight Connector 59"/>
                        <a:cNvCxnSpPr>
                          <a:stCxn id="59" idx="0"/>
                        </a:cNvCxnSpPr>
                      </a:nvCxnSpPr>
                      <a:spPr bwMode="auto">
                        <a:xfrm flipV="1">
                          <a:off x="2057400" y="685800"/>
                          <a:ext cx="0" cy="108857"/>
                        </a:xfrm>
                        <a:prstGeom prst="line">
                          <a:avLst/>
                        </a:prstGeom>
                        <a:grpFill/>
                        <a:ln w="9525" cap="flat" cmpd="sng" algn="ctr">
                          <a:solidFill>
                            <a:schemeClr val="tx1"/>
                          </a:solidFill>
                          <a:prstDash val="solid"/>
                          <a:round/>
                          <a:headEnd type="none" w="med" len="med"/>
                          <a:tailEnd type="none" w="med" len="med"/>
                        </a:ln>
                        <a:effectLst/>
                      </a:spPr>
                    </a:cxnSp>
                    <a:cxnSp>
                      <a:nvCxnSpPr>
                        <a:cNvPr id="61" name="Straight Connector 60"/>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62" name="Rectangle 61"/>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63" name="Rectangle 62"/>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100</a:t>
                            </a:r>
                            <a:endParaRPr lang="en-US" sz="1400" dirty="0">
                              <a:solidFill>
                                <a:srgbClr val="1D3362"/>
                              </a:solidFill>
                              <a:latin typeface="Courier New" pitchFamily="49" charset="0"/>
                              <a:cs typeface="Courier New" pitchFamily="49" charset="0"/>
                            </a:endParaRPr>
                          </a:p>
                        </a:txBody>
                        <a:useSpRect/>
                      </a:txSp>
                    </a:sp>
                  </a:grpSp>
                  <a:grpSp>
                    <a:nvGrpSpPr>
                      <a:cNvPr id="64" name="Group 43"/>
                      <a:cNvGrpSpPr/>
                    </a:nvGrpSpPr>
                    <a:grpSpPr>
                      <a:xfrm>
                        <a:off x="1676400" y="1143000"/>
                        <a:ext cx="1219200" cy="685800"/>
                        <a:chOff x="1447800" y="685800"/>
                        <a:chExt cx="1219200" cy="762000"/>
                      </a:xfrm>
                      <a:noFill/>
                    </a:grpSpPr>
                    <a:sp>
                      <a:nvSpPr>
                        <a:cNvPr id="65" name="Rectangle 64"/>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FEN</a:t>
                            </a:r>
                            <a:endParaRPr lang="en-US" sz="1600" b="1" dirty="0">
                              <a:solidFill>
                                <a:srgbClr val="1D3362"/>
                              </a:solidFill>
                              <a:latin typeface="Courier New" pitchFamily="49" charset="0"/>
                              <a:cs typeface="Courier New" pitchFamily="49" charset="0"/>
                            </a:endParaRPr>
                          </a:p>
                        </a:txBody>
                        <a:useSpRect/>
                      </a:txSp>
                    </a:sp>
                    <a:cxnSp>
                      <a:nvCxnSpPr>
                        <a:cNvPr id="66" name="Straight Connector 65"/>
                        <a:cNvCxnSpPr>
                          <a:stCxn id="65"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67" name="Straight Connector 66"/>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68" name="Rectangle 67"/>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69" name="Rectangle 68"/>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33</a:t>
                            </a:r>
                            <a:endParaRPr lang="en-US" sz="1400" dirty="0">
                              <a:solidFill>
                                <a:srgbClr val="1D3362"/>
                              </a:solidFill>
                              <a:latin typeface="Courier New" pitchFamily="49" charset="0"/>
                              <a:cs typeface="Courier New" pitchFamily="49" charset="0"/>
                            </a:endParaRPr>
                          </a:p>
                        </a:txBody>
                        <a:useSpRect/>
                      </a:txSp>
                    </a:sp>
                  </a:grpSp>
                  <a:grpSp>
                    <a:nvGrpSpPr>
                      <a:cNvPr id="70" name="Group 49"/>
                      <a:cNvGrpSpPr/>
                    </a:nvGrpSpPr>
                    <a:grpSpPr>
                      <a:xfrm>
                        <a:off x="3810000" y="1143000"/>
                        <a:ext cx="1219200" cy="685800"/>
                        <a:chOff x="1447800" y="685800"/>
                        <a:chExt cx="1219200" cy="762000"/>
                      </a:xfrm>
                      <a:solidFill>
                        <a:schemeClr val="accent3"/>
                      </a:solidFill>
                    </a:grpSpPr>
                    <a:sp>
                      <a:nvSpPr>
                        <a:cNvPr id="71" name="Rectangle 70"/>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VEH</a:t>
                            </a:r>
                          </a:p>
                        </a:txBody>
                        <a:useSpRect/>
                      </a:txSp>
                    </a:sp>
                    <a:cxnSp>
                      <a:nvCxnSpPr>
                        <a:cNvPr id="72" name="Straight Connector 71"/>
                        <a:cNvCxnSpPr>
                          <a:stCxn id="71"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73" name="Straight Connector 72"/>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74" name="Rectangle 73"/>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0.8</a:t>
                            </a:r>
                            <a:endParaRPr lang="en-US" sz="1400" dirty="0">
                              <a:solidFill>
                                <a:srgbClr val="1D3362"/>
                              </a:solidFill>
                              <a:latin typeface="Courier New" pitchFamily="49" charset="0"/>
                              <a:cs typeface="Courier New" pitchFamily="49" charset="0"/>
                            </a:endParaRPr>
                          </a:p>
                        </a:txBody>
                        <a:useSpRect/>
                      </a:txSp>
                    </a:sp>
                    <a:sp>
                      <a:nvSpPr>
                        <a:cNvPr id="75" name="Rectangle 74"/>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35</a:t>
                            </a:r>
                            <a:endParaRPr lang="en-US" sz="1400" dirty="0">
                              <a:solidFill>
                                <a:srgbClr val="1D3362"/>
                              </a:solidFill>
                              <a:latin typeface="Courier New" pitchFamily="49" charset="0"/>
                              <a:cs typeface="Courier New" pitchFamily="49" charset="0"/>
                            </a:endParaRPr>
                          </a:p>
                        </a:txBody>
                        <a:useSpRect/>
                      </a:txSp>
                    </a:sp>
                  </a:grpSp>
                  <a:grpSp>
                    <a:nvGrpSpPr>
                      <a:cNvPr id="76" name="Group 55"/>
                      <a:cNvGrpSpPr/>
                    </a:nvGrpSpPr>
                    <a:grpSpPr>
                      <a:xfrm>
                        <a:off x="5943600" y="1143000"/>
                        <a:ext cx="1219200" cy="685800"/>
                        <a:chOff x="1447800" y="685800"/>
                        <a:chExt cx="1219200" cy="762000"/>
                      </a:xfrm>
                      <a:solidFill>
                        <a:srgbClr val="92D050"/>
                      </a:solidFill>
                    </a:grpSpPr>
                    <a:sp>
                      <a:nvSpPr>
                        <a:cNvPr id="77" name="Rectangle 76"/>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GAT</a:t>
                            </a:r>
                            <a:endParaRPr lang="en-US" sz="1600" b="1" dirty="0">
                              <a:solidFill>
                                <a:srgbClr val="1D3362"/>
                              </a:solidFill>
                              <a:latin typeface="Courier New" pitchFamily="49" charset="0"/>
                              <a:cs typeface="Courier New" pitchFamily="49" charset="0"/>
                            </a:endParaRPr>
                          </a:p>
                        </a:txBody>
                        <a:useSpRect/>
                      </a:txSp>
                    </a:sp>
                    <a:cxnSp>
                      <a:nvCxnSpPr>
                        <a:cNvPr id="78" name="Straight Connector 77"/>
                        <a:cNvCxnSpPr>
                          <a:stCxn id="77"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79" name="Straight Connector 78"/>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80" name="Rectangle 79"/>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0.8</a:t>
                            </a:r>
                            <a:endParaRPr lang="en-US" sz="1400" dirty="0">
                              <a:solidFill>
                                <a:srgbClr val="1D3362"/>
                              </a:solidFill>
                              <a:latin typeface="Courier New" pitchFamily="49" charset="0"/>
                              <a:cs typeface="Courier New" pitchFamily="49" charset="0"/>
                            </a:endParaRPr>
                          </a:p>
                        </a:txBody>
                        <a:useSpRect/>
                      </a:txSp>
                    </a:sp>
                    <a:sp>
                      <a:nvSpPr>
                        <a:cNvPr id="81" name="Rectangle 80"/>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40</a:t>
                            </a:r>
                            <a:endParaRPr lang="en-US" sz="1400" dirty="0">
                              <a:solidFill>
                                <a:srgbClr val="1D3362"/>
                              </a:solidFill>
                              <a:latin typeface="Courier New" pitchFamily="49" charset="0"/>
                              <a:cs typeface="Courier New" pitchFamily="49" charset="0"/>
                            </a:endParaRPr>
                          </a:p>
                        </a:txBody>
                        <a:useSpRect/>
                      </a:txSp>
                    </a:sp>
                  </a:grpSp>
                  <a:grpSp>
                    <a:nvGrpSpPr>
                      <a:cNvPr id="82" name="Group 79"/>
                      <a:cNvGrpSpPr/>
                    </a:nvGrpSpPr>
                    <a:grpSpPr>
                      <a:xfrm>
                        <a:off x="2819400" y="5715000"/>
                        <a:ext cx="1219200" cy="685800"/>
                        <a:chOff x="1447800" y="685800"/>
                        <a:chExt cx="1219200" cy="762000"/>
                      </a:xfrm>
                      <a:solidFill>
                        <a:srgbClr val="92D050"/>
                      </a:solidFill>
                    </a:grpSpPr>
                    <a:sp>
                      <a:nvSpPr>
                        <a:cNvPr id="83" name="Rectangle 82"/>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84" name="Straight Connector 83"/>
                        <a:cNvCxnSpPr>
                          <a:stCxn id="83"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85" name="Straight Connector 84"/>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86" name="Rectangle 85"/>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87" name="Rectangle 86"/>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60</a:t>
                            </a:r>
                            <a:endParaRPr lang="en-US" sz="1400" dirty="0">
                              <a:solidFill>
                                <a:srgbClr val="1D3362"/>
                              </a:solidFill>
                              <a:latin typeface="Courier New" pitchFamily="49" charset="0"/>
                              <a:cs typeface="Courier New" pitchFamily="49" charset="0"/>
                            </a:endParaRPr>
                          </a:p>
                        </a:txBody>
                        <a:useSpRect/>
                      </a:txSp>
                    </a:sp>
                  </a:grpSp>
                  <a:grpSp>
                    <a:nvGrpSpPr>
                      <a:cNvPr id="88" name="Group 87"/>
                      <a:cNvGrpSpPr/>
                    </a:nvGrpSpPr>
                    <a:grpSpPr>
                      <a:xfrm>
                        <a:off x="5105400" y="5715000"/>
                        <a:ext cx="1219200" cy="685800"/>
                        <a:chOff x="1447800" y="685800"/>
                        <a:chExt cx="1219200" cy="762000"/>
                      </a:xfrm>
                      <a:solidFill>
                        <a:schemeClr val="accent3"/>
                      </a:solidFill>
                    </a:grpSpPr>
                    <a:sp>
                      <a:nvSpPr>
                        <a:cNvPr id="89" name="Rectangle 88"/>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SUR</a:t>
                            </a:r>
                          </a:p>
                        </a:txBody>
                        <a:useSpRect/>
                      </a:txSp>
                    </a:sp>
                    <a:cxnSp>
                      <a:nvCxnSpPr>
                        <a:cNvPr id="90" name="Straight Connector 89"/>
                        <a:cNvCxnSpPr>
                          <a:stCxn id="89"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91" name="Straight Connector 90"/>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92" name="Rectangle 91"/>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0.99</a:t>
                            </a:r>
                            <a:endParaRPr lang="en-US" sz="1400" dirty="0">
                              <a:solidFill>
                                <a:srgbClr val="1D3362"/>
                              </a:solidFill>
                              <a:latin typeface="Courier New" pitchFamily="49" charset="0"/>
                              <a:cs typeface="Courier New" pitchFamily="49" charset="0"/>
                            </a:endParaRPr>
                          </a:p>
                        </a:txBody>
                        <a:useSpRect/>
                      </a:txSp>
                    </a:sp>
                    <a:sp>
                      <a:nvSpPr>
                        <a:cNvPr id="93" name="Rectangle 92"/>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100</a:t>
                            </a:r>
                            <a:endParaRPr lang="en-US" sz="1400" dirty="0">
                              <a:solidFill>
                                <a:srgbClr val="1D3362"/>
                              </a:solidFill>
                              <a:latin typeface="Courier New" pitchFamily="49" charset="0"/>
                              <a:cs typeface="Courier New" pitchFamily="49" charset="0"/>
                            </a:endParaRPr>
                          </a:p>
                        </a:txBody>
                        <a:useSpRect/>
                      </a:txSp>
                    </a:sp>
                  </a:grpSp>
                  <a:sp>
                    <a:nvSpPr>
                      <a:cNvPr id="99" name="Rectangle 98"/>
                      <a:cNvSpPr/>
                    </a:nvSpPr>
                    <a:spPr bwMode="auto">
                      <a:xfrm>
                        <a:off x="685800" y="36576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Controlled Building </a:t>
                          </a:r>
                          <a:r>
                            <a:rPr lang="en-US" sz="1400" b="1" dirty="0" smtClean="0">
                              <a:solidFill>
                                <a:srgbClr val="040300"/>
                              </a:solidFill>
                              <a:latin typeface="Times New Roman" pitchFamily="18" charset="0"/>
                            </a:rPr>
                            <a:t>(</a:t>
                          </a:r>
                          <a:r>
                            <a:rPr lang="en-US" sz="1400" b="1" dirty="0" smtClean="0">
                              <a:solidFill>
                                <a:srgbClr val="040300"/>
                              </a:solidFill>
                              <a:latin typeface="Times New Roman" pitchFamily="18" charset="0"/>
                            </a:rPr>
                            <a:t>Main Department</a:t>
                          </a:r>
                          <a:r>
                            <a:rPr lang="en-US" sz="1400" b="1" dirty="0" smtClean="0">
                              <a:solidFill>
                                <a:srgbClr val="040300"/>
                              </a:solidFill>
                              <a:latin typeface="Times New Roman" pitchFamily="18" charset="0"/>
                            </a:rPr>
                            <a:t>)</a:t>
                          </a:r>
                          <a:endParaRPr lang="en-US" sz="1400" b="1" dirty="0">
                            <a:solidFill>
                              <a:srgbClr val="040300"/>
                            </a:solidFill>
                            <a:latin typeface="Times New Roman" pitchFamily="18" charset="0"/>
                          </a:endParaRPr>
                        </a:p>
                      </a:txBody>
                      <a:useSpRect/>
                    </a:txSp>
                  </a:sp>
                  <a:sp>
                    <a:nvSpPr>
                      <a:cNvPr id="102" name="Rectangle 101"/>
                      <a:cNvSpPr/>
                    </a:nvSpPr>
                    <a:spPr bwMode="auto">
                      <a:xfrm>
                        <a:off x="838200" y="3886200"/>
                        <a:ext cx="7315200" cy="6858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grpSp>
                    <a:nvGrpSpPr>
                      <a:cNvPr id="103" name="Group 79"/>
                      <a:cNvGrpSpPr/>
                    </a:nvGrpSpPr>
                    <a:grpSpPr>
                      <a:xfrm>
                        <a:off x="1676400" y="3886200"/>
                        <a:ext cx="1219200" cy="685800"/>
                        <a:chOff x="1447800" y="685800"/>
                        <a:chExt cx="1219200" cy="762000"/>
                      </a:xfrm>
                      <a:solidFill>
                        <a:srgbClr val="92D050"/>
                      </a:solidFill>
                    </a:grpSpPr>
                    <a:sp>
                      <a:nvSpPr>
                        <a:cNvPr id="104" name="Rectangle 103"/>
                        <a:cNvSpPr/>
                      </a:nvSpPr>
                      <a:spPr bwMode="auto">
                        <a:xfrm>
                          <a:off x="1447800" y="838199"/>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105" name="Straight Connector 104"/>
                        <a:cNvCxnSpPr>
                          <a:stCxn id="104"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106" name="Straight Connector 105"/>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107" name="Rectangle 106"/>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0.7</a:t>
                            </a:r>
                            <a:endParaRPr lang="en-US" sz="1400" dirty="0">
                              <a:solidFill>
                                <a:srgbClr val="1D3362"/>
                              </a:solidFill>
                              <a:latin typeface="Courier New" pitchFamily="49" charset="0"/>
                              <a:cs typeface="Courier New" pitchFamily="49" charset="0"/>
                            </a:endParaRPr>
                          </a:p>
                        </a:txBody>
                        <a:useSpRect/>
                      </a:txSp>
                    </a:sp>
                    <a:sp>
                      <a:nvSpPr>
                        <a:cNvPr id="108" name="Rectangle 107"/>
                        <a:cNvSpPr/>
                      </a:nvSpPr>
                      <a:spPr bwMode="auto">
                        <a:xfrm>
                          <a:off x="2057400" y="1066799"/>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70</a:t>
                            </a:r>
                            <a:endParaRPr lang="en-US" sz="1400" dirty="0">
                              <a:solidFill>
                                <a:srgbClr val="1D3362"/>
                              </a:solidFill>
                              <a:latin typeface="Courier New" pitchFamily="49" charset="0"/>
                              <a:cs typeface="Courier New" pitchFamily="49" charset="0"/>
                            </a:endParaRPr>
                          </a:p>
                        </a:txBody>
                        <a:useSpRect/>
                      </a:txSp>
                    </a:sp>
                  </a:grpSp>
                  <a:grpSp>
                    <a:nvGrpSpPr>
                      <a:cNvPr id="109" name="Group 85"/>
                      <a:cNvGrpSpPr/>
                    </a:nvGrpSpPr>
                    <a:grpSpPr>
                      <a:xfrm>
                        <a:off x="5638800" y="3886200"/>
                        <a:ext cx="1219200" cy="685800"/>
                        <a:chOff x="1447800" y="685800"/>
                        <a:chExt cx="1219200" cy="857250"/>
                      </a:xfrm>
                      <a:solidFill>
                        <a:schemeClr val="accent3"/>
                      </a:solidFill>
                    </a:grpSpPr>
                    <a:sp>
                      <a:nvSpPr>
                        <a:cNvPr id="110" name="Rectangle 109"/>
                        <a:cNvSpPr/>
                      </a:nvSpPr>
                      <a:spPr bwMode="auto">
                        <a:xfrm>
                          <a:off x="1447800" y="794657"/>
                          <a:ext cx="1219200" cy="272143"/>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SUR</a:t>
                            </a:r>
                          </a:p>
                        </a:txBody>
                        <a:useSpRect/>
                      </a:txSp>
                    </a:sp>
                    <a:cxnSp>
                      <a:nvCxnSpPr>
                        <a:cNvPr id="111" name="Straight Connector 110"/>
                        <a:cNvCxnSpPr>
                          <a:stCxn id="110" idx="0"/>
                        </a:cNvCxnSpPr>
                      </a:nvCxnSpPr>
                      <a:spPr bwMode="auto">
                        <a:xfrm flipV="1">
                          <a:off x="2057400" y="685800"/>
                          <a:ext cx="0" cy="108857"/>
                        </a:xfrm>
                        <a:prstGeom prst="line">
                          <a:avLst/>
                        </a:prstGeom>
                        <a:grpFill/>
                        <a:ln w="9525" cap="flat" cmpd="sng" algn="ctr">
                          <a:solidFill>
                            <a:schemeClr val="tx1"/>
                          </a:solidFill>
                          <a:prstDash val="solid"/>
                          <a:round/>
                          <a:headEnd type="none" w="med" len="med"/>
                          <a:tailEnd type="none" w="med" len="med"/>
                        </a:ln>
                        <a:effectLst/>
                      </a:spPr>
                    </a:cxnSp>
                    <a:cxnSp>
                      <a:nvCxnSpPr>
                        <a:cNvPr id="112" name="Straight Connector 111"/>
                        <a:cNvCxnSpPr/>
                      </a:nvCxnSpPr>
                      <a:spPr bwMode="auto">
                        <a:xfrm>
                          <a:off x="2057400" y="1295400"/>
                          <a:ext cx="0" cy="247650"/>
                        </a:xfrm>
                        <a:prstGeom prst="line">
                          <a:avLst/>
                        </a:prstGeom>
                        <a:grpFill/>
                        <a:ln w="9525" cap="flat" cmpd="sng" algn="ctr">
                          <a:solidFill>
                            <a:schemeClr val="tx1"/>
                          </a:solidFill>
                          <a:prstDash val="solid"/>
                          <a:round/>
                          <a:headEnd type="none" w="med" len="med"/>
                          <a:tailEnd type="none" w="med" len="med"/>
                        </a:ln>
                        <a:effectLst/>
                      </a:spPr>
                    </a:cxnSp>
                    <a:sp>
                      <a:nvSpPr>
                        <a:cNvPr id="113" name="Rectangle 112"/>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114" name="Rectangle 113"/>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240</a:t>
                            </a:r>
                            <a:endParaRPr lang="en-US" sz="1400" dirty="0">
                              <a:solidFill>
                                <a:srgbClr val="1D3362"/>
                              </a:solidFill>
                              <a:latin typeface="Courier New" pitchFamily="49" charset="0"/>
                              <a:cs typeface="Courier New" pitchFamily="49" charset="0"/>
                            </a:endParaRPr>
                          </a:p>
                        </a:txBody>
                        <a:useSpRect/>
                      </a:txSp>
                    </a:sp>
                  </a:grpSp>
                </lc:lockedCanvas>
              </a:graphicData>
            </a:graphic>
          </wp:inline>
        </w:drawing>
      </w:r>
    </w:p>
    <w:p w14:paraId="6405B245" w14:textId="77777777" w:rsidR="00B53F53" w:rsidRPr="00CB3EE2" w:rsidRDefault="00CB3EE2" w:rsidP="00CB3EE2">
      <w:pPr>
        <w:pStyle w:val="Caption"/>
        <w:rPr>
          <w:i/>
        </w:rPr>
      </w:pPr>
      <w:r>
        <w:rPr>
          <w:i/>
        </w:rPr>
        <w:t xml:space="preserve">FIG. </w:t>
      </w:r>
      <w:r w:rsidR="00B53F53" w:rsidRPr="00CB3EE2">
        <w:rPr>
          <w:i/>
        </w:rPr>
        <w:t>2</w:t>
      </w:r>
      <w:r>
        <w:rPr>
          <w:i/>
        </w:rPr>
        <w:t>.</w:t>
      </w:r>
      <w:r w:rsidR="00B53F53" w:rsidRPr="00CB3EE2">
        <w:rPr>
          <w:i/>
        </w:rPr>
        <w:t xml:space="preserve"> Most Vulnerable Path followed by the adversary, each box contains P</w:t>
      </w:r>
      <w:r w:rsidR="00B53F53" w:rsidRPr="00E3502E">
        <w:rPr>
          <w:i/>
          <w:vertAlign w:val="subscript"/>
        </w:rPr>
        <w:t>D</w:t>
      </w:r>
      <w:r w:rsidR="00B53F53" w:rsidRPr="00CB3EE2">
        <w:rPr>
          <w:i/>
        </w:rPr>
        <w:t xml:space="preserve"> (in the left) &amp; t</w:t>
      </w:r>
      <w:r w:rsidR="00B53F53" w:rsidRPr="00E3502E">
        <w:rPr>
          <w:i/>
          <w:vertAlign w:val="subscript"/>
        </w:rPr>
        <w:t>D</w:t>
      </w:r>
      <w:r w:rsidR="00B53F53" w:rsidRPr="00CB3EE2">
        <w:rPr>
          <w:i/>
        </w:rPr>
        <w:t xml:space="preserve"> (on the right in seconds) values.</w:t>
      </w:r>
    </w:p>
    <w:p w14:paraId="4994E219" w14:textId="77777777" w:rsidR="00B53F53" w:rsidRPr="00E3502E"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The assumed RFT is 110 seconds. The CDP is set at the lab main door, from which the adversary needs 133 seconds to complete the task and the time remaining after the interruption will be 23 seconds. The probability of communication (P</w:t>
      </w:r>
      <w:r w:rsidRPr="00E3502E">
        <w:rPr>
          <w:rFonts w:ascii="Times New Roman" w:eastAsia="Times New Roman" w:hAnsi="Times New Roman" w:cs="Times New Roman"/>
          <w:sz w:val="20"/>
          <w:szCs w:val="20"/>
          <w:vertAlign w:val="subscript"/>
        </w:rPr>
        <w:t>C</w:t>
      </w:r>
      <w:r w:rsidRPr="00E3502E">
        <w:rPr>
          <w:rFonts w:ascii="Times New Roman" w:eastAsia="Times New Roman" w:hAnsi="Times New Roman" w:cs="Times New Roman"/>
          <w:sz w:val="20"/>
          <w:szCs w:val="20"/>
        </w:rPr>
        <w:t>) is assumed to be 0.95. The estimation of P</w:t>
      </w:r>
      <w:r w:rsidRPr="00E3502E">
        <w:rPr>
          <w:rFonts w:ascii="Times New Roman" w:eastAsia="Times New Roman" w:hAnsi="Times New Roman" w:cs="Times New Roman"/>
          <w:sz w:val="20"/>
          <w:szCs w:val="20"/>
          <w:vertAlign w:val="subscript"/>
        </w:rPr>
        <w:t>I</w:t>
      </w:r>
      <w:r w:rsidRPr="00E3502E">
        <w:rPr>
          <w:rFonts w:ascii="Times New Roman" w:eastAsia="Times New Roman" w:hAnsi="Times New Roman" w:cs="Times New Roman"/>
          <w:sz w:val="20"/>
          <w:szCs w:val="20"/>
        </w:rPr>
        <w:t xml:space="preserve"> value using EASI software for a </w:t>
      </w:r>
      <w:r w:rsidR="00E3502E">
        <w:rPr>
          <w:rFonts w:ascii="Times New Roman" w:eastAsia="Times New Roman" w:hAnsi="Times New Roman" w:cs="Times New Roman"/>
          <w:sz w:val="20"/>
          <w:szCs w:val="20"/>
        </w:rPr>
        <w:t>specific path is shown in FIG.</w:t>
      </w:r>
      <w:r w:rsidRPr="00E3502E">
        <w:rPr>
          <w:rFonts w:ascii="Times New Roman" w:eastAsia="Times New Roman" w:hAnsi="Times New Roman" w:cs="Times New Roman"/>
          <w:sz w:val="20"/>
          <w:szCs w:val="20"/>
        </w:rPr>
        <w:t xml:space="preserve"> 3 and the calculated value is 0.98. The high value of P</w:t>
      </w:r>
      <w:r w:rsidRPr="00E3502E">
        <w:rPr>
          <w:rFonts w:ascii="Times New Roman" w:eastAsia="Times New Roman" w:hAnsi="Times New Roman" w:cs="Times New Roman"/>
          <w:sz w:val="20"/>
          <w:szCs w:val="20"/>
          <w:vertAlign w:val="subscript"/>
        </w:rPr>
        <w:t>I</w:t>
      </w:r>
      <w:r w:rsidRPr="00E3502E">
        <w:rPr>
          <w:rFonts w:ascii="Times New Roman" w:eastAsia="Times New Roman" w:hAnsi="Times New Roman" w:cs="Times New Roman"/>
          <w:sz w:val="20"/>
          <w:szCs w:val="20"/>
        </w:rPr>
        <w:t xml:space="preserve"> shows that the adversary’s success probability will be very small if they attack through this path.</w:t>
      </w:r>
    </w:p>
    <w:p w14:paraId="6FB2BB89" w14:textId="77777777" w:rsidR="00B53F53" w:rsidRPr="00AA15F1" w:rsidRDefault="00751D10" w:rsidP="00E81AFD">
      <w:pPr>
        <w:spacing w:line="360" w:lineRule="auto"/>
        <w:jc w:val="both"/>
        <w:rPr>
          <w:rFonts w:ascii="Times New Roman" w:hAnsi="Times New Roman" w:cs="Times New Roman"/>
        </w:rPr>
      </w:pPr>
      <w:r>
        <w:rPr>
          <w:rFonts w:ascii="Times New Roman" w:hAnsi="Times New Roman" w:cs="Times New Roman"/>
          <w:noProof/>
        </w:rPr>
        <w:pict w14:anchorId="07FEBA1D">
          <v:shape id="_x0000_s1047" type="#_x0000_t202" style="position:absolute;left:0;text-align:left;margin-left:435.15pt;margin-top:155.15pt;width:36.35pt;height:21.65pt;z-index:251666432">
            <v:textbox style="mso-next-textbox:#_x0000_s1047">
              <w:txbxContent>
                <w:p w14:paraId="7157F68D" w14:textId="77777777" w:rsidR="00B53F53" w:rsidRPr="00E3502E" w:rsidRDefault="00B53F53" w:rsidP="00B53F53">
                  <w:pPr>
                    <w:rPr>
                      <w:rFonts w:ascii="Times New Roman" w:hAnsi="Times New Roman" w:cs="Times New Roman"/>
                      <w:sz w:val="20"/>
                      <w:szCs w:val="20"/>
                    </w:rPr>
                  </w:pPr>
                  <w:r w:rsidRPr="00E3502E">
                    <w:rPr>
                      <w:rFonts w:ascii="Times New Roman" w:hAnsi="Times New Roman" w:cs="Times New Roman"/>
                      <w:sz w:val="20"/>
                      <w:szCs w:val="20"/>
                    </w:rPr>
                    <w:t>CDP</w:t>
                  </w:r>
                </w:p>
              </w:txbxContent>
            </v:textbox>
          </v:shape>
        </w:pict>
      </w:r>
      <w:r>
        <w:rPr>
          <w:rFonts w:ascii="Times New Roman" w:hAnsi="Times New Roman" w:cs="Times New Roman"/>
          <w:noProof/>
        </w:rPr>
        <w:pict w14:anchorId="5236A701">
          <v:shapetype id="_x0000_t32" coordsize="21600,21600" o:spt="32" o:oned="t" path="m,l21600,21600e" filled="f">
            <v:path arrowok="t" fillok="f" o:connecttype="none"/>
            <o:lock v:ext="edit" shapetype="t"/>
          </v:shapetype>
          <v:shape id="_x0000_s1048" type="#_x0000_t32" style="position:absolute;left:0;text-align:left;margin-left:401.4pt;margin-top:165.6pt;width:33.75pt;height:0;flip:x;z-index:251667456" o:connectortype="straight">
            <v:stroke endarrow="block"/>
          </v:shape>
        </w:pict>
      </w:r>
      <w:r w:rsidR="00B53F53" w:rsidRPr="00AA15F1">
        <w:rPr>
          <w:rFonts w:ascii="Times New Roman" w:hAnsi="Times New Roman" w:cs="Times New Roman"/>
        </w:rPr>
        <w:t xml:space="preserve">                 </w:t>
      </w:r>
      <w:r w:rsidR="00B53F53" w:rsidRPr="00AA15F1">
        <w:rPr>
          <w:rFonts w:ascii="Times New Roman" w:hAnsi="Times New Roman" w:cs="Times New Roman"/>
          <w:noProof/>
          <w:lang w:val="en-US"/>
        </w:rPr>
        <w:drawing>
          <wp:inline distT="0" distB="0" distL="0" distR="0" wp14:anchorId="15B1B23D" wp14:editId="5D0F9364">
            <wp:extent cx="4824727" cy="2714625"/>
            <wp:effectExtent l="19050" t="19050" r="13973" b="28575"/>
            <wp:docPr id="7"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365" t="31832" r="21314" b="10210"/>
                    <a:stretch>
                      <a:fillRect/>
                    </a:stretch>
                  </pic:blipFill>
                  <pic:spPr bwMode="auto">
                    <a:xfrm>
                      <a:off x="0" y="0"/>
                      <a:ext cx="4839833" cy="2723124"/>
                    </a:xfrm>
                    <a:prstGeom prst="rect">
                      <a:avLst/>
                    </a:prstGeom>
                    <a:noFill/>
                    <a:ln w="9525">
                      <a:solidFill>
                        <a:schemeClr val="tx1"/>
                      </a:solidFill>
                      <a:miter lim="800000"/>
                      <a:headEnd/>
                      <a:tailEnd/>
                    </a:ln>
                  </pic:spPr>
                </pic:pic>
              </a:graphicData>
            </a:graphic>
          </wp:inline>
        </w:drawing>
      </w:r>
      <w:r w:rsidR="00B53F53" w:rsidRPr="00AA15F1">
        <w:rPr>
          <w:rFonts w:ascii="Times New Roman" w:hAnsi="Times New Roman" w:cs="Times New Roman"/>
          <w:noProof/>
        </w:rPr>
        <w:t xml:space="preserve"> </w:t>
      </w:r>
    </w:p>
    <w:p w14:paraId="36D16A89" w14:textId="77777777" w:rsidR="00B53F53" w:rsidRDefault="00CB3EE2" w:rsidP="00CB3EE2">
      <w:pPr>
        <w:pStyle w:val="Caption"/>
        <w:jc w:val="center"/>
        <w:rPr>
          <w:i/>
        </w:rPr>
      </w:pPr>
      <w:r>
        <w:rPr>
          <w:i/>
        </w:rPr>
        <w:t>FIG.</w:t>
      </w:r>
      <w:r w:rsidR="00B53F53" w:rsidRPr="00CB3EE2">
        <w:rPr>
          <w:i/>
        </w:rPr>
        <w:t xml:space="preserve"> 3</w:t>
      </w:r>
      <w:r>
        <w:rPr>
          <w:i/>
        </w:rPr>
        <w:t>.</w:t>
      </w:r>
      <w:r w:rsidR="00B53F53" w:rsidRPr="00CB3EE2">
        <w:rPr>
          <w:i/>
        </w:rPr>
        <w:t xml:space="preserve"> Calculation of P</w:t>
      </w:r>
      <w:r w:rsidR="00B53F53" w:rsidRPr="00E3502E">
        <w:rPr>
          <w:i/>
          <w:vertAlign w:val="subscript"/>
        </w:rPr>
        <w:t xml:space="preserve">I </w:t>
      </w:r>
      <w:r w:rsidR="00B53F53" w:rsidRPr="00CB3EE2">
        <w:rPr>
          <w:i/>
        </w:rPr>
        <w:t>value with the EASI Software</w:t>
      </w:r>
    </w:p>
    <w:p w14:paraId="1AF0D5AD" w14:textId="77777777" w:rsidR="0037331B" w:rsidRPr="0037331B" w:rsidRDefault="0037331B" w:rsidP="0037331B">
      <w:pPr>
        <w:rPr>
          <w:lang w:val="en-US"/>
        </w:rPr>
      </w:pPr>
    </w:p>
    <w:p w14:paraId="24420166" w14:textId="77777777" w:rsidR="00B53F53" w:rsidRPr="00E3502E"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For the P</w:t>
      </w:r>
      <w:r w:rsidRPr="00E3502E">
        <w:rPr>
          <w:rFonts w:ascii="Times New Roman" w:eastAsia="Times New Roman" w:hAnsi="Times New Roman" w:cs="Times New Roman"/>
          <w:sz w:val="20"/>
          <w:szCs w:val="20"/>
          <w:vertAlign w:val="subscript"/>
        </w:rPr>
        <w:t>N</w:t>
      </w:r>
      <w:r w:rsidRPr="00E3502E">
        <w:rPr>
          <w:rFonts w:ascii="Times New Roman" w:eastAsia="Times New Roman" w:hAnsi="Times New Roman" w:cs="Times New Roman"/>
          <w:sz w:val="20"/>
          <w:szCs w:val="20"/>
        </w:rPr>
        <w:t xml:space="preserve"> calculation, we assume there is only one adversary who is an insider with an acetylene torch. The response force includes two watchmen with pistol and two persons in alarm response team with pistol. With these inputs the value of P</w:t>
      </w:r>
      <w:r w:rsidRPr="00E3502E">
        <w:rPr>
          <w:rFonts w:ascii="Times New Roman" w:eastAsia="Times New Roman" w:hAnsi="Times New Roman" w:cs="Times New Roman"/>
          <w:sz w:val="20"/>
          <w:szCs w:val="20"/>
          <w:vertAlign w:val="subscript"/>
        </w:rPr>
        <w:t>N</w:t>
      </w:r>
      <w:r w:rsidRPr="00E3502E">
        <w:rPr>
          <w:rFonts w:ascii="Times New Roman" w:eastAsia="Times New Roman" w:hAnsi="Times New Roman" w:cs="Times New Roman"/>
          <w:sz w:val="20"/>
          <w:szCs w:val="20"/>
        </w:rPr>
        <w:t xml:space="preserve"> = 0.85. The example of calculating P</w:t>
      </w:r>
      <w:r w:rsidRPr="00E3502E">
        <w:rPr>
          <w:rFonts w:ascii="Times New Roman" w:eastAsia="Times New Roman" w:hAnsi="Times New Roman" w:cs="Times New Roman"/>
          <w:sz w:val="20"/>
          <w:szCs w:val="20"/>
          <w:vertAlign w:val="subscript"/>
        </w:rPr>
        <w:t>N</w:t>
      </w:r>
      <w:r w:rsidRPr="00E3502E">
        <w:rPr>
          <w:rFonts w:ascii="Times New Roman" w:eastAsia="Times New Roman" w:hAnsi="Times New Roman" w:cs="Times New Roman"/>
          <w:sz w:val="20"/>
          <w:szCs w:val="20"/>
        </w:rPr>
        <w:t xml:space="preserve"> is shown in F</w:t>
      </w:r>
      <w:r w:rsidR="00E3502E">
        <w:rPr>
          <w:rFonts w:ascii="Times New Roman" w:eastAsia="Times New Roman" w:hAnsi="Times New Roman" w:cs="Times New Roman"/>
          <w:sz w:val="20"/>
          <w:szCs w:val="20"/>
        </w:rPr>
        <w:t>IG.</w:t>
      </w:r>
      <w:r w:rsidRPr="00E3502E">
        <w:rPr>
          <w:rFonts w:ascii="Times New Roman" w:eastAsia="Times New Roman" w:hAnsi="Times New Roman" w:cs="Times New Roman"/>
          <w:sz w:val="20"/>
          <w:szCs w:val="20"/>
        </w:rPr>
        <w:t xml:space="preserve"> </w:t>
      </w:r>
      <w:r w:rsidR="005A63EB" w:rsidRPr="00E3502E">
        <w:rPr>
          <w:rFonts w:ascii="Times New Roman" w:eastAsia="Times New Roman" w:hAnsi="Times New Roman" w:cs="Times New Roman"/>
          <w:sz w:val="20"/>
          <w:szCs w:val="20"/>
        </w:rPr>
        <w:t>4</w:t>
      </w:r>
      <w:r w:rsidRPr="00E3502E">
        <w:rPr>
          <w:rFonts w:ascii="Times New Roman" w:eastAsia="Times New Roman" w:hAnsi="Times New Roman" w:cs="Times New Roman"/>
          <w:sz w:val="20"/>
          <w:szCs w:val="20"/>
        </w:rPr>
        <w:t>.</w:t>
      </w:r>
    </w:p>
    <w:p w14:paraId="133C7EB3" w14:textId="77777777" w:rsidR="00B262FA" w:rsidRPr="00AA15F1" w:rsidRDefault="005A63EB" w:rsidP="00E81AFD">
      <w:pPr>
        <w:spacing w:before="240" w:after="240" w:line="360" w:lineRule="auto"/>
        <w:jc w:val="both"/>
        <w:rPr>
          <w:rFonts w:ascii="Times New Roman" w:hAnsi="Times New Roman" w:cs="Times New Roman"/>
          <w:b/>
        </w:rPr>
      </w:pPr>
      <w:r w:rsidRPr="00AA15F1">
        <w:rPr>
          <w:rFonts w:ascii="Times New Roman" w:hAnsi="Times New Roman" w:cs="Times New Roman"/>
          <w:noProof/>
          <w:lang w:val="en-US"/>
        </w:rPr>
        <w:drawing>
          <wp:inline distT="0" distB="0" distL="0" distR="0" wp14:anchorId="39965D3D" wp14:editId="5883B4F1">
            <wp:extent cx="5941883" cy="2600325"/>
            <wp:effectExtent l="19050" t="0" r="171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30368"/>
                    <a:stretch>
                      <a:fillRect/>
                    </a:stretch>
                  </pic:blipFill>
                  <pic:spPr bwMode="auto">
                    <a:xfrm>
                      <a:off x="0" y="0"/>
                      <a:ext cx="5943600" cy="2601076"/>
                    </a:xfrm>
                    <a:prstGeom prst="rect">
                      <a:avLst/>
                    </a:prstGeom>
                    <a:noFill/>
                    <a:ln w="9525">
                      <a:noFill/>
                      <a:miter lim="800000"/>
                      <a:headEnd/>
                      <a:tailEnd/>
                    </a:ln>
                  </pic:spPr>
                </pic:pic>
              </a:graphicData>
            </a:graphic>
          </wp:inline>
        </w:drawing>
      </w:r>
    </w:p>
    <w:p w14:paraId="12D547EF" w14:textId="77777777" w:rsidR="007F190A" w:rsidRDefault="00CB3EE2" w:rsidP="00CB3EE2">
      <w:pPr>
        <w:pStyle w:val="Caption"/>
        <w:jc w:val="center"/>
        <w:rPr>
          <w:i/>
        </w:rPr>
      </w:pPr>
      <w:r>
        <w:rPr>
          <w:i/>
        </w:rPr>
        <w:t>FIG.</w:t>
      </w:r>
      <w:r w:rsidR="005A63EB" w:rsidRPr="00CB3EE2">
        <w:rPr>
          <w:i/>
        </w:rPr>
        <w:t xml:space="preserve"> 4</w:t>
      </w:r>
      <w:r>
        <w:rPr>
          <w:i/>
        </w:rPr>
        <w:t>.</w:t>
      </w:r>
      <w:r w:rsidR="005A63EB" w:rsidRPr="00CB3EE2">
        <w:rPr>
          <w:i/>
        </w:rPr>
        <w:t xml:space="preserve"> Calculation of P</w:t>
      </w:r>
      <w:r w:rsidR="005A63EB" w:rsidRPr="00E3502E">
        <w:rPr>
          <w:i/>
          <w:vertAlign w:val="subscript"/>
        </w:rPr>
        <w:t>N</w:t>
      </w:r>
      <w:r w:rsidR="005A63EB" w:rsidRPr="00CB3EE2">
        <w:rPr>
          <w:i/>
        </w:rPr>
        <w:t xml:space="preserve"> value using a Macro Excel Sheet Program</w:t>
      </w:r>
    </w:p>
    <w:p w14:paraId="1B356A6D" w14:textId="77777777" w:rsidR="0037331B" w:rsidRPr="0037331B" w:rsidRDefault="0037331B" w:rsidP="0037331B">
      <w:pPr>
        <w:rPr>
          <w:lang w:val="en-US"/>
        </w:rPr>
      </w:pPr>
    </w:p>
    <w:p w14:paraId="6B409FD4" w14:textId="77777777" w:rsidR="00E3502E" w:rsidRDefault="00C13025"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We consider the value of the probability of attack to be 1.0E-03 attack per year [</w:t>
      </w:r>
      <w:r w:rsidR="00CF454C" w:rsidRPr="00E3502E">
        <w:rPr>
          <w:rFonts w:ascii="Times New Roman" w:eastAsia="Times New Roman" w:hAnsi="Times New Roman" w:cs="Times New Roman"/>
          <w:sz w:val="20"/>
          <w:szCs w:val="20"/>
        </w:rPr>
        <w:t>11</w:t>
      </w:r>
      <w:r w:rsidRPr="00E3502E">
        <w:rPr>
          <w:rFonts w:ascii="Times New Roman" w:eastAsia="Times New Roman" w:hAnsi="Times New Roman" w:cs="Times New Roman"/>
          <w:sz w:val="20"/>
          <w:szCs w:val="20"/>
        </w:rPr>
        <w:t>]. The final parameter that is needed to estimate the security risk value associated with the sabotage scenario using Eq.1 is the consequence (C) value due to the attack. The sabotage attack on the storage vault of the hypothetical research laboratory results in the release of radioactivity to the environment and panic among the people working there. According to the International Nuclear and radiological Event Scale (INES) [</w:t>
      </w:r>
      <w:r w:rsidR="00CF454C" w:rsidRPr="00E3502E">
        <w:rPr>
          <w:rFonts w:ascii="Times New Roman" w:eastAsia="Times New Roman" w:hAnsi="Times New Roman" w:cs="Times New Roman"/>
          <w:sz w:val="20"/>
          <w:szCs w:val="20"/>
        </w:rPr>
        <w:t>12</w:t>
      </w:r>
      <w:r w:rsidRPr="00E3502E">
        <w:rPr>
          <w:rFonts w:ascii="Times New Roman" w:eastAsia="Times New Roman" w:hAnsi="Times New Roman" w:cs="Times New Roman"/>
          <w:sz w:val="20"/>
          <w:szCs w:val="20"/>
        </w:rPr>
        <w:t>], the sabotage attack has very low relative value of C i.e. 0.1 with minor radioactive environmental damage.</w:t>
      </w:r>
      <w:r w:rsidR="007F190A" w:rsidRPr="00E3502E">
        <w:rPr>
          <w:rFonts w:ascii="Times New Roman" w:eastAsia="Times New Roman" w:hAnsi="Times New Roman" w:cs="Times New Roman"/>
          <w:sz w:val="20"/>
          <w:szCs w:val="20"/>
        </w:rPr>
        <w:t xml:space="preserve"> </w:t>
      </w:r>
      <w:r w:rsidRPr="00E3502E">
        <w:rPr>
          <w:rFonts w:ascii="Times New Roman" w:eastAsia="Times New Roman" w:hAnsi="Times New Roman" w:cs="Times New Roman"/>
          <w:sz w:val="20"/>
          <w:szCs w:val="20"/>
        </w:rPr>
        <w:t xml:space="preserve">From the above discussion we have all the required parameters to calculate relative risk (R) value using Eq. 1 for a specific path followed by the adversary. Table </w:t>
      </w:r>
      <w:r w:rsidR="00C834BA" w:rsidRPr="00E3502E">
        <w:rPr>
          <w:rFonts w:ascii="Times New Roman" w:eastAsia="Times New Roman" w:hAnsi="Times New Roman" w:cs="Times New Roman"/>
          <w:sz w:val="20"/>
          <w:szCs w:val="20"/>
        </w:rPr>
        <w:t>1</w:t>
      </w:r>
      <w:r w:rsidRPr="00E3502E">
        <w:rPr>
          <w:rFonts w:ascii="Times New Roman" w:eastAsia="Times New Roman" w:hAnsi="Times New Roman" w:cs="Times New Roman"/>
          <w:sz w:val="20"/>
          <w:szCs w:val="20"/>
        </w:rPr>
        <w:t xml:space="preserve"> represents the parameters obtained from the security analysis process and substituting all these values to Eq. 1, risk value comes out to be 0.9E-04.  </w:t>
      </w:r>
    </w:p>
    <w:p w14:paraId="294065C1" w14:textId="77777777" w:rsidR="0037331B" w:rsidRDefault="0037331B" w:rsidP="0037331B">
      <w:pPr>
        <w:rPr>
          <w:rFonts w:ascii="Times New Roman" w:eastAsia="Times New Roman" w:hAnsi="Times New Roman" w:cs="Times New Roman"/>
          <w:sz w:val="20"/>
          <w:szCs w:val="20"/>
        </w:rPr>
      </w:pPr>
    </w:p>
    <w:p w14:paraId="268C5995" w14:textId="77777777" w:rsidR="0037331B" w:rsidRDefault="0037331B" w:rsidP="0037331B">
      <w:pPr>
        <w:rPr>
          <w:rFonts w:ascii="Times New Roman" w:eastAsia="Times New Roman" w:hAnsi="Times New Roman" w:cs="Times New Roman"/>
          <w:sz w:val="20"/>
          <w:szCs w:val="20"/>
        </w:rPr>
      </w:pPr>
    </w:p>
    <w:p w14:paraId="71557301" w14:textId="77777777" w:rsidR="00C13025" w:rsidRDefault="00C13025" w:rsidP="0037331B">
      <w:pPr>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w:t>
      </w:r>
      <w:r w:rsidR="00E3502E">
        <w:rPr>
          <w:rFonts w:ascii="Times New Roman" w:eastAsia="Times New Roman" w:hAnsi="Times New Roman" w:cs="Times New Roman"/>
          <w:sz w:val="20"/>
          <w:szCs w:val="20"/>
        </w:rPr>
        <w:t>ABLE</w:t>
      </w:r>
      <w:r w:rsidRPr="00E3502E">
        <w:rPr>
          <w:rFonts w:ascii="Times New Roman" w:eastAsia="Times New Roman" w:hAnsi="Times New Roman" w:cs="Times New Roman"/>
          <w:sz w:val="20"/>
          <w:szCs w:val="20"/>
        </w:rPr>
        <w:t xml:space="preserve"> </w:t>
      </w:r>
      <w:r w:rsidR="003D47E1" w:rsidRPr="00E3502E">
        <w:rPr>
          <w:rFonts w:ascii="Times New Roman" w:eastAsia="Times New Roman" w:hAnsi="Times New Roman" w:cs="Times New Roman"/>
          <w:sz w:val="20"/>
          <w:szCs w:val="20"/>
        </w:rPr>
        <w:t>1</w:t>
      </w:r>
      <w:r w:rsidRPr="00E3502E">
        <w:rPr>
          <w:rFonts w:ascii="Times New Roman" w:eastAsia="Times New Roman" w:hAnsi="Times New Roman" w:cs="Times New Roman"/>
          <w:sz w:val="20"/>
          <w:szCs w:val="20"/>
        </w:rPr>
        <w:t>: Security Risk Analysis Parameters</w:t>
      </w:r>
    </w:p>
    <w:p w14:paraId="7629F14F" w14:textId="77777777" w:rsidR="00E3502E" w:rsidRPr="00E3502E" w:rsidRDefault="00E3502E" w:rsidP="00E3502E">
      <w:pPr>
        <w:pStyle w:val="BodyText"/>
        <w:spacing w:after="0" w:line="260" w:lineRule="atLeast"/>
        <w:contextualSpacing/>
        <w:jc w:val="both"/>
        <w:rPr>
          <w:rFonts w:ascii="Times New Roman" w:eastAsia="Times New Roman" w:hAnsi="Times New Roman" w:cs="Times New Roman"/>
          <w:sz w:val="20"/>
          <w:szCs w:val="20"/>
        </w:rPr>
      </w:pPr>
    </w:p>
    <w:tbl>
      <w:tblPr>
        <w:tblStyle w:val="TableGrid"/>
        <w:tblW w:w="7938" w:type="dxa"/>
        <w:tblInd w:w="720" w:type="dxa"/>
        <w:tblLook w:val="04A0" w:firstRow="1" w:lastRow="0" w:firstColumn="1" w:lastColumn="0" w:noHBand="0" w:noVBand="1"/>
      </w:tblPr>
      <w:tblGrid>
        <w:gridCol w:w="4248"/>
        <w:gridCol w:w="3690"/>
      </w:tblGrid>
      <w:tr w:rsidR="00C13025" w:rsidRPr="00AA15F1" w14:paraId="144C1B56" w14:textId="77777777" w:rsidTr="00814300">
        <w:trPr>
          <w:trHeight w:val="445"/>
        </w:trPr>
        <w:tc>
          <w:tcPr>
            <w:tcW w:w="4248" w:type="dxa"/>
          </w:tcPr>
          <w:p w14:paraId="421B5EF5"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Security Parameter</w:t>
            </w:r>
          </w:p>
        </w:tc>
        <w:tc>
          <w:tcPr>
            <w:tcW w:w="3690" w:type="dxa"/>
          </w:tcPr>
          <w:p w14:paraId="2F16AF34"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Computed Values</w:t>
            </w:r>
          </w:p>
        </w:tc>
      </w:tr>
      <w:tr w:rsidR="00C13025" w:rsidRPr="00AA15F1" w14:paraId="185AAD68" w14:textId="77777777" w:rsidTr="00814300">
        <w:trPr>
          <w:trHeight w:val="445"/>
        </w:trPr>
        <w:tc>
          <w:tcPr>
            <w:tcW w:w="4248" w:type="dxa"/>
          </w:tcPr>
          <w:p w14:paraId="46C1639F" w14:textId="77777777"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Probability of Attack P</w:t>
            </w:r>
            <w:r w:rsidRPr="00E3502E">
              <w:rPr>
                <w:rFonts w:ascii="Times New Roman" w:hAnsi="Times New Roman" w:cs="Times New Roman"/>
                <w:sz w:val="20"/>
                <w:szCs w:val="20"/>
                <w:vertAlign w:val="subscript"/>
              </w:rPr>
              <w:t xml:space="preserve">A </w:t>
            </w:r>
            <w:r w:rsidRPr="00E3502E">
              <w:rPr>
                <w:rFonts w:ascii="Times New Roman" w:hAnsi="Times New Roman" w:cs="Times New Roman"/>
                <w:sz w:val="20"/>
                <w:szCs w:val="20"/>
              </w:rPr>
              <w:t>(per year)</w:t>
            </w:r>
          </w:p>
        </w:tc>
        <w:tc>
          <w:tcPr>
            <w:tcW w:w="3690" w:type="dxa"/>
          </w:tcPr>
          <w:p w14:paraId="04179924"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1.0E-03</w:t>
            </w:r>
          </w:p>
        </w:tc>
      </w:tr>
      <w:tr w:rsidR="00C13025" w:rsidRPr="00AA15F1" w14:paraId="54FAEEF8" w14:textId="77777777" w:rsidTr="00814300">
        <w:trPr>
          <w:trHeight w:val="445"/>
        </w:trPr>
        <w:tc>
          <w:tcPr>
            <w:tcW w:w="4248" w:type="dxa"/>
          </w:tcPr>
          <w:p w14:paraId="69BB3284" w14:textId="77777777"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Probability of Interruption</w:t>
            </w:r>
          </w:p>
        </w:tc>
        <w:tc>
          <w:tcPr>
            <w:tcW w:w="3690" w:type="dxa"/>
          </w:tcPr>
          <w:p w14:paraId="4D8DD396"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0.98</w:t>
            </w:r>
          </w:p>
        </w:tc>
      </w:tr>
      <w:tr w:rsidR="00C13025" w:rsidRPr="00AA15F1" w14:paraId="164DDACF" w14:textId="77777777" w:rsidTr="00814300">
        <w:trPr>
          <w:trHeight w:val="445"/>
        </w:trPr>
        <w:tc>
          <w:tcPr>
            <w:tcW w:w="4248" w:type="dxa"/>
          </w:tcPr>
          <w:p w14:paraId="39AE72E4" w14:textId="77777777"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Probability of Neutralization</w:t>
            </w:r>
          </w:p>
        </w:tc>
        <w:tc>
          <w:tcPr>
            <w:tcW w:w="3690" w:type="dxa"/>
          </w:tcPr>
          <w:p w14:paraId="747A63A6"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0.85</w:t>
            </w:r>
          </w:p>
        </w:tc>
      </w:tr>
      <w:tr w:rsidR="00C13025" w:rsidRPr="00AA15F1" w14:paraId="4D9A33F3" w14:textId="77777777" w:rsidTr="00814300">
        <w:trPr>
          <w:trHeight w:val="445"/>
        </w:trPr>
        <w:tc>
          <w:tcPr>
            <w:tcW w:w="4248" w:type="dxa"/>
          </w:tcPr>
          <w:p w14:paraId="43CFE248" w14:textId="77777777"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Consequence value</w:t>
            </w:r>
          </w:p>
        </w:tc>
        <w:tc>
          <w:tcPr>
            <w:tcW w:w="3690" w:type="dxa"/>
          </w:tcPr>
          <w:p w14:paraId="1928CF02"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0.1</w:t>
            </w:r>
          </w:p>
        </w:tc>
      </w:tr>
      <w:tr w:rsidR="00C13025" w:rsidRPr="00AA15F1" w14:paraId="1707FDA5" w14:textId="77777777" w:rsidTr="00814300">
        <w:trPr>
          <w:trHeight w:val="470"/>
        </w:trPr>
        <w:tc>
          <w:tcPr>
            <w:tcW w:w="4248" w:type="dxa"/>
          </w:tcPr>
          <w:p w14:paraId="2FC7E245" w14:textId="77777777"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Risk value (per year)</w:t>
            </w:r>
          </w:p>
        </w:tc>
        <w:tc>
          <w:tcPr>
            <w:tcW w:w="3690" w:type="dxa"/>
          </w:tcPr>
          <w:p w14:paraId="2240479C" w14:textId="77777777"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0.9E-04</w:t>
            </w:r>
          </w:p>
        </w:tc>
      </w:tr>
    </w:tbl>
    <w:p w14:paraId="289A71D8" w14:textId="77777777" w:rsidR="005F55AD" w:rsidRPr="005F2658" w:rsidRDefault="00C13025" w:rsidP="005F2658">
      <w:pPr>
        <w:pStyle w:val="Heading2"/>
        <w:numPr>
          <w:ilvl w:val="0"/>
          <w:numId w:val="8"/>
        </w:numPr>
      </w:pPr>
      <w:r w:rsidRPr="005F2658">
        <w:t xml:space="preserve">Conclusion: </w:t>
      </w:r>
    </w:p>
    <w:p w14:paraId="480E2936" w14:textId="77777777" w:rsidR="005F55AD" w:rsidRPr="005F2658" w:rsidRDefault="005F55AD" w:rsidP="005F2658">
      <w:pPr>
        <w:pStyle w:val="BodyText"/>
        <w:spacing w:after="0" w:line="260" w:lineRule="atLeast"/>
        <w:ind w:firstLine="567"/>
        <w:contextualSpacing/>
        <w:jc w:val="both"/>
        <w:rPr>
          <w:rFonts w:ascii="Times New Roman" w:eastAsia="Times New Roman" w:hAnsi="Times New Roman" w:cs="Times New Roman"/>
          <w:sz w:val="20"/>
          <w:szCs w:val="20"/>
        </w:rPr>
      </w:pPr>
      <w:r w:rsidRPr="005F2658">
        <w:rPr>
          <w:rFonts w:ascii="Times New Roman" w:eastAsia="Times New Roman" w:hAnsi="Times New Roman" w:cs="Times New Roman"/>
          <w:sz w:val="20"/>
          <w:szCs w:val="20"/>
        </w:rPr>
        <w:t>The effectiveness of the PPS at a research laboratory in a university campus is evaluated by estimating P</w:t>
      </w:r>
      <w:r w:rsidRPr="0037331B">
        <w:rPr>
          <w:rFonts w:ascii="Times New Roman" w:eastAsia="Times New Roman" w:hAnsi="Times New Roman" w:cs="Times New Roman"/>
          <w:sz w:val="20"/>
          <w:szCs w:val="20"/>
          <w:vertAlign w:val="subscript"/>
        </w:rPr>
        <w:t>I</w:t>
      </w:r>
      <w:r w:rsidRPr="005F2658">
        <w:rPr>
          <w:rFonts w:ascii="Times New Roman" w:eastAsia="Times New Roman" w:hAnsi="Times New Roman" w:cs="Times New Roman"/>
          <w:sz w:val="20"/>
          <w:szCs w:val="20"/>
        </w:rPr>
        <w:t xml:space="preserve"> and P</w:t>
      </w:r>
      <w:r w:rsidRPr="0037331B">
        <w:rPr>
          <w:rFonts w:ascii="Times New Roman" w:eastAsia="Times New Roman" w:hAnsi="Times New Roman" w:cs="Times New Roman"/>
          <w:sz w:val="20"/>
          <w:szCs w:val="20"/>
          <w:vertAlign w:val="subscript"/>
        </w:rPr>
        <w:t>N</w:t>
      </w:r>
      <w:r w:rsidRPr="005F2658">
        <w:rPr>
          <w:rFonts w:ascii="Times New Roman" w:eastAsia="Times New Roman" w:hAnsi="Times New Roman" w:cs="Times New Roman"/>
          <w:sz w:val="20"/>
          <w:szCs w:val="20"/>
        </w:rPr>
        <w:t xml:space="preserve">. The considered sabotage scenario and the evaluation of the PPS effectiveness serve as an academic exercise which was found useful to demonstrate to the students about how PPS evaluation can be done. </w:t>
      </w:r>
    </w:p>
    <w:p w14:paraId="624FC9DE" w14:textId="77777777" w:rsidR="005F55AD" w:rsidRPr="00AD435D" w:rsidRDefault="005F55AD" w:rsidP="00AD435D">
      <w:pPr>
        <w:pStyle w:val="Otherunnumberedheadings"/>
        <w:rPr>
          <w:b w:val="0"/>
        </w:rPr>
      </w:pPr>
      <w:r w:rsidRPr="00AD435D">
        <w:rPr>
          <w:b w:val="0"/>
        </w:rPr>
        <w:t xml:space="preserve">Acknowledgement: </w:t>
      </w:r>
    </w:p>
    <w:p w14:paraId="2A002DE7" w14:textId="77777777" w:rsidR="003D47E1" w:rsidRPr="005F2658" w:rsidRDefault="005F55AD" w:rsidP="005F2658">
      <w:pPr>
        <w:pStyle w:val="BodyText"/>
        <w:spacing w:after="0" w:line="260" w:lineRule="atLeast"/>
        <w:ind w:firstLine="567"/>
        <w:contextualSpacing/>
        <w:jc w:val="both"/>
        <w:rPr>
          <w:rFonts w:ascii="Times New Roman" w:eastAsia="Times New Roman" w:hAnsi="Times New Roman" w:cs="Times New Roman"/>
          <w:sz w:val="20"/>
          <w:szCs w:val="20"/>
        </w:rPr>
      </w:pPr>
      <w:r w:rsidRPr="005F2658">
        <w:rPr>
          <w:rFonts w:ascii="Times New Roman" w:eastAsia="Times New Roman" w:hAnsi="Times New Roman" w:cs="Times New Roman"/>
          <w:sz w:val="20"/>
          <w:szCs w:val="20"/>
        </w:rPr>
        <w:t>The authors thank the Partnership for Nuclear Threat Reduction (PNTR) and Civilian Research and Development Foundation (CRDF) Global, U</w:t>
      </w:r>
      <w:r w:rsidR="003D47E1" w:rsidRPr="005F2658">
        <w:rPr>
          <w:rFonts w:ascii="Times New Roman" w:eastAsia="Times New Roman" w:hAnsi="Times New Roman" w:cs="Times New Roman"/>
          <w:sz w:val="20"/>
          <w:szCs w:val="20"/>
        </w:rPr>
        <w:t xml:space="preserve">SA for the financial support to carry out this research. </w:t>
      </w:r>
    </w:p>
    <w:p w14:paraId="63EDD21B" w14:textId="77777777" w:rsidR="005F55AD" w:rsidRPr="00AA15F1" w:rsidRDefault="005F55AD" w:rsidP="00E81AFD">
      <w:pPr>
        <w:autoSpaceDE w:val="0"/>
        <w:autoSpaceDN w:val="0"/>
        <w:adjustRightInd w:val="0"/>
        <w:spacing w:line="360" w:lineRule="auto"/>
        <w:jc w:val="both"/>
        <w:rPr>
          <w:rFonts w:ascii="Times New Roman" w:hAnsi="Times New Roman" w:cs="Times New Roman"/>
        </w:rPr>
      </w:pPr>
    </w:p>
    <w:p w14:paraId="35A231D2" w14:textId="77777777" w:rsidR="005F55AD" w:rsidRPr="00AA15F1" w:rsidRDefault="005F55AD" w:rsidP="00E81AFD">
      <w:pPr>
        <w:spacing w:line="360" w:lineRule="auto"/>
        <w:jc w:val="both"/>
        <w:rPr>
          <w:rFonts w:ascii="Times New Roman" w:hAnsi="Times New Roman" w:cs="Times New Roman"/>
          <w:b/>
        </w:rPr>
      </w:pPr>
    </w:p>
    <w:p w14:paraId="2A5E213A" w14:textId="77777777" w:rsidR="00A73C69" w:rsidRPr="00AA15F1" w:rsidRDefault="003973C7" w:rsidP="00E81AFD">
      <w:pPr>
        <w:spacing w:line="360" w:lineRule="auto"/>
        <w:jc w:val="both"/>
        <w:rPr>
          <w:rFonts w:ascii="Times New Roman" w:hAnsi="Times New Roman" w:cs="Times New Roman"/>
        </w:rPr>
      </w:pPr>
      <w:r w:rsidRPr="00AA15F1">
        <w:rPr>
          <w:rFonts w:ascii="Times New Roman" w:hAnsi="Times New Roman" w:cs="Times New Roman"/>
        </w:rPr>
        <w:t xml:space="preserve">                 </w:t>
      </w:r>
    </w:p>
    <w:p w14:paraId="782D8309" w14:textId="77777777" w:rsidR="003D47E1" w:rsidRPr="00AA15F1" w:rsidRDefault="003D47E1" w:rsidP="00E81AFD">
      <w:pPr>
        <w:spacing w:line="360" w:lineRule="auto"/>
        <w:jc w:val="both"/>
        <w:rPr>
          <w:rFonts w:ascii="Times New Roman" w:hAnsi="Times New Roman" w:cs="Times New Roman"/>
          <w:b/>
          <w:lang w:val="en-US"/>
        </w:rPr>
      </w:pPr>
    </w:p>
    <w:p w14:paraId="0508EFBA" w14:textId="77777777" w:rsidR="003D47E1" w:rsidRPr="00AA15F1" w:rsidRDefault="003D47E1" w:rsidP="00E81AFD">
      <w:pPr>
        <w:spacing w:line="360" w:lineRule="auto"/>
        <w:jc w:val="both"/>
        <w:rPr>
          <w:rFonts w:ascii="Times New Roman" w:hAnsi="Times New Roman" w:cs="Times New Roman"/>
          <w:b/>
          <w:lang w:val="en-US"/>
        </w:rPr>
      </w:pPr>
    </w:p>
    <w:p w14:paraId="42E164FF" w14:textId="77777777" w:rsidR="00707D3D" w:rsidRPr="00AA15F1" w:rsidRDefault="00707D3D" w:rsidP="00E81AFD">
      <w:pPr>
        <w:spacing w:line="360" w:lineRule="auto"/>
        <w:jc w:val="both"/>
        <w:rPr>
          <w:rFonts w:ascii="Times New Roman" w:hAnsi="Times New Roman" w:cs="Times New Roman"/>
          <w:b/>
          <w:lang w:val="en-US"/>
        </w:rPr>
      </w:pPr>
    </w:p>
    <w:p w14:paraId="5BEC6DD7" w14:textId="77777777" w:rsidR="00707D3D" w:rsidRPr="00AA15F1" w:rsidRDefault="00707D3D" w:rsidP="00E81AFD">
      <w:pPr>
        <w:spacing w:line="360" w:lineRule="auto"/>
        <w:jc w:val="both"/>
        <w:rPr>
          <w:rFonts w:ascii="Times New Roman" w:hAnsi="Times New Roman" w:cs="Times New Roman"/>
          <w:b/>
          <w:lang w:val="en-US"/>
        </w:rPr>
      </w:pPr>
    </w:p>
    <w:p w14:paraId="183EBDD4" w14:textId="77777777" w:rsidR="00707D3D" w:rsidRPr="00AA15F1" w:rsidRDefault="00707D3D" w:rsidP="00E81AFD">
      <w:pPr>
        <w:spacing w:line="360" w:lineRule="auto"/>
        <w:jc w:val="both"/>
        <w:rPr>
          <w:rFonts w:ascii="Times New Roman" w:hAnsi="Times New Roman" w:cs="Times New Roman"/>
          <w:b/>
          <w:lang w:val="en-US"/>
        </w:rPr>
      </w:pPr>
    </w:p>
    <w:p w14:paraId="3A0536FF" w14:textId="77777777" w:rsidR="00707D3D" w:rsidRPr="00AA15F1" w:rsidRDefault="00707D3D" w:rsidP="00E81AFD">
      <w:pPr>
        <w:spacing w:line="360" w:lineRule="auto"/>
        <w:jc w:val="both"/>
        <w:rPr>
          <w:rFonts w:ascii="Times New Roman" w:hAnsi="Times New Roman" w:cs="Times New Roman"/>
          <w:b/>
          <w:lang w:val="en-US"/>
        </w:rPr>
      </w:pPr>
    </w:p>
    <w:p w14:paraId="751BAB53" w14:textId="77777777" w:rsidR="00CB3EE2" w:rsidRDefault="00CB3EE2" w:rsidP="00E81AFD">
      <w:pPr>
        <w:spacing w:line="360" w:lineRule="auto"/>
        <w:jc w:val="both"/>
        <w:rPr>
          <w:rFonts w:ascii="Times New Roman" w:hAnsi="Times New Roman" w:cs="Times New Roman"/>
          <w:b/>
          <w:lang w:val="en-US"/>
        </w:rPr>
      </w:pPr>
    </w:p>
    <w:p w14:paraId="4188956D" w14:textId="77777777" w:rsidR="00AD435D" w:rsidRDefault="00AD435D" w:rsidP="00AD435D">
      <w:pPr>
        <w:pStyle w:val="Otherunnumberedheadings"/>
      </w:pPr>
    </w:p>
    <w:p w14:paraId="2FD93D42" w14:textId="77777777" w:rsidR="00AD435D" w:rsidRDefault="00AD435D" w:rsidP="00AD435D">
      <w:pPr>
        <w:pStyle w:val="Otherunnumberedheadings"/>
      </w:pPr>
    </w:p>
    <w:p w14:paraId="3C0FCB78" w14:textId="77777777" w:rsidR="00AD435D" w:rsidRDefault="00AD435D" w:rsidP="00AD435D">
      <w:pPr>
        <w:pStyle w:val="Otherunnumberedheadings"/>
      </w:pPr>
    </w:p>
    <w:p w14:paraId="44FD80CD" w14:textId="77777777" w:rsidR="00AD435D" w:rsidRDefault="00AD435D" w:rsidP="00AD435D">
      <w:pPr>
        <w:pStyle w:val="Otherunnumberedheadings"/>
      </w:pPr>
    </w:p>
    <w:p w14:paraId="4C4319E1" w14:textId="77777777" w:rsidR="00CF4B0B" w:rsidRDefault="00CF4B0B">
      <w:pPr>
        <w:rPr>
          <w:rFonts w:ascii="Times New Roman Bold" w:eastAsia="Times New Roman" w:hAnsi="Times New Roman Bold" w:cs="Times New Roman"/>
          <w:b/>
          <w:caps/>
          <w:sz w:val="20"/>
          <w:szCs w:val="20"/>
        </w:rPr>
      </w:pPr>
      <w:r>
        <w:br w:type="page"/>
      </w:r>
    </w:p>
    <w:p w14:paraId="4544ABAC" w14:textId="77777777" w:rsidR="005A7F60" w:rsidRPr="00AD435D" w:rsidRDefault="002F02E3" w:rsidP="00AD435D">
      <w:pPr>
        <w:pStyle w:val="Otherunnumberedheadings"/>
      </w:pPr>
      <w:r w:rsidRPr="00AD435D">
        <w:t xml:space="preserve">References: </w:t>
      </w:r>
    </w:p>
    <w:p w14:paraId="767AC4A4" w14:textId="77777777" w:rsidR="00146006" w:rsidRPr="00AA15F1" w:rsidRDefault="00E4391F" w:rsidP="004A589D">
      <w:pPr>
        <w:pStyle w:val="Referencelist"/>
        <w:numPr>
          <w:ilvl w:val="0"/>
          <w:numId w:val="15"/>
        </w:numPr>
      </w:pPr>
      <w:r>
        <w:t xml:space="preserve">Graves, G.H., </w:t>
      </w:r>
      <w:r w:rsidR="00146006" w:rsidRPr="00AA15F1">
        <w:t>“Analytical foundations of physical security system assessment” Ph.D. Thesis, Texas A&amp;M University: College Station, TX, USA</w:t>
      </w:r>
      <w:r>
        <w:t>, (2006)</w:t>
      </w:r>
      <w:r w:rsidR="00146006" w:rsidRPr="00AA15F1">
        <w:t>.</w:t>
      </w:r>
    </w:p>
    <w:p w14:paraId="5ED6BBA4" w14:textId="77777777" w:rsidR="00146006" w:rsidRPr="00AA15F1" w:rsidRDefault="00E4391F" w:rsidP="004A589D">
      <w:pPr>
        <w:pStyle w:val="Referencelist"/>
        <w:numPr>
          <w:ilvl w:val="0"/>
          <w:numId w:val="15"/>
        </w:numPr>
      </w:pPr>
      <w:r>
        <w:t xml:space="preserve">Garcia, M. L, </w:t>
      </w:r>
      <w:r w:rsidR="00146006" w:rsidRPr="00AA15F1">
        <w:t xml:space="preserve">“The Design and Evaluation of Physical Protection Systems”, Second Edition, Sandia National Laboratories, </w:t>
      </w:r>
      <w:r>
        <w:t xml:space="preserve">(2007), </w:t>
      </w:r>
      <w:r w:rsidR="00146006" w:rsidRPr="00AA15F1">
        <w:t xml:space="preserve">pp. 1-375. </w:t>
      </w:r>
    </w:p>
    <w:p w14:paraId="6EE96A5A" w14:textId="77777777" w:rsidR="00146006" w:rsidRPr="00AA15F1" w:rsidRDefault="00146006" w:rsidP="004A589D">
      <w:pPr>
        <w:pStyle w:val="Referencelist"/>
        <w:numPr>
          <w:ilvl w:val="0"/>
          <w:numId w:val="15"/>
        </w:numPr>
      </w:pPr>
      <w:r w:rsidRPr="00AA15F1">
        <w:t xml:space="preserve">Jangs, S.S; Kwak, S; Yoo, J.K; Yoon,W, “Development of a Vulnerability Assessment Code for a Physical Protection System: Systematic Analysis of Physical Protection (SAPE)”, Nuclear Engineering and Technology, </w:t>
      </w:r>
      <w:r w:rsidR="00E4391F" w:rsidRPr="00AA15F1">
        <w:t>(2009),</w:t>
      </w:r>
      <w:r w:rsidRPr="00AA15F1">
        <w:t xml:space="preserve">VOL.41, pp. 747-752. </w:t>
      </w:r>
    </w:p>
    <w:p w14:paraId="0BA1EE7E" w14:textId="77777777" w:rsidR="00773CD7" w:rsidRPr="00AA15F1" w:rsidRDefault="00E4391F" w:rsidP="004A589D">
      <w:pPr>
        <w:pStyle w:val="Referencelist"/>
        <w:numPr>
          <w:ilvl w:val="0"/>
          <w:numId w:val="15"/>
        </w:numPr>
      </w:pPr>
      <w:r>
        <w:t xml:space="preserve">Yang, Z, </w:t>
      </w:r>
      <w:r w:rsidR="00146006" w:rsidRPr="00AA15F1">
        <w:t>“Research on the Effectiveness evaluation and Risk Optimization of Crime prevention system based on Fuzzy Theory and AHP model”, Journal of Computers,</w:t>
      </w:r>
      <w:r>
        <w:t xml:space="preserve"> (2011),</w:t>
      </w:r>
      <w:r w:rsidR="00146006" w:rsidRPr="00AA15F1">
        <w:t xml:space="preserve"> Vol 6:2. pp. 232-239. </w:t>
      </w:r>
    </w:p>
    <w:p w14:paraId="5E470B8C" w14:textId="77777777" w:rsidR="00773CD7" w:rsidRPr="00AA15F1" w:rsidRDefault="00146006" w:rsidP="004A589D">
      <w:pPr>
        <w:pStyle w:val="Referencelist"/>
        <w:numPr>
          <w:ilvl w:val="0"/>
          <w:numId w:val="15"/>
        </w:numPr>
      </w:pPr>
      <w:r w:rsidRPr="00AA15F1">
        <w:t>United States, Department of Energy, Sandia Laboratories, “Intrusion detection systems handbook” SAND 76-0554, Albuquerque, NM</w:t>
      </w:r>
      <w:r w:rsidR="00E4391F">
        <w:t xml:space="preserve">, </w:t>
      </w:r>
      <w:r w:rsidR="00E4391F" w:rsidRPr="00AA15F1">
        <w:t>(1976)</w:t>
      </w:r>
      <w:r w:rsidRPr="00AA15F1">
        <w:t>.</w:t>
      </w:r>
    </w:p>
    <w:p w14:paraId="6692E767" w14:textId="77777777" w:rsidR="00146006" w:rsidRPr="00AA15F1" w:rsidRDefault="00146006" w:rsidP="004A589D">
      <w:pPr>
        <w:pStyle w:val="Referencelist"/>
        <w:numPr>
          <w:ilvl w:val="0"/>
          <w:numId w:val="15"/>
        </w:numPr>
      </w:pPr>
      <w:r w:rsidRPr="00AA15F1">
        <w:t xml:space="preserve">Bennett, H.A, “The EASI approach to physical security evaluation” SAND76-0500; Sandia Labs.: Albuquerque, NM, USA, </w:t>
      </w:r>
      <w:r w:rsidR="00E4391F">
        <w:t xml:space="preserve">(1977), </w:t>
      </w:r>
      <w:r w:rsidRPr="00AA15F1">
        <w:t>pp. 1–35.</w:t>
      </w:r>
    </w:p>
    <w:p w14:paraId="2CC449B0" w14:textId="77777777" w:rsidR="00146006" w:rsidRPr="00AA15F1" w:rsidRDefault="00146006" w:rsidP="004A589D">
      <w:pPr>
        <w:pStyle w:val="Referencelist"/>
        <w:numPr>
          <w:ilvl w:val="0"/>
          <w:numId w:val="15"/>
        </w:numPr>
      </w:pPr>
      <w:r w:rsidRPr="00AA15F1">
        <w:t>18th International Training Course, “Physical Protection of Nuclear Facilities and Materials”, Sandia National Laboratories, Albuquerque, NM, USA</w:t>
      </w:r>
      <w:r w:rsidR="00E4391F">
        <w:t>, (2004)</w:t>
      </w:r>
      <w:r w:rsidRPr="00AA15F1">
        <w:t xml:space="preserve">. </w:t>
      </w:r>
    </w:p>
    <w:p w14:paraId="014BB4AA" w14:textId="77777777" w:rsidR="00146006" w:rsidRPr="00AA15F1" w:rsidRDefault="00146006" w:rsidP="004A589D">
      <w:pPr>
        <w:pStyle w:val="Referencelist"/>
        <w:numPr>
          <w:ilvl w:val="0"/>
          <w:numId w:val="15"/>
        </w:numPr>
      </w:pPr>
      <w:r w:rsidRPr="00AA15F1">
        <w:t>SNELL M. K., “Report on Project Action Sheet PP05 Task 3 between the U.S. Department of Energy and the Republic of Korea Ministry of Education, Science, and Technology (MEST)”, SANDIA Report SAND2013-0039</w:t>
      </w:r>
      <w:r w:rsidR="00E4391F">
        <w:t xml:space="preserve">, </w:t>
      </w:r>
      <w:r w:rsidR="00E4391F" w:rsidRPr="00AA15F1">
        <w:t>(2013)</w:t>
      </w:r>
      <w:r w:rsidRPr="00AA15F1">
        <w:t>.</w:t>
      </w:r>
    </w:p>
    <w:p w14:paraId="505E9B6C" w14:textId="77777777" w:rsidR="00146006" w:rsidRPr="00AA15F1" w:rsidRDefault="00E4391F" w:rsidP="004A589D">
      <w:pPr>
        <w:pStyle w:val="Referencelist"/>
        <w:numPr>
          <w:ilvl w:val="0"/>
          <w:numId w:val="15"/>
        </w:numPr>
      </w:pPr>
      <w:r>
        <w:t xml:space="preserve">HAWILA M. and CHIRAYATH S., </w:t>
      </w:r>
      <w:r w:rsidR="00146006" w:rsidRPr="00AA15F1">
        <w:t>“</w:t>
      </w:r>
      <w:r w:rsidR="00146006" w:rsidRPr="00AD435D">
        <w:t>Combined nuclear safety-security risk analysis methodology development and demonstration through a case study</w:t>
      </w:r>
      <w:r w:rsidR="00146006" w:rsidRPr="00AA15F1">
        <w:t xml:space="preserve">”, Progress in Nuclear Energy, </w:t>
      </w:r>
      <w:r w:rsidRPr="00AA15F1">
        <w:t>(2018)</w:t>
      </w:r>
      <w:r>
        <w:t xml:space="preserve">, </w:t>
      </w:r>
      <w:r w:rsidR="00146006" w:rsidRPr="00AA15F1">
        <w:t>Vol.105, pp 153-159.</w:t>
      </w:r>
    </w:p>
    <w:p w14:paraId="587D6AE1" w14:textId="77777777" w:rsidR="00146006" w:rsidRPr="00AA15F1" w:rsidRDefault="00146006" w:rsidP="004A589D">
      <w:pPr>
        <w:pStyle w:val="Referencelist"/>
        <w:numPr>
          <w:ilvl w:val="0"/>
          <w:numId w:val="15"/>
        </w:numPr>
      </w:pPr>
      <w:r w:rsidRPr="00AA15F1">
        <w:t>HAWILA M. and CHIRAYATH S., “</w:t>
      </w:r>
      <w:r w:rsidRPr="00AD435D">
        <w:t>Nuclear Security risk Analysis: An Insider-Outsider Collusion Scenario</w:t>
      </w:r>
      <w:r w:rsidRPr="00AA15F1">
        <w:t xml:space="preserve">”, International Journal of Nuclear Security, </w:t>
      </w:r>
      <w:r w:rsidR="00E4391F">
        <w:t xml:space="preserve">(2016), </w:t>
      </w:r>
      <w:r w:rsidRPr="00AA15F1">
        <w:t>Vol.2 No.2.</w:t>
      </w:r>
    </w:p>
    <w:p w14:paraId="5E7A2D93" w14:textId="77777777" w:rsidR="00146006" w:rsidRPr="00AA15F1" w:rsidRDefault="00146006" w:rsidP="004A589D">
      <w:pPr>
        <w:pStyle w:val="Referencelist"/>
        <w:numPr>
          <w:ilvl w:val="0"/>
          <w:numId w:val="15"/>
        </w:numPr>
      </w:pPr>
      <w:r w:rsidRPr="00AA15F1">
        <w:t>CHIRAYATH S, Private Communication at Texas A&amp;M University, College Station</w:t>
      </w:r>
      <w:r w:rsidR="00E4391F">
        <w:t>, (2016)</w:t>
      </w:r>
      <w:r w:rsidRPr="00AA15F1">
        <w:t>.</w:t>
      </w:r>
    </w:p>
    <w:p w14:paraId="10335991" w14:textId="77777777" w:rsidR="00146006" w:rsidRPr="00AA15F1" w:rsidRDefault="00146006" w:rsidP="004A589D">
      <w:pPr>
        <w:pStyle w:val="Referencelist"/>
        <w:numPr>
          <w:ilvl w:val="0"/>
          <w:numId w:val="15"/>
        </w:numPr>
      </w:pPr>
      <w:r w:rsidRPr="00AA15F1">
        <w:t xml:space="preserve">INTERNATIONAL ATOMIC ENERGY </w:t>
      </w:r>
      <w:r w:rsidR="00E75BE6">
        <w:t>AGENCY</w:t>
      </w:r>
      <w:r w:rsidR="001B52E1">
        <w:t xml:space="preserve">, </w:t>
      </w:r>
      <w:r w:rsidRPr="00AA15F1">
        <w:t>International Nuclear and radiological event scale (INES), user's manual, Vienna</w:t>
      </w:r>
      <w:r w:rsidR="00781888">
        <w:t>, (201</w:t>
      </w:r>
      <w:r w:rsidR="001B52E1">
        <w:t>3</w:t>
      </w:r>
      <w:r w:rsidR="00781888">
        <w:t>)</w:t>
      </w:r>
      <w:r w:rsidRPr="00AA15F1">
        <w:t>.</w:t>
      </w:r>
    </w:p>
    <w:p w14:paraId="1CFFB824" w14:textId="77777777" w:rsidR="005C3105" w:rsidRPr="00AA15F1" w:rsidRDefault="005C3105" w:rsidP="00BC292F">
      <w:pPr>
        <w:pStyle w:val="ListParagraph"/>
        <w:spacing w:line="360" w:lineRule="auto"/>
        <w:ind w:left="0"/>
        <w:jc w:val="both"/>
        <w:rPr>
          <w:rFonts w:ascii="Times New Roman" w:hAnsi="Times New Roman" w:cs="Times New Roman"/>
        </w:rPr>
      </w:pPr>
    </w:p>
    <w:sectPr w:rsidR="005C3105" w:rsidRPr="00AA15F1" w:rsidSect="000208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ABE"/>
    <w:multiLevelType w:val="hybridMultilevel"/>
    <w:tmpl w:val="213A02C0"/>
    <w:lvl w:ilvl="0" w:tplc="F732E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A2DD5"/>
    <w:multiLevelType w:val="hybridMultilevel"/>
    <w:tmpl w:val="0FFCA7EE"/>
    <w:lvl w:ilvl="0" w:tplc="D1228D12">
      <w:start w:val="1"/>
      <w:numFmt w:val="decimal"/>
      <w:lvlText w:val="[1]%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A64C9"/>
    <w:multiLevelType w:val="hybridMultilevel"/>
    <w:tmpl w:val="B8807756"/>
    <w:lvl w:ilvl="0" w:tplc="CFB02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44D71"/>
    <w:multiLevelType w:val="hybridMultilevel"/>
    <w:tmpl w:val="9570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169DB"/>
    <w:multiLevelType w:val="hybridMultilevel"/>
    <w:tmpl w:val="95709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64E33"/>
    <w:multiLevelType w:val="hybridMultilevel"/>
    <w:tmpl w:val="A47CB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7D3B5F"/>
    <w:multiLevelType w:val="hybridMultilevel"/>
    <w:tmpl w:val="E06074BC"/>
    <w:lvl w:ilvl="0" w:tplc="F732E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9" w15:restartNumberingAfterBreak="0">
    <w:nsid w:val="79910FCC"/>
    <w:multiLevelType w:val="multilevel"/>
    <w:tmpl w:val="1D84D93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9"/>
  </w:num>
  <w:num w:numId="3">
    <w:abstractNumId w:val="2"/>
  </w:num>
  <w:num w:numId="4">
    <w:abstractNumId w:val="4"/>
  </w:num>
  <w:num w:numId="5">
    <w:abstractNumId w:val="3"/>
  </w:num>
  <w:num w:numId="6">
    <w:abstractNumId w:val="7"/>
  </w:num>
  <w:num w:numId="7">
    <w:abstractNumId w:val="8"/>
  </w:num>
  <w:num w:numId="8">
    <w:abstractNumId w:val="6"/>
  </w:num>
  <w:num w:numId="9">
    <w:abstractNumId w:val="8"/>
  </w:num>
  <w:num w:numId="10">
    <w:abstractNumId w:val="8"/>
  </w:num>
  <w:num w:numId="11">
    <w:abstractNumId w:val="8"/>
  </w:num>
  <w:num w:numId="12">
    <w:abstractNumId w:val="8"/>
  </w:num>
  <w:num w:numId="13">
    <w:abstractNumId w:val="8"/>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2"/>
  </w:compat>
  <w:rsids>
    <w:rsidRoot w:val="00D6741E"/>
    <w:rsid w:val="00006606"/>
    <w:rsid w:val="000100A5"/>
    <w:rsid w:val="00017CAF"/>
    <w:rsid w:val="00020880"/>
    <w:rsid w:val="00023F1B"/>
    <w:rsid w:val="00026595"/>
    <w:rsid w:val="0003448C"/>
    <w:rsid w:val="000411A2"/>
    <w:rsid w:val="00045E41"/>
    <w:rsid w:val="000538FF"/>
    <w:rsid w:val="00057E0A"/>
    <w:rsid w:val="000771FB"/>
    <w:rsid w:val="00077969"/>
    <w:rsid w:val="00086B2E"/>
    <w:rsid w:val="000927A5"/>
    <w:rsid w:val="00092E9C"/>
    <w:rsid w:val="00096D3F"/>
    <w:rsid w:val="000B6C3D"/>
    <w:rsid w:val="000C25F0"/>
    <w:rsid w:val="000C47EE"/>
    <w:rsid w:val="000C7030"/>
    <w:rsid w:val="000D751D"/>
    <w:rsid w:val="000E525C"/>
    <w:rsid w:val="001062AC"/>
    <w:rsid w:val="00110AA2"/>
    <w:rsid w:val="00114C3D"/>
    <w:rsid w:val="00127B90"/>
    <w:rsid w:val="00134657"/>
    <w:rsid w:val="0013671D"/>
    <w:rsid w:val="001410C3"/>
    <w:rsid w:val="0014465B"/>
    <w:rsid w:val="00144AF8"/>
    <w:rsid w:val="00146006"/>
    <w:rsid w:val="00152085"/>
    <w:rsid w:val="00184DD6"/>
    <w:rsid w:val="00190D32"/>
    <w:rsid w:val="0019214B"/>
    <w:rsid w:val="00194B7D"/>
    <w:rsid w:val="001B1CF2"/>
    <w:rsid w:val="001B52E1"/>
    <w:rsid w:val="001C2ECA"/>
    <w:rsid w:val="001D7103"/>
    <w:rsid w:val="001D7F7D"/>
    <w:rsid w:val="0020109F"/>
    <w:rsid w:val="00216126"/>
    <w:rsid w:val="00222279"/>
    <w:rsid w:val="002237F4"/>
    <w:rsid w:val="0022471C"/>
    <w:rsid w:val="00261910"/>
    <w:rsid w:val="002A1216"/>
    <w:rsid w:val="002A609B"/>
    <w:rsid w:val="002B32D3"/>
    <w:rsid w:val="002B4BAD"/>
    <w:rsid w:val="002C3457"/>
    <w:rsid w:val="002C49B4"/>
    <w:rsid w:val="002D6401"/>
    <w:rsid w:val="002E408E"/>
    <w:rsid w:val="002E499A"/>
    <w:rsid w:val="002F02E3"/>
    <w:rsid w:val="002F44E6"/>
    <w:rsid w:val="003122A2"/>
    <w:rsid w:val="00314FC2"/>
    <w:rsid w:val="0032481C"/>
    <w:rsid w:val="003257BF"/>
    <w:rsid w:val="00327C3F"/>
    <w:rsid w:val="00334CDC"/>
    <w:rsid w:val="0034369D"/>
    <w:rsid w:val="00362541"/>
    <w:rsid w:val="003647F2"/>
    <w:rsid w:val="00371565"/>
    <w:rsid w:val="0037331B"/>
    <w:rsid w:val="003973C7"/>
    <w:rsid w:val="003A16F5"/>
    <w:rsid w:val="003A55C7"/>
    <w:rsid w:val="003B30F8"/>
    <w:rsid w:val="003B3B7C"/>
    <w:rsid w:val="003B495F"/>
    <w:rsid w:val="003B5AA3"/>
    <w:rsid w:val="003C5F0D"/>
    <w:rsid w:val="003D2780"/>
    <w:rsid w:val="003D47E1"/>
    <w:rsid w:val="003E0DB2"/>
    <w:rsid w:val="0040017C"/>
    <w:rsid w:val="00401983"/>
    <w:rsid w:val="00403608"/>
    <w:rsid w:val="00404398"/>
    <w:rsid w:val="004078AD"/>
    <w:rsid w:val="004145EA"/>
    <w:rsid w:val="00426564"/>
    <w:rsid w:val="0044080E"/>
    <w:rsid w:val="004419D4"/>
    <w:rsid w:val="00467C68"/>
    <w:rsid w:val="0047017C"/>
    <w:rsid w:val="0047797E"/>
    <w:rsid w:val="00484109"/>
    <w:rsid w:val="004866D3"/>
    <w:rsid w:val="00495536"/>
    <w:rsid w:val="004A589D"/>
    <w:rsid w:val="004B042B"/>
    <w:rsid w:val="004B0A19"/>
    <w:rsid w:val="004B1B1A"/>
    <w:rsid w:val="004B539D"/>
    <w:rsid w:val="004D1144"/>
    <w:rsid w:val="004F3B21"/>
    <w:rsid w:val="00505CCC"/>
    <w:rsid w:val="005154E2"/>
    <w:rsid w:val="005309C1"/>
    <w:rsid w:val="005310ED"/>
    <w:rsid w:val="00535536"/>
    <w:rsid w:val="005451CA"/>
    <w:rsid w:val="0054604C"/>
    <w:rsid w:val="00546235"/>
    <w:rsid w:val="005476B4"/>
    <w:rsid w:val="0055324D"/>
    <w:rsid w:val="0055775E"/>
    <w:rsid w:val="00562731"/>
    <w:rsid w:val="00565300"/>
    <w:rsid w:val="00574BD3"/>
    <w:rsid w:val="005768EC"/>
    <w:rsid w:val="005806FE"/>
    <w:rsid w:val="00586AF9"/>
    <w:rsid w:val="005A63EB"/>
    <w:rsid w:val="005A718D"/>
    <w:rsid w:val="005A7F60"/>
    <w:rsid w:val="005B33E7"/>
    <w:rsid w:val="005C3105"/>
    <w:rsid w:val="005D5876"/>
    <w:rsid w:val="005F2658"/>
    <w:rsid w:val="005F44EC"/>
    <w:rsid w:val="005F55AD"/>
    <w:rsid w:val="0062173C"/>
    <w:rsid w:val="00636057"/>
    <w:rsid w:val="006506C8"/>
    <w:rsid w:val="006611CF"/>
    <w:rsid w:val="00661A1D"/>
    <w:rsid w:val="006B15F3"/>
    <w:rsid w:val="006B5C5C"/>
    <w:rsid w:val="006C2544"/>
    <w:rsid w:val="006D4C47"/>
    <w:rsid w:val="006D5770"/>
    <w:rsid w:val="006E084D"/>
    <w:rsid w:val="006F5501"/>
    <w:rsid w:val="00707D3D"/>
    <w:rsid w:val="0074031E"/>
    <w:rsid w:val="0074288A"/>
    <w:rsid w:val="00751D10"/>
    <w:rsid w:val="007540BC"/>
    <w:rsid w:val="00764C65"/>
    <w:rsid w:val="00773CD7"/>
    <w:rsid w:val="00781888"/>
    <w:rsid w:val="007908E1"/>
    <w:rsid w:val="0079786D"/>
    <w:rsid w:val="007F190A"/>
    <w:rsid w:val="007F2BCB"/>
    <w:rsid w:val="0080011C"/>
    <w:rsid w:val="00800A10"/>
    <w:rsid w:val="00845C71"/>
    <w:rsid w:val="008815FD"/>
    <w:rsid w:val="0088305C"/>
    <w:rsid w:val="00891C83"/>
    <w:rsid w:val="00895AD4"/>
    <w:rsid w:val="008B0F9B"/>
    <w:rsid w:val="008C4BF8"/>
    <w:rsid w:val="008C7108"/>
    <w:rsid w:val="00902D71"/>
    <w:rsid w:val="0090634B"/>
    <w:rsid w:val="0091191F"/>
    <w:rsid w:val="00912E22"/>
    <w:rsid w:val="00940626"/>
    <w:rsid w:val="00956F21"/>
    <w:rsid w:val="00992543"/>
    <w:rsid w:val="00992D67"/>
    <w:rsid w:val="009942A9"/>
    <w:rsid w:val="00994B52"/>
    <w:rsid w:val="009A17BC"/>
    <w:rsid w:val="009A51FC"/>
    <w:rsid w:val="009B5184"/>
    <w:rsid w:val="009C3B10"/>
    <w:rsid w:val="009E1176"/>
    <w:rsid w:val="009E1CA3"/>
    <w:rsid w:val="009E25A7"/>
    <w:rsid w:val="009E2F8D"/>
    <w:rsid w:val="009F1C04"/>
    <w:rsid w:val="009F7FD9"/>
    <w:rsid w:val="00A047C1"/>
    <w:rsid w:val="00A11A39"/>
    <w:rsid w:val="00A16F09"/>
    <w:rsid w:val="00A21162"/>
    <w:rsid w:val="00A26682"/>
    <w:rsid w:val="00A31500"/>
    <w:rsid w:val="00A33579"/>
    <w:rsid w:val="00A52259"/>
    <w:rsid w:val="00A73C69"/>
    <w:rsid w:val="00A75AA0"/>
    <w:rsid w:val="00A82565"/>
    <w:rsid w:val="00A90B7B"/>
    <w:rsid w:val="00AA15F1"/>
    <w:rsid w:val="00AA5C2C"/>
    <w:rsid w:val="00AA70BB"/>
    <w:rsid w:val="00AB57A1"/>
    <w:rsid w:val="00AD435D"/>
    <w:rsid w:val="00B10715"/>
    <w:rsid w:val="00B262FA"/>
    <w:rsid w:val="00B330A3"/>
    <w:rsid w:val="00B337CA"/>
    <w:rsid w:val="00B33EC7"/>
    <w:rsid w:val="00B52FDC"/>
    <w:rsid w:val="00B53F53"/>
    <w:rsid w:val="00B76CBE"/>
    <w:rsid w:val="00B868A6"/>
    <w:rsid w:val="00B9384C"/>
    <w:rsid w:val="00BA65E8"/>
    <w:rsid w:val="00BC0100"/>
    <w:rsid w:val="00BC292F"/>
    <w:rsid w:val="00BD186D"/>
    <w:rsid w:val="00BD5B32"/>
    <w:rsid w:val="00BF740A"/>
    <w:rsid w:val="00C10A34"/>
    <w:rsid w:val="00C13025"/>
    <w:rsid w:val="00C17A50"/>
    <w:rsid w:val="00C201BF"/>
    <w:rsid w:val="00C22EF0"/>
    <w:rsid w:val="00C34CE3"/>
    <w:rsid w:val="00C54069"/>
    <w:rsid w:val="00C71941"/>
    <w:rsid w:val="00C75B8F"/>
    <w:rsid w:val="00C82AD9"/>
    <w:rsid w:val="00C834BA"/>
    <w:rsid w:val="00C97615"/>
    <w:rsid w:val="00CA7A00"/>
    <w:rsid w:val="00CB3EE2"/>
    <w:rsid w:val="00CE7101"/>
    <w:rsid w:val="00CF454C"/>
    <w:rsid w:val="00CF4B0B"/>
    <w:rsid w:val="00CF70D3"/>
    <w:rsid w:val="00D06D72"/>
    <w:rsid w:val="00D17608"/>
    <w:rsid w:val="00D20E42"/>
    <w:rsid w:val="00D21AE4"/>
    <w:rsid w:val="00D21F78"/>
    <w:rsid w:val="00D24671"/>
    <w:rsid w:val="00D313AA"/>
    <w:rsid w:val="00D33F83"/>
    <w:rsid w:val="00D6741E"/>
    <w:rsid w:val="00D83ECE"/>
    <w:rsid w:val="00D90B49"/>
    <w:rsid w:val="00DA51CA"/>
    <w:rsid w:val="00DB10E4"/>
    <w:rsid w:val="00DB1324"/>
    <w:rsid w:val="00DB5423"/>
    <w:rsid w:val="00DC36AB"/>
    <w:rsid w:val="00DE3260"/>
    <w:rsid w:val="00E276DB"/>
    <w:rsid w:val="00E3502E"/>
    <w:rsid w:val="00E4391F"/>
    <w:rsid w:val="00E75BE6"/>
    <w:rsid w:val="00E81AFD"/>
    <w:rsid w:val="00E93EA1"/>
    <w:rsid w:val="00E94881"/>
    <w:rsid w:val="00EA3F9E"/>
    <w:rsid w:val="00EC6810"/>
    <w:rsid w:val="00EF6846"/>
    <w:rsid w:val="00F06E40"/>
    <w:rsid w:val="00F3464D"/>
    <w:rsid w:val="00F4393A"/>
    <w:rsid w:val="00F45FFA"/>
    <w:rsid w:val="00F8166E"/>
    <w:rsid w:val="00F85832"/>
    <w:rsid w:val="00F95E26"/>
    <w:rsid w:val="00F966F3"/>
    <w:rsid w:val="00FA2259"/>
    <w:rsid w:val="00FB5FB9"/>
    <w:rsid w:val="00FC3DF0"/>
    <w:rsid w:val="00FE0E35"/>
    <w:rsid w:val="00F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48"/>
      </o:rules>
    </o:shapelayout>
  </w:shapeDefaults>
  <w:decimalSymbol w:val="."/>
  <w:listSeparator w:val=","/>
  <w14:docId w14:val="7E206E61"/>
  <w15:docId w15:val="{14D03C52-787C-49AB-BC65-15915C7D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EC"/>
  </w:style>
  <w:style w:type="paragraph" w:styleId="Heading1">
    <w:name w:val="heading 1"/>
    <w:aliases w:val="Paper title"/>
    <w:basedOn w:val="Normal"/>
    <w:next w:val="Normal"/>
    <w:link w:val="Heading1Char"/>
    <w:uiPriority w:val="4"/>
    <w:qFormat/>
    <w:rsid w:val="00006606"/>
    <w:pPr>
      <w:spacing w:line="280" w:lineRule="atLeast"/>
      <w:ind w:left="567" w:right="567"/>
      <w:outlineLvl w:val="0"/>
    </w:pPr>
    <w:rPr>
      <w:rFonts w:ascii="Times New Roman Bold" w:eastAsia="Times New Roman" w:hAnsi="Times New Roman Bold" w:cs="Times New Roman"/>
      <w:b/>
      <w:caps/>
      <w:szCs w:val="20"/>
      <w:lang w:val="en-US"/>
    </w:rPr>
  </w:style>
  <w:style w:type="paragraph" w:styleId="Heading2">
    <w:name w:val="heading 2"/>
    <w:aliases w:val="1st level paper heading"/>
    <w:basedOn w:val="Normal"/>
    <w:next w:val="Normal"/>
    <w:link w:val="Heading2Char"/>
    <w:uiPriority w:val="4"/>
    <w:qFormat/>
    <w:rsid w:val="002B4BAD"/>
    <w:pPr>
      <w:widowControl w:val="0"/>
      <w:numPr>
        <w:ilvl w:val="1"/>
        <w:numId w:val="7"/>
      </w:numPr>
      <w:spacing w:before="100" w:beforeAutospacing="1" w:after="100" w:afterAutospacing="1" w:line="280" w:lineRule="atLeast"/>
      <w:outlineLvl w:val="1"/>
    </w:pPr>
    <w:rPr>
      <w:rFonts w:ascii="Times New Roman" w:eastAsia="Times New Roman" w:hAnsi="Times New Roman" w:cs="Times New Roman"/>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5F3"/>
    <w:rPr>
      <w:color w:val="0563C1" w:themeColor="hyperlink"/>
      <w:u w:val="single"/>
    </w:rPr>
  </w:style>
  <w:style w:type="paragraph" w:styleId="BalloonText">
    <w:name w:val="Balloon Text"/>
    <w:basedOn w:val="Normal"/>
    <w:link w:val="BalloonTextChar"/>
    <w:uiPriority w:val="99"/>
    <w:semiHidden/>
    <w:unhideWhenUsed/>
    <w:rsid w:val="005309C1"/>
    <w:rPr>
      <w:rFonts w:ascii="Tahoma" w:hAnsi="Tahoma" w:cs="Tahoma"/>
      <w:sz w:val="16"/>
      <w:szCs w:val="16"/>
    </w:rPr>
  </w:style>
  <w:style w:type="character" w:customStyle="1" w:styleId="BalloonTextChar">
    <w:name w:val="Balloon Text Char"/>
    <w:basedOn w:val="DefaultParagraphFont"/>
    <w:link w:val="BalloonText"/>
    <w:uiPriority w:val="99"/>
    <w:semiHidden/>
    <w:rsid w:val="005309C1"/>
    <w:rPr>
      <w:rFonts w:ascii="Tahoma" w:hAnsi="Tahoma" w:cs="Tahoma"/>
      <w:sz w:val="16"/>
      <w:szCs w:val="16"/>
    </w:rPr>
  </w:style>
  <w:style w:type="character" w:styleId="PlaceholderText">
    <w:name w:val="Placeholder Text"/>
    <w:basedOn w:val="DefaultParagraphFont"/>
    <w:uiPriority w:val="99"/>
    <w:semiHidden/>
    <w:rsid w:val="00CF70D3"/>
    <w:rPr>
      <w:color w:val="808080"/>
    </w:rPr>
  </w:style>
  <w:style w:type="paragraph" w:styleId="ListParagraph">
    <w:name w:val="List Paragraph"/>
    <w:basedOn w:val="Normal"/>
    <w:uiPriority w:val="34"/>
    <w:qFormat/>
    <w:rsid w:val="00DA51CA"/>
    <w:pPr>
      <w:ind w:left="720"/>
      <w:contextualSpacing/>
    </w:pPr>
  </w:style>
  <w:style w:type="table" w:styleId="TableGrid">
    <w:name w:val="Table Grid"/>
    <w:basedOn w:val="TableNormal"/>
    <w:uiPriority w:val="59"/>
    <w:rsid w:val="00C1302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per title Char"/>
    <w:basedOn w:val="DefaultParagraphFont"/>
    <w:link w:val="Heading1"/>
    <w:uiPriority w:val="4"/>
    <w:rsid w:val="00006606"/>
    <w:rPr>
      <w:rFonts w:ascii="Times New Roman Bold" w:eastAsia="Times New Roman" w:hAnsi="Times New Roman Bold" w:cs="Times New Roman"/>
      <w:b/>
      <w:caps/>
      <w:szCs w:val="20"/>
      <w:lang w:val="en-US"/>
    </w:rPr>
  </w:style>
  <w:style w:type="paragraph" w:styleId="Subtitle">
    <w:name w:val="Subtitle"/>
    <w:basedOn w:val="Normal"/>
    <w:next w:val="Normal"/>
    <w:link w:val="SubtitleChar"/>
    <w:uiPriority w:val="11"/>
    <w:qFormat/>
    <w:rsid w:val="00006606"/>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06606"/>
    <w:rPr>
      <w:rFonts w:asciiTheme="majorHAnsi" w:eastAsiaTheme="majorEastAsia" w:hAnsiTheme="majorHAnsi" w:cstheme="majorBidi"/>
      <w:i/>
      <w:iCs/>
      <w:color w:val="4472C4" w:themeColor="accent1"/>
      <w:spacing w:val="15"/>
    </w:rPr>
  </w:style>
  <w:style w:type="paragraph" w:customStyle="1" w:styleId="Authornameandaffiliation">
    <w:name w:val="Author name and affiliation"/>
    <w:uiPriority w:val="49"/>
    <w:qFormat/>
    <w:rsid w:val="00006606"/>
    <w:pPr>
      <w:ind w:left="567"/>
      <w:contextualSpacing/>
    </w:pPr>
    <w:rPr>
      <w:rFonts w:ascii="Times New Roman" w:eastAsia="Times New Roman" w:hAnsi="Times New Roman" w:cs="Times New Roman"/>
      <w:sz w:val="20"/>
      <w:szCs w:val="20"/>
      <w:lang w:val="en-US"/>
    </w:rPr>
  </w:style>
  <w:style w:type="character" w:customStyle="1" w:styleId="Heading2Char">
    <w:name w:val="Heading 2 Char"/>
    <w:aliases w:val="1st level paper heading Char"/>
    <w:basedOn w:val="DefaultParagraphFont"/>
    <w:link w:val="Heading2"/>
    <w:uiPriority w:val="4"/>
    <w:rsid w:val="002B4BAD"/>
    <w:rPr>
      <w:rFonts w:ascii="Times New Roman" w:eastAsia="Times New Roman" w:hAnsi="Times New Roman" w:cs="Times New Roman"/>
      <w:caps/>
      <w:sz w:val="20"/>
      <w:szCs w:val="20"/>
    </w:rPr>
  </w:style>
  <w:style w:type="paragraph" w:styleId="BodyText">
    <w:name w:val="Body Text"/>
    <w:basedOn w:val="Normal"/>
    <w:link w:val="BodyTextChar"/>
    <w:unhideWhenUsed/>
    <w:qFormat/>
    <w:rsid w:val="002B4BAD"/>
    <w:pPr>
      <w:spacing w:after="120"/>
    </w:pPr>
  </w:style>
  <w:style w:type="character" w:customStyle="1" w:styleId="BodyTextChar">
    <w:name w:val="Body Text Char"/>
    <w:basedOn w:val="DefaultParagraphFont"/>
    <w:link w:val="BodyText"/>
    <w:uiPriority w:val="99"/>
    <w:semiHidden/>
    <w:rsid w:val="002B4BAD"/>
  </w:style>
  <w:style w:type="paragraph" w:styleId="Caption">
    <w:name w:val="caption"/>
    <w:next w:val="Normal"/>
    <w:uiPriority w:val="49"/>
    <w:rsid w:val="00CB3EE2"/>
    <w:pPr>
      <w:spacing w:after="85"/>
    </w:pPr>
    <w:rPr>
      <w:rFonts w:ascii="Times New Roman" w:eastAsia="Times New Roman" w:hAnsi="Times New Roman" w:cs="Times New Roman"/>
      <w:bCs/>
      <w:sz w:val="18"/>
      <w:szCs w:val="20"/>
      <w:lang w:val="en-US"/>
    </w:rPr>
  </w:style>
  <w:style w:type="paragraph" w:customStyle="1" w:styleId="Otherunnumberedheadings">
    <w:name w:val="Other unnumbered headings"/>
    <w:next w:val="BodyText"/>
    <w:uiPriority w:val="49"/>
    <w:qFormat/>
    <w:locked/>
    <w:rsid w:val="00AD435D"/>
    <w:pPr>
      <w:spacing w:before="100" w:beforeAutospacing="1" w:after="100" w:afterAutospacing="1" w:line="260" w:lineRule="atLeast"/>
      <w:jc w:val="center"/>
    </w:pPr>
    <w:rPr>
      <w:rFonts w:ascii="Times New Roman Bold" w:eastAsia="Times New Roman" w:hAnsi="Times New Roman Bold" w:cs="Times New Roman"/>
      <w:b/>
      <w:caps/>
      <w:sz w:val="20"/>
      <w:szCs w:val="20"/>
    </w:rPr>
  </w:style>
  <w:style w:type="paragraph" w:customStyle="1" w:styleId="Referencelist">
    <w:name w:val="Reference list"/>
    <w:basedOn w:val="BodyText"/>
    <w:uiPriority w:val="49"/>
    <w:qFormat/>
    <w:rsid w:val="00AD435D"/>
    <w:pPr>
      <w:numPr>
        <w:numId w:val="14"/>
      </w:numPr>
      <w:spacing w:after="0" w:line="260" w:lineRule="atLeast"/>
      <w:contextualSpacing/>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mailto:agoel1@amity.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4HWPYYT6XAN2-2121337104-24011</_dlc_DocId>
    <_dlc_DocIdUrl xmlns="9a0cca68-9885-4579-a121-0ff71e341cd0">
      <Url>https://nsns-new.sg.iaea.org/meetings/_layouts/15/DocIdRedir.aspx?ID=4HWPYYT6XAN2-2121337104-24011</Url>
      <Description>4HWPYYT6XAN2-2121337104-24011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CCF12-F842-4AF2-B537-2F9862ED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9E29F-313D-422C-B605-906A291DAF71}">
  <ds:schemaRefs>
    <ds:schemaRef ds:uri="http://schemas.microsoft.com/sharepoint/events"/>
  </ds:schemaRefs>
</ds:datastoreItem>
</file>

<file path=customXml/itemProps3.xml><?xml version="1.0" encoding="utf-8"?>
<ds:datastoreItem xmlns:ds="http://schemas.openxmlformats.org/officeDocument/2006/customXml" ds:itemID="{61CAAAF7-0F82-47BA-A8D5-9C19A5545643}">
  <ds:schemaRefs>
    <ds:schemaRef ds:uri="http://schemas.microsoft.com/sharepoint/v3/contenttype/forms"/>
  </ds:schemaRefs>
</ds:datastoreItem>
</file>

<file path=customXml/itemProps4.xml><?xml version="1.0" encoding="utf-8"?>
<ds:datastoreItem xmlns:ds="http://schemas.openxmlformats.org/officeDocument/2006/customXml" ds:itemID="{93512EC8-3250-464D-BDDB-82838816C26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a0cca68-9885-4579-a121-0ff71e341cd0"/>
    <ds:schemaRef ds:uri="http://purl.org/dc/term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9E776388-2C97-4237-A541-A884892A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Indranil Bisuri</dc:creator>
  <cp:lastModifiedBy>TAJER, Katherine</cp:lastModifiedBy>
  <cp:revision>2</cp:revision>
  <cp:lastPrinted>2019-11-26T15:20:00Z</cp:lastPrinted>
  <dcterms:created xsi:type="dcterms:W3CDTF">2019-12-06T15:38:00Z</dcterms:created>
  <dcterms:modified xsi:type="dcterms:W3CDTF">2019-12-06T15:38:00Z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0x010100D90D72D8323497419D0B0D490876AA9F</vt:lpwstr>
  </property>
  <property fmtid="{D5CDD505-2E9C-101B-9397-08002B2CF9AE}" pid="3" name="_dlc_DocIdItemGuid">
    <vt:lpwstr>fddab064-818c-46b6-a166-93c2c4e2f976</vt:lpwstr>
  </property>
</Properties>
</file>