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EDF04" w14:textId="77777777" w:rsidR="00E2151A" w:rsidRDefault="007F0D41" w:rsidP="00537496">
      <w:pPr>
        <w:pStyle w:val="1"/>
      </w:pPr>
      <w:r w:rsidRPr="007F0D41">
        <w:t>Lessons</w:t>
      </w:r>
      <w:r w:rsidR="00E2151A">
        <w:t xml:space="preserve"> learned from Fukushima Daiichi</w:t>
      </w:r>
    </w:p>
    <w:p w14:paraId="42D16585" w14:textId="330E9158" w:rsidR="00E20E70" w:rsidRPr="00EE29B9" w:rsidRDefault="007F0D41" w:rsidP="00537496">
      <w:pPr>
        <w:pStyle w:val="1"/>
      </w:pPr>
      <w:r w:rsidRPr="007F0D41">
        <w:t>Nuclear Accident for spent fuel storage</w:t>
      </w:r>
    </w:p>
    <w:p w14:paraId="121C31D9" w14:textId="77777777" w:rsidR="00802381" w:rsidRDefault="00802381" w:rsidP="00537496">
      <w:pPr>
        <w:pStyle w:val="Authornameandaffiliation"/>
      </w:pPr>
    </w:p>
    <w:p w14:paraId="5EB0FAE4" w14:textId="3D895CB9" w:rsidR="003B5E0E" w:rsidRDefault="007F0D41" w:rsidP="00537496">
      <w:pPr>
        <w:pStyle w:val="Authornameandaffiliation"/>
        <w:rPr>
          <w:lang w:eastAsia="ja-JP"/>
        </w:rPr>
      </w:pPr>
      <w:r>
        <w:t>KAMINISHI</w:t>
      </w:r>
      <w:r>
        <w:rPr>
          <w:rFonts w:hint="eastAsia"/>
          <w:lang w:eastAsia="ja-JP"/>
        </w:rPr>
        <w:t xml:space="preserve"> SHUJI</w:t>
      </w:r>
    </w:p>
    <w:p w14:paraId="4695EB59" w14:textId="50A8B608" w:rsidR="00FF386F" w:rsidRDefault="007F0D41" w:rsidP="00537496">
      <w:pPr>
        <w:pStyle w:val="Authornameandaffiliation"/>
      </w:pPr>
      <w:r w:rsidRPr="007F0D41">
        <w:t>Tokyo Electric Power Company Holdings, Inc.</w:t>
      </w:r>
    </w:p>
    <w:p w14:paraId="00728C1A" w14:textId="679202E7" w:rsidR="00FF386F" w:rsidRDefault="007F0D41" w:rsidP="00537496">
      <w:pPr>
        <w:pStyle w:val="Authornameandaffiliation"/>
      </w:pPr>
      <w:r>
        <w:t>Tokyo</w:t>
      </w:r>
      <w:r w:rsidR="00FF386F">
        <w:t xml:space="preserve">, </w:t>
      </w:r>
      <w:r>
        <w:t>Japan</w:t>
      </w:r>
    </w:p>
    <w:p w14:paraId="457581F5" w14:textId="156820BC" w:rsidR="00FF386F" w:rsidRDefault="00FF386F" w:rsidP="00537496">
      <w:pPr>
        <w:pStyle w:val="Authornameandaffiliation"/>
      </w:pPr>
      <w:r>
        <w:t xml:space="preserve">Email: </w:t>
      </w:r>
      <w:r w:rsidR="007F0D41" w:rsidRPr="007F0D41">
        <w:t>kaminishi.shuuji@tepco.co.jp</w:t>
      </w:r>
    </w:p>
    <w:p w14:paraId="48077CE8" w14:textId="77777777" w:rsidR="00FF386F" w:rsidRDefault="00FF386F" w:rsidP="00537496">
      <w:pPr>
        <w:pStyle w:val="Authornameandaffiliation"/>
      </w:pPr>
    </w:p>
    <w:p w14:paraId="624F9A9C" w14:textId="2FCC7711" w:rsidR="00FF386F" w:rsidRPr="00FF386F" w:rsidRDefault="00CD1C3C" w:rsidP="00537496">
      <w:pPr>
        <w:pStyle w:val="Authornameandaffiliation"/>
      </w:pPr>
      <w:r w:rsidRPr="00CD1C3C">
        <w:t>T</w:t>
      </w:r>
      <w:r>
        <w:t>OKUMORI</w:t>
      </w:r>
      <w:r w:rsidRPr="00CD1C3C">
        <w:t xml:space="preserve"> R</w:t>
      </w:r>
      <w:r>
        <w:t>ITSURO</w:t>
      </w:r>
    </w:p>
    <w:p w14:paraId="6C25D5E9" w14:textId="77777777" w:rsidR="00CD1C3C" w:rsidRDefault="00CD1C3C" w:rsidP="00CD1C3C">
      <w:pPr>
        <w:pStyle w:val="Authornameandaffiliation"/>
      </w:pPr>
      <w:r w:rsidRPr="007F0D41">
        <w:t>Tokyo Electric Power Company Holdings, Inc.</w:t>
      </w:r>
    </w:p>
    <w:p w14:paraId="342B62D9" w14:textId="028C35BF" w:rsidR="00FF386F" w:rsidRPr="00FF386F" w:rsidRDefault="00CD1C3C" w:rsidP="00CD1C3C">
      <w:pPr>
        <w:pStyle w:val="Authornameandaffiliation"/>
      </w:pPr>
      <w:r>
        <w:t>Tokyo, Japan</w:t>
      </w:r>
    </w:p>
    <w:p w14:paraId="7F7BEC3B" w14:textId="77777777" w:rsidR="00FF386F" w:rsidRDefault="00FF386F" w:rsidP="00537496">
      <w:pPr>
        <w:pStyle w:val="Authornameandaffiliation"/>
      </w:pPr>
    </w:p>
    <w:p w14:paraId="7C2C5F2B" w14:textId="79E5CEC4" w:rsidR="00CD1C3C" w:rsidRPr="00FF386F" w:rsidRDefault="00CD1C3C" w:rsidP="00CD1C3C">
      <w:pPr>
        <w:pStyle w:val="Authornameandaffiliation"/>
      </w:pPr>
      <w:r w:rsidRPr="00CD1C3C">
        <w:t>F</w:t>
      </w:r>
      <w:r>
        <w:t>UTATSUGI</w:t>
      </w:r>
      <w:r w:rsidRPr="00CD1C3C">
        <w:t xml:space="preserve"> T</w:t>
      </w:r>
      <w:r>
        <w:t>AKATOSHI</w:t>
      </w:r>
    </w:p>
    <w:p w14:paraId="4D4BFDD0" w14:textId="77777777" w:rsidR="00CD1C3C" w:rsidRDefault="00CD1C3C" w:rsidP="00CD1C3C">
      <w:pPr>
        <w:pStyle w:val="Authornameandaffiliation"/>
      </w:pPr>
      <w:r w:rsidRPr="007F0D41">
        <w:t>Tokyo Electric Power Company Holdings, Inc.</w:t>
      </w:r>
    </w:p>
    <w:p w14:paraId="775504E1" w14:textId="77777777" w:rsidR="00CD1C3C" w:rsidRPr="00FF386F" w:rsidRDefault="00CD1C3C" w:rsidP="00CD1C3C">
      <w:pPr>
        <w:pStyle w:val="Authornameandaffiliation"/>
      </w:pPr>
      <w:r>
        <w:t>Tokyo, Japan</w:t>
      </w:r>
    </w:p>
    <w:p w14:paraId="5C7E811F" w14:textId="77777777" w:rsidR="00CD1C3C" w:rsidRDefault="00CD1C3C" w:rsidP="00537496">
      <w:pPr>
        <w:pStyle w:val="Authornameandaffiliation"/>
      </w:pPr>
    </w:p>
    <w:p w14:paraId="502285A0" w14:textId="77777777" w:rsidR="00647F33" w:rsidRPr="00647F33" w:rsidRDefault="00647F33" w:rsidP="00537496">
      <w:pPr>
        <w:pStyle w:val="Authornameandaffiliation"/>
        <w:rPr>
          <w:b/>
        </w:rPr>
      </w:pPr>
      <w:r w:rsidRPr="00647F33">
        <w:rPr>
          <w:b/>
        </w:rPr>
        <w:t>Abstract</w:t>
      </w:r>
    </w:p>
    <w:p w14:paraId="576D1E12" w14:textId="77777777" w:rsidR="00647F33" w:rsidRDefault="00647F33" w:rsidP="00537496">
      <w:pPr>
        <w:pStyle w:val="Authornameandaffiliation"/>
      </w:pPr>
    </w:p>
    <w:p w14:paraId="6E7BC5CE" w14:textId="31C8BBBA" w:rsidR="00A16535" w:rsidRPr="00BD605C" w:rsidRDefault="00A16535" w:rsidP="005903F3">
      <w:pPr>
        <w:pStyle w:val="Abstracttext"/>
        <w:rPr>
          <w:lang w:eastAsia="ja-JP"/>
        </w:rPr>
      </w:pPr>
      <w:r>
        <w:t>O</w:t>
      </w:r>
      <w:r w:rsidRPr="00A16535">
        <w:t>n March 11, 2011, a tremendous earthquake of a 9.0 magnitude occurred</w:t>
      </w:r>
      <w:r>
        <w:t xml:space="preserve"> in Japan. </w:t>
      </w:r>
      <w:r w:rsidR="005903F3">
        <w:t>In the Fukushima Daiichi Nuclear Power Station, f</w:t>
      </w:r>
      <w:r w:rsidRPr="00A16535">
        <w:t xml:space="preserve">uel assemblies were stored for the </w:t>
      </w:r>
      <w:r w:rsidR="00B926DF">
        <w:t>Unit</w:t>
      </w:r>
      <w:r w:rsidR="006D6E76">
        <w:t>s</w:t>
      </w:r>
      <w:r w:rsidR="00B926DF">
        <w:t xml:space="preserve"> 1 to 6 Spent Fuel P</w:t>
      </w:r>
      <w:r>
        <w:t>ool,</w:t>
      </w:r>
      <w:r w:rsidRPr="00A16535">
        <w:t xml:space="preserve"> common pool</w:t>
      </w:r>
      <w:r>
        <w:t xml:space="preserve"> and dry casks</w:t>
      </w:r>
      <w:r w:rsidRPr="00A16535">
        <w:t>.</w:t>
      </w:r>
      <w:r>
        <w:t xml:space="preserve"> The paper report</w:t>
      </w:r>
      <w:r w:rsidR="005903F3">
        <w:t>s t</w:t>
      </w:r>
      <w:r w:rsidR="00A962B3">
        <w:t>he</w:t>
      </w:r>
      <w:r>
        <w:t xml:space="preserve"> </w:t>
      </w:r>
      <w:r w:rsidR="005903F3">
        <w:t>l</w:t>
      </w:r>
      <w:r w:rsidRPr="00A16535">
        <w:t>essons learned from Fukushima Daiichi Nuclear Accident for spent fuel storage</w:t>
      </w:r>
      <w:r>
        <w:t>.</w:t>
      </w:r>
      <w:r w:rsidR="005903F3" w:rsidRPr="00BD605C">
        <w:rPr>
          <w:rFonts w:hint="eastAsia"/>
          <w:lang w:eastAsia="ja-JP"/>
        </w:rPr>
        <w:t xml:space="preserve"> </w:t>
      </w:r>
    </w:p>
    <w:p w14:paraId="54CBDFDE" w14:textId="77777777" w:rsidR="00647F33" w:rsidRDefault="00F523CA" w:rsidP="00537496">
      <w:pPr>
        <w:pStyle w:val="2"/>
        <w:numPr>
          <w:ilvl w:val="1"/>
          <w:numId w:val="10"/>
        </w:numPr>
      </w:pPr>
      <w:r>
        <w:t>INTRODUCTION</w:t>
      </w:r>
    </w:p>
    <w:p w14:paraId="4F6CB3FA" w14:textId="78C0F668" w:rsidR="0010454D" w:rsidRDefault="0010454D" w:rsidP="0010454D">
      <w:pPr>
        <w:pStyle w:val="a1"/>
      </w:pPr>
      <w:r>
        <w:t xml:space="preserve">At 14:46 on March 11, 2011, a tremendous earthquake of a 9.0 magnitude occurred undersea off the coast of the </w:t>
      </w:r>
      <w:proofErr w:type="spellStart"/>
      <w:r>
        <w:t>Sanriku</w:t>
      </w:r>
      <w:proofErr w:type="spellEnd"/>
      <w:r>
        <w:t xml:space="preserve"> region of Japan, triggering a massive tsunami on an unprecedented scale that hit the </w:t>
      </w:r>
      <w:r w:rsidR="00490CE3">
        <w:t>north-eastern</w:t>
      </w:r>
      <w:r>
        <w:t xml:space="preserve"> coast 50 minutes later.</w:t>
      </w:r>
      <w:r w:rsidR="00490CE3">
        <w:t xml:space="preserve"> </w:t>
      </w:r>
      <w:r>
        <w:t xml:space="preserve">The earthquake caused </w:t>
      </w:r>
      <w:proofErr w:type="gramStart"/>
      <w:r>
        <w:t xml:space="preserve">the </w:t>
      </w:r>
      <w:proofErr w:type="spellStart"/>
      <w:r>
        <w:t>lose</w:t>
      </w:r>
      <w:proofErr w:type="spellEnd"/>
      <w:proofErr w:type="gramEnd"/>
      <w:r>
        <w:t xml:space="preserve"> of all off-site power supplies of the </w:t>
      </w:r>
      <w:r w:rsidR="00AC50DE">
        <w:t>Fukushima Daiichi Nuclear Power Station</w:t>
      </w:r>
      <w:r w:rsidR="00B926DF">
        <w:t xml:space="preserve"> (Fukushima Daiichi NPS)</w:t>
      </w:r>
      <w:r>
        <w:t xml:space="preserve">, but </w:t>
      </w:r>
      <w:r w:rsidR="00F46439">
        <w:t>all Units</w:t>
      </w:r>
      <w:r>
        <w:t xml:space="preserve"> succeeded in cooling the reactors by using emergency power. Units 1 to 3, which were in operation when the earthquake struck, shut down safely as designed.</w:t>
      </w:r>
    </w:p>
    <w:p w14:paraId="4AE17767" w14:textId="429B2795" w:rsidR="00EE0041" w:rsidRDefault="0010454D" w:rsidP="0010454D">
      <w:pPr>
        <w:pStyle w:val="a1"/>
      </w:pPr>
      <w:r>
        <w:t>However, this emergency power was also lost due to flooding from the tsunami, causing the cooling equipment to become inoperable, thereby resulting in the water in the reactor pressure vessels of Units 1 to 3 evaporating into steam.</w:t>
      </w:r>
      <w:r w:rsidR="00490CE3">
        <w:t xml:space="preserve"> </w:t>
      </w:r>
      <w:r>
        <w:t>It is supposed that hydrogen, produced by the chemical reaction between fuel rods sticking out of the water and steam, accumulated in the upper part of the reactor buildings a</w:t>
      </w:r>
      <w:r w:rsidR="006D6E76">
        <w:t>nd triggered explosions in Units</w:t>
      </w:r>
      <w:r>
        <w:t xml:space="preserve"> 1 and 3. For Unit 4, it is supposed that hydrogen that flowed in through the joint part of the exhaust stack accumulated when the air in the primary containment vessel of Unit 3 was vented to the outside, leading to the explosion.</w:t>
      </w:r>
    </w:p>
    <w:p w14:paraId="2F832AC1" w14:textId="12D64ED6" w:rsidR="009C4ED3" w:rsidRDefault="009C4ED3" w:rsidP="00840374">
      <w:pPr>
        <w:pStyle w:val="a1"/>
        <w:rPr>
          <w:lang w:eastAsia="ja-JP"/>
        </w:rPr>
      </w:pPr>
      <w:r>
        <w:t>Unit</w:t>
      </w:r>
      <w:r w:rsidR="006D6E76">
        <w:t>s</w:t>
      </w:r>
      <w:r w:rsidRPr="009C4ED3">
        <w:t xml:space="preserve"> 5</w:t>
      </w:r>
      <w:r>
        <w:t xml:space="preserve"> and 6 were</w:t>
      </w:r>
      <w:r w:rsidRPr="009C4ED3">
        <w:t xml:space="preserve"> undergoing outage when the earthquake occurred</w:t>
      </w:r>
      <w:r w:rsidR="006A20BD">
        <w:t>. C</w:t>
      </w:r>
      <w:r w:rsidR="006A20BD" w:rsidRPr="006A20BD">
        <w:t>oolin</w:t>
      </w:r>
      <w:r w:rsidR="006A20BD">
        <w:t xml:space="preserve">g via seawater system pump </w:t>
      </w:r>
      <w:r w:rsidR="006A20BD" w:rsidRPr="006A20BD">
        <w:t xml:space="preserve">was flooded by </w:t>
      </w:r>
      <w:r w:rsidR="006A20BD">
        <w:t>tsunami</w:t>
      </w:r>
      <w:r w:rsidR="006A20BD" w:rsidRPr="006A20BD">
        <w:t>, making it unusable.</w:t>
      </w:r>
      <w:r w:rsidR="006A20BD">
        <w:t xml:space="preserve"> </w:t>
      </w:r>
      <w:r w:rsidR="00D7424F">
        <w:rPr>
          <w:lang w:eastAsia="ja-JP"/>
        </w:rPr>
        <w:t xml:space="preserve">However, </w:t>
      </w:r>
      <w:r w:rsidR="00B9380A">
        <w:rPr>
          <w:lang w:eastAsia="ja-JP"/>
        </w:rPr>
        <w:t xml:space="preserve">Unit 6 </w:t>
      </w:r>
      <w:r w:rsidR="00840374">
        <w:rPr>
          <w:lang w:eastAsia="ja-JP"/>
        </w:rPr>
        <w:t>Emergency Diesel Generator</w:t>
      </w:r>
      <w:r w:rsidR="000E0FDD">
        <w:rPr>
          <w:lang w:eastAsia="ja-JP"/>
        </w:rPr>
        <w:t xml:space="preserve"> </w:t>
      </w:r>
      <w:r w:rsidR="00840374">
        <w:rPr>
          <w:lang w:eastAsia="ja-JP"/>
        </w:rPr>
        <w:t>(EDG)</w:t>
      </w:r>
      <w:r w:rsidR="00D120B0">
        <w:rPr>
          <w:lang w:eastAsia="ja-JP"/>
        </w:rPr>
        <w:t xml:space="preserve"> which was air-cooled</w:t>
      </w:r>
      <w:r w:rsidR="00840374">
        <w:rPr>
          <w:lang w:eastAsia="ja-JP"/>
        </w:rPr>
        <w:t xml:space="preserve"> </w:t>
      </w:r>
      <w:r w:rsidR="00120560">
        <w:rPr>
          <w:rFonts w:hint="eastAsia"/>
          <w:lang w:eastAsia="ja-JP"/>
        </w:rPr>
        <w:t>a</w:t>
      </w:r>
      <w:r w:rsidR="00120560">
        <w:rPr>
          <w:lang w:eastAsia="ja-JP"/>
        </w:rPr>
        <w:t>nd t</w:t>
      </w:r>
      <w:r w:rsidR="00120560" w:rsidRPr="00120560">
        <w:rPr>
          <w:lang w:eastAsia="ja-JP"/>
        </w:rPr>
        <w:t>he electricity station distribution system power cable (tie</w:t>
      </w:r>
      <w:r w:rsidR="00120560">
        <w:rPr>
          <w:lang w:eastAsia="ja-JP"/>
        </w:rPr>
        <w:t>-lines) between Unit</w:t>
      </w:r>
      <w:r w:rsidR="006D6E76">
        <w:rPr>
          <w:lang w:eastAsia="ja-JP"/>
        </w:rPr>
        <w:t>s</w:t>
      </w:r>
      <w:r w:rsidR="00120560">
        <w:rPr>
          <w:lang w:eastAsia="ja-JP"/>
        </w:rPr>
        <w:t xml:space="preserve"> 5 and </w:t>
      </w:r>
      <w:r w:rsidR="00120560" w:rsidRPr="00120560">
        <w:rPr>
          <w:lang w:eastAsia="ja-JP"/>
        </w:rPr>
        <w:t>6</w:t>
      </w:r>
      <w:r w:rsidR="00120560">
        <w:rPr>
          <w:lang w:eastAsia="ja-JP"/>
        </w:rPr>
        <w:t xml:space="preserve"> </w:t>
      </w:r>
      <w:r w:rsidR="00840374">
        <w:rPr>
          <w:lang w:eastAsia="ja-JP"/>
        </w:rPr>
        <w:t xml:space="preserve">had been ensured, </w:t>
      </w:r>
      <w:r w:rsidR="000E0FDD">
        <w:rPr>
          <w:lang w:eastAsia="ja-JP"/>
        </w:rPr>
        <w:t>temporary seawater system pump etc. were restored</w:t>
      </w:r>
      <w:r w:rsidR="000E0FDD">
        <w:rPr>
          <w:rFonts w:hint="eastAsia"/>
          <w:lang w:val="en-US" w:eastAsia="ja-JP"/>
        </w:rPr>
        <w:t xml:space="preserve"> and cooling function was ensured.</w:t>
      </w:r>
      <w:r w:rsidR="006A20BD">
        <w:rPr>
          <w:lang w:eastAsia="ja-JP"/>
        </w:rPr>
        <w:t xml:space="preserve"> </w:t>
      </w:r>
      <w:r w:rsidR="006A20BD" w:rsidRPr="006A20BD">
        <w:t>Cold shutdown was achieved for Unit</w:t>
      </w:r>
      <w:r w:rsidR="006D6E76">
        <w:t>s</w:t>
      </w:r>
      <w:r w:rsidR="006A20BD" w:rsidRPr="006A20BD">
        <w:t xml:space="preserve"> 5</w:t>
      </w:r>
      <w:r w:rsidR="006A20BD">
        <w:t xml:space="preserve"> and 6</w:t>
      </w:r>
      <w:r w:rsidR="006A20BD" w:rsidRPr="006A20BD">
        <w:t xml:space="preserve"> while event progression was controlled.</w:t>
      </w:r>
    </w:p>
    <w:p w14:paraId="2D58DB12" w14:textId="536065D6" w:rsidR="0010454D" w:rsidRDefault="0010454D" w:rsidP="00AC50DE">
      <w:pPr>
        <w:pStyle w:val="a1"/>
      </w:pPr>
      <w:r>
        <w:t xml:space="preserve">At the accident, </w:t>
      </w:r>
      <w:r w:rsidRPr="0010454D">
        <w:t>spent fuel assemblies w</w:t>
      </w:r>
      <w:r w:rsidR="00B926DF">
        <w:t>ere stored for the Unit</w:t>
      </w:r>
      <w:r w:rsidR="006D6E76">
        <w:t>s</w:t>
      </w:r>
      <w:r w:rsidR="00B926DF">
        <w:t xml:space="preserve"> 1 to 6 Spent Fuel P</w:t>
      </w:r>
      <w:r w:rsidRPr="0010454D">
        <w:t>ool</w:t>
      </w:r>
      <w:r w:rsidR="00B926DF">
        <w:t xml:space="preserve"> (SFP)</w:t>
      </w:r>
      <w:r w:rsidRPr="0010454D">
        <w:t>, common pool and dry casks</w:t>
      </w:r>
      <w:r w:rsidR="00AC50DE">
        <w:t xml:space="preserve"> (see Table 1</w:t>
      </w:r>
      <w:r w:rsidR="00E17A9C">
        <w:t xml:space="preserve"> and Fig. 1</w:t>
      </w:r>
      <w:r w:rsidR="00AC50DE">
        <w:t>)</w:t>
      </w:r>
      <w:r w:rsidR="00490CE3">
        <w:t xml:space="preserve">. </w:t>
      </w:r>
      <w:r w:rsidR="00AC50DE">
        <w:t>The paper</w:t>
      </w:r>
      <w:r w:rsidR="00AC50DE" w:rsidRPr="00A606A1">
        <w:t xml:space="preserve"> show</w:t>
      </w:r>
      <w:r w:rsidR="00CB7105" w:rsidRPr="00A606A1">
        <w:rPr>
          <w:rFonts w:hint="eastAsia"/>
          <w:lang w:eastAsia="ja-JP"/>
        </w:rPr>
        <w:t>s</w:t>
      </w:r>
      <w:r w:rsidR="00AC50DE" w:rsidRPr="00A606A1">
        <w:t xml:space="preserve"> the i</w:t>
      </w:r>
      <w:r w:rsidR="00AC50DE">
        <w:t>mpacts of the accident and progress status after the accident for spent fuel storage on the Fukushima Daiichi NPS</w:t>
      </w:r>
      <w:r w:rsidR="00B451FD">
        <w:t xml:space="preserve"> </w:t>
      </w:r>
      <w:r w:rsidR="00B451FD" w:rsidRPr="00537496">
        <w:t>[1]</w:t>
      </w:r>
      <w:r w:rsidRPr="0010454D">
        <w:t>.</w:t>
      </w:r>
    </w:p>
    <w:p w14:paraId="0A15B795" w14:textId="77777777" w:rsidR="0010454D" w:rsidRDefault="0010454D" w:rsidP="0010454D">
      <w:pPr>
        <w:pStyle w:val="a1"/>
      </w:pPr>
    </w:p>
    <w:p w14:paraId="3D72A966" w14:textId="77777777" w:rsidR="0069397A" w:rsidRDefault="0069397A" w:rsidP="0010454D">
      <w:pPr>
        <w:pStyle w:val="a1"/>
      </w:pPr>
    </w:p>
    <w:p w14:paraId="72D98C9D" w14:textId="77777777" w:rsidR="0069397A" w:rsidRDefault="0069397A" w:rsidP="0010454D">
      <w:pPr>
        <w:pStyle w:val="a1"/>
      </w:pPr>
    </w:p>
    <w:p w14:paraId="1EF445B8" w14:textId="77777777" w:rsidR="0069397A" w:rsidRDefault="0069397A" w:rsidP="0010454D">
      <w:pPr>
        <w:pStyle w:val="a1"/>
      </w:pPr>
    </w:p>
    <w:p w14:paraId="1C235FDD" w14:textId="77777777" w:rsidR="0069397A" w:rsidRDefault="0069397A" w:rsidP="0010454D">
      <w:pPr>
        <w:pStyle w:val="a1"/>
      </w:pPr>
    </w:p>
    <w:p w14:paraId="142167B9" w14:textId="77777777" w:rsidR="0069397A" w:rsidRDefault="0069397A" w:rsidP="0010454D">
      <w:pPr>
        <w:pStyle w:val="a1"/>
      </w:pPr>
    </w:p>
    <w:p w14:paraId="6094CDCA" w14:textId="77777777" w:rsidR="0069397A" w:rsidRDefault="0069397A" w:rsidP="0010454D">
      <w:pPr>
        <w:pStyle w:val="a1"/>
      </w:pPr>
    </w:p>
    <w:p w14:paraId="47A7B751" w14:textId="77777777" w:rsidR="0069397A" w:rsidRDefault="0069397A" w:rsidP="0010454D">
      <w:pPr>
        <w:pStyle w:val="a1"/>
      </w:pPr>
    </w:p>
    <w:p w14:paraId="08307EB6" w14:textId="77777777" w:rsidR="0069397A" w:rsidRDefault="0069397A" w:rsidP="0010454D">
      <w:pPr>
        <w:pStyle w:val="a1"/>
      </w:pPr>
    </w:p>
    <w:p w14:paraId="4779CF41" w14:textId="77777777" w:rsidR="0069397A" w:rsidRDefault="0069397A" w:rsidP="0010454D">
      <w:pPr>
        <w:pStyle w:val="a1"/>
      </w:pPr>
    </w:p>
    <w:p w14:paraId="2710C0DD" w14:textId="77777777" w:rsidR="0069397A" w:rsidRDefault="0069397A" w:rsidP="0010454D">
      <w:pPr>
        <w:pStyle w:val="a1"/>
      </w:pPr>
    </w:p>
    <w:p w14:paraId="1542564C" w14:textId="652EFC52" w:rsidR="0010454D" w:rsidRDefault="0010454D" w:rsidP="0010454D">
      <w:pPr>
        <w:pStyle w:val="a1"/>
        <w:ind w:firstLine="0"/>
      </w:pPr>
      <w:r>
        <w:lastRenderedPageBreak/>
        <w:t>TABLE 1.</w:t>
      </w:r>
      <w:r>
        <w:tab/>
      </w:r>
      <w:r w:rsidR="00871B97">
        <w:t>NUMBER OF STORED</w:t>
      </w:r>
      <w:r>
        <w:t xml:space="preserve"> FU</w:t>
      </w:r>
      <w:r w:rsidRPr="00B451FD">
        <w:t>EL</w:t>
      </w:r>
      <w:r w:rsidR="00871B97" w:rsidRPr="00B451FD">
        <w:t xml:space="preserve"> ASSEMBLIES</w:t>
      </w:r>
      <w:r w:rsidR="00C97F27" w:rsidRPr="00B451FD">
        <w:t xml:space="preserve"> (copyright: TEPCO, </w:t>
      </w:r>
      <w:r w:rsidR="00A17E40">
        <w:t>[2</w:t>
      </w:r>
      <w:r w:rsidR="00B451FD" w:rsidRPr="00B451FD">
        <w:t>]</w:t>
      </w:r>
      <w:r w:rsidR="00C97F27" w:rsidRPr="00B451FD">
        <w:t>)</w:t>
      </w:r>
    </w:p>
    <w:p w14:paraId="2CF553BD" w14:textId="77777777" w:rsidR="0010454D" w:rsidRPr="00A17E40" w:rsidRDefault="0010454D" w:rsidP="0010454D">
      <w:pPr>
        <w:pStyle w:val="a1"/>
      </w:pPr>
    </w:p>
    <w:tbl>
      <w:tblPr>
        <w:tblStyle w:val="a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1277"/>
        <w:gridCol w:w="1278"/>
        <w:gridCol w:w="1278"/>
        <w:gridCol w:w="1278"/>
      </w:tblGrid>
      <w:tr w:rsidR="00621E7D" w14:paraId="2D24F18D" w14:textId="77777777" w:rsidTr="00903386">
        <w:trPr>
          <w:jc w:val="center"/>
        </w:trPr>
        <w:tc>
          <w:tcPr>
            <w:tcW w:w="3740" w:type="dxa"/>
            <w:vMerge w:val="restart"/>
            <w:tcBorders>
              <w:top w:val="single" w:sz="4" w:space="0" w:color="auto"/>
              <w:left w:val="single" w:sz="4" w:space="0" w:color="auto"/>
              <w:right w:val="single" w:sz="4" w:space="0" w:color="auto"/>
            </w:tcBorders>
            <w:vAlign w:val="center"/>
          </w:tcPr>
          <w:p w14:paraId="02DD457C" w14:textId="38637C5D" w:rsidR="00621E7D" w:rsidRDefault="00621E7D" w:rsidP="00621E7D">
            <w:pPr>
              <w:pStyle w:val="a1"/>
              <w:ind w:firstLine="0"/>
              <w:jc w:val="left"/>
            </w:pPr>
            <w:r>
              <w:t>Storage location</w:t>
            </w:r>
          </w:p>
        </w:tc>
        <w:tc>
          <w:tcPr>
            <w:tcW w:w="2555" w:type="dxa"/>
            <w:gridSpan w:val="2"/>
            <w:tcBorders>
              <w:top w:val="single" w:sz="4" w:space="0" w:color="auto"/>
              <w:left w:val="single" w:sz="4" w:space="0" w:color="auto"/>
              <w:bottom w:val="single" w:sz="4" w:space="0" w:color="auto"/>
              <w:right w:val="single" w:sz="4" w:space="0" w:color="auto"/>
            </w:tcBorders>
          </w:tcPr>
          <w:p w14:paraId="2F2DEEA0" w14:textId="42DC2BF4" w:rsidR="00621E7D" w:rsidRDefault="00621E7D" w:rsidP="00621E7D">
            <w:pPr>
              <w:pStyle w:val="a1"/>
              <w:ind w:firstLine="0"/>
              <w:jc w:val="center"/>
            </w:pPr>
            <w:r>
              <w:rPr>
                <w:lang w:eastAsia="ja-JP"/>
              </w:rPr>
              <w:t>A</w:t>
            </w:r>
            <w:r>
              <w:rPr>
                <w:rFonts w:hint="eastAsia"/>
                <w:lang w:eastAsia="ja-JP"/>
              </w:rPr>
              <w:t xml:space="preserve">s </w:t>
            </w:r>
            <w:r>
              <w:rPr>
                <w:lang w:eastAsia="ja-JP"/>
              </w:rPr>
              <w:t>of March 11, 2011</w:t>
            </w:r>
          </w:p>
        </w:tc>
        <w:tc>
          <w:tcPr>
            <w:tcW w:w="2556" w:type="dxa"/>
            <w:gridSpan w:val="2"/>
            <w:tcBorders>
              <w:top w:val="single" w:sz="4" w:space="0" w:color="auto"/>
              <w:left w:val="single" w:sz="4" w:space="0" w:color="auto"/>
              <w:bottom w:val="single" w:sz="4" w:space="0" w:color="auto"/>
              <w:right w:val="single" w:sz="4" w:space="0" w:color="auto"/>
            </w:tcBorders>
          </w:tcPr>
          <w:p w14:paraId="7254754D" w14:textId="1E8724ED" w:rsidR="00621E7D" w:rsidRDefault="00621E7D" w:rsidP="00621E7D">
            <w:pPr>
              <w:pStyle w:val="a1"/>
              <w:ind w:firstLine="0"/>
              <w:jc w:val="center"/>
            </w:pPr>
            <w:r w:rsidRPr="009C6395">
              <w:rPr>
                <w:lang w:eastAsia="ja-JP"/>
              </w:rPr>
              <w:t>A</w:t>
            </w:r>
            <w:r w:rsidRPr="009C6395">
              <w:rPr>
                <w:rFonts w:hint="eastAsia"/>
                <w:lang w:eastAsia="ja-JP"/>
              </w:rPr>
              <w:t xml:space="preserve">s </w:t>
            </w:r>
            <w:r w:rsidRPr="009C6395">
              <w:rPr>
                <w:lang w:eastAsia="ja-JP"/>
              </w:rPr>
              <w:t xml:space="preserve">of </w:t>
            </w:r>
            <w:r>
              <w:rPr>
                <w:lang w:eastAsia="ja-JP"/>
              </w:rPr>
              <w:t>January 3</w:t>
            </w:r>
            <w:r w:rsidRPr="009C6395">
              <w:rPr>
                <w:lang w:eastAsia="ja-JP"/>
              </w:rPr>
              <w:t>1, 201</w:t>
            </w:r>
            <w:r>
              <w:rPr>
                <w:lang w:eastAsia="ja-JP"/>
              </w:rPr>
              <w:t>9</w:t>
            </w:r>
          </w:p>
        </w:tc>
      </w:tr>
      <w:tr w:rsidR="00621E7D" w14:paraId="504B7B04" w14:textId="0408EFD6" w:rsidTr="00903386">
        <w:trPr>
          <w:jc w:val="center"/>
        </w:trPr>
        <w:tc>
          <w:tcPr>
            <w:tcW w:w="3740" w:type="dxa"/>
            <w:vMerge/>
            <w:tcBorders>
              <w:left w:val="single" w:sz="4" w:space="0" w:color="auto"/>
              <w:bottom w:val="single" w:sz="4" w:space="0" w:color="auto"/>
              <w:right w:val="single" w:sz="4" w:space="0" w:color="auto"/>
            </w:tcBorders>
          </w:tcPr>
          <w:p w14:paraId="5A9A40FE" w14:textId="00C2487C" w:rsidR="00621E7D" w:rsidRDefault="00621E7D" w:rsidP="00621E7D">
            <w:pPr>
              <w:pStyle w:val="a1"/>
              <w:ind w:firstLine="0"/>
            </w:pPr>
          </w:p>
        </w:tc>
        <w:tc>
          <w:tcPr>
            <w:tcW w:w="1277" w:type="dxa"/>
            <w:tcBorders>
              <w:top w:val="single" w:sz="4" w:space="0" w:color="auto"/>
              <w:left w:val="single" w:sz="4" w:space="0" w:color="auto"/>
              <w:bottom w:val="single" w:sz="4" w:space="0" w:color="auto"/>
            </w:tcBorders>
          </w:tcPr>
          <w:p w14:paraId="6ABC271D" w14:textId="2E37C3F6" w:rsidR="00621E7D" w:rsidRDefault="00621E7D" w:rsidP="00621E7D">
            <w:pPr>
              <w:pStyle w:val="a1"/>
              <w:ind w:firstLine="0"/>
              <w:jc w:val="center"/>
            </w:pPr>
            <w:r>
              <w:t>Spent fuel</w:t>
            </w:r>
          </w:p>
        </w:tc>
        <w:tc>
          <w:tcPr>
            <w:tcW w:w="1278" w:type="dxa"/>
            <w:tcBorders>
              <w:top w:val="single" w:sz="4" w:space="0" w:color="auto"/>
              <w:bottom w:val="single" w:sz="4" w:space="0" w:color="auto"/>
              <w:right w:val="single" w:sz="4" w:space="0" w:color="auto"/>
            </w:tcBorders>
          </w:tcPr>
          <w:p w14:paraId="4F357161" w14:textId="742E1468" w:rsidR="00621E7D" w:rsidRDefault="00621E7D" w:rsidP="00621E7D">
            <w:pPr>
              <w:pStyle w:val="a1"/>
              <w:ind w:firstLine="0"/>
              <w:jc w:val="center"/>
            </w:pPr>
            <w:r>
              <w:t>Fresh fuel</w:t>
            </w:r>
          </w:p>
        </w:tc>
        <w:tc>
          <w:tcPr>
            <w:tcW w:w="1278" w:type="dxa"/>
            <w:tcBorders>
              <w:top w:val="single" w:sz="4" w:space="0" w:color="auto"/>
              <w:left w:val="single" w:sz="4" w:space="0" w:color="auto"/>
              <w:bottom w:val="single" w:sz="4" w:space="0" w:color="auto"/>
            </w:tcBorders>
          </w:tcPr>
          <w:p w14:paraId="3EA7EBD3" w14:textId="71655A78" w:rsidR="00621E7D" w:rsidRDefault="00621E7D" w:rsidP="00621E7D">
            <w:pPr>
              <w:pStyle w:val="a1"/>
              <w:ind w:firstLine="0"/>
              <w:jc w:val="center"/>
            </w:pPr>
            <w:r>
              <w:t>Spent fuel</w:t>
            </w:r>
          </w:p>
        </w:tc>
        <w:tc>
          <w:tcPr>
            <w:tcW w:w="1278" w:type="dxa"/>
            <w:tcBorders>
              <w:top w:val="single" w:sz="4" w:space="0" w:color="auto"/>
              <w:bottom w:val="single" w:sz="4" w:space="0" w:color="auto"/>
              <w:right w:val="single" w:sz="4" w:space="0" w:color="auto"/>
            </w:tcBorders>
          </w:tcPr>
          <w:p w14:paraId="65E58FE6" w14:textId="584C924C" w:rsidR="00621E7D" w:rsidRDefault="00621E7D" w:rsidP="00621E7D">
            <w:pPr>
              <w:pStyle w:val="a1"/>
              <w:ind w:firstLine="0"/>
              <w:jc w:val="center"/>
            </w:pPr>
            <w:r>
              <w:t>Fresh fuel</w:t>
            </w:r>
          </w:p>
        </w:tc>
      </w:tr>
      <w:tr w:rsidR="00621E7D" w14:paraId="3C408ED8" w14:textId="32CE6ABE" w:rsidTr="00903386">
        <w:trPr>
          <w:jc w:val="center"/>
        </w:trPr>
        <w:tc>
          <w:tcPr>
            <w:tcW w:w="3740" w:type="dxa"/>
            <w:tcBorders>
              <w:top w:val="single" w:sz="4" w:space="0" w:color="auto"/>
              <w:left w:val="single" w:sz="4" w:space="0" w:color="auto"/>
              <w:right w:val="single" w:sz="4" w:space="0" w:color="auto"/>
            </w:tcBorders>
          </w:tcPr>
          <w:p w14:paraId="7ABB2E0D" w14:textId="0B7C1DD8" w:rsidR="00621E7D" w:rsidRDefault="00621E7D" w:rsidP="00FF7C4F">
            <w:pPr>
              <w:pStyle w:val="a1"/>
              <w:ind w:firstLine="0"/>
            </w:pPr>
            <w:r>
              <w:rPr>
                <w:rStyle w:val="TabletextChar"/>
              </w:rPr>
              <w:t>Unit 1</w:t>
            </w:r>
          </w:p>
        </w:tc>
        <w:tc>
          <w:tcPr>
            <w:tcW w:w="1277" w:type="dxa"/>
            <w:tcBorders>
              <w:top w:val="single" w:sz="4" w:space="0" w:color="auto"/>
              <w:left w:val="single" w:sz="4" w:space="0" w:color="auto"/>
            </w:tcBorders>
          </w:tcPr>
          <w:p w14:paraId="79E2B49C" w14:textId="26D1E274" w:rsidR="00621E7D" w:rsidRDefault="00621E7D" w:rsidP="00621E7D">
            <w:pPr>
              <w:pStyle w:val="a1"/>
              <w:ind w:rightChars="100" w:right="220" w:firstLine="0"/>
              <w:jc w:val="right"/>
              <w:rPr>
                <w:lang w:eastAsia="ja-JP"/>
              </w:rPr>
            </w:pPr>
            <w:r>
              <w:rPr>
                <w:rFonts w:hint="eastAsia"/>
                <w:lang w:eastAsia="ja-JP"/>
              </w:rPr>
              <w:t>292</w:t>
            </w:r>
          </w:p>
        </w:tc>
        <w:tc>
          <w:tcPr>
            <w:tcW w:w="1278" w:type="dxa"/>
            <w:tcBorders>
              <w:top w:val="single" w:sz="4" w:space="0" w:color="auto"/>
              <w:right w:val="single" w:sz="4" w:space="0" w:color="auto"/>
            </w:tcBorders>
          </w:tcPr>
          <w:p w14:paraId="0937C9AC" w14:textId="5CE93B9A" w:rsidR="00621E7D" w:rsidRDefault="00621E7D" w:rsidP="00621E7D">
            <w:pPr>
              <w:pStyle w:val="a1"/>
              <w:ind w:rightChars="100" w:right="220" w:firstLine="0"/>
              <w:jc w:val="right"/>
              <w:rPr>
                <w:lang w:eastAsia="ja-JP"/>
              </w:rPr>
            </w:pPr>
            <w:r>
              <w:rPr>
                <w:rFonts w:hint="eastAsia"/>
                <w:lang w:eastAsia="ja-JP"/>
              </w:rPr>
              <w:t>100</w:t>
            </w:r>
          </w:p>
        </w:tc>
        <w:tc>
          <w:tcPr>
            <w:tcW w:w="1278" w:type="dxa"/>
            <w:tcBorders>
              <w:top w:val="single" w:sz="4" w:space="0" w:color="auto"/>
              <w:left w:val="single" w:sz="4" w:space="0" w:color="auto"/>
            </w:tcBorders>
          </w:tcPr>
          <w:p w14:paraId="129BF7E4" w14:textId="656C90E8" w:rsidR="00621E7D" w:rsidRDefault="00903386" w:rsidP="00621E7D">
            <w:pPr>
              <w:pStyle w:val="a1"/>
              <w:ind w:rightChars="100" w:right="220" w:firstLine="0"/>
              <w:jc w:val="right"/>
              <w:rPr>
                <w:lang w:eastAsia="ja-JP"/>
              </w:rPr>
            </w:pPr>
            <w:r>
              <w:rPr>
                <w:rFonts w:hint="eastAsia"/>
                <w:lang w:eastAsia="ja-JP"/>
              </w:rPr>
              <w:t>292</w:t>
            </w:r>
          </w:p>
        </w:tc>
        <w:tc>
          <w:tcPr>
            <w:tcW w:w="1278" w:type="dxa"/>
            <w:tcBorders>
              <w:top w:val="single" w:sz="4" w:space="0" w:color="auto"/>
              <w:right w:val="single" w:sz="4" w:space="0" w:color="auto"/>
            </w:tcBorders>
          </w:tcPr>
          <w:p w14:paraId="33E1DC35" w14:textId="1100025B" w:rsidR="00621E7D" w:rsidRDefault="00903386" w:rsidP="00621E7D">
            <w:pPr>
              <w:pStyle w:val="a1"/>
              <w:ind w:rightChars="100" w:right="220" w:firstLine="0"/>
              <w:jc w:val="right"/>
              <w:rPr>
                <w:lang w:eastAsia="ja-JP"/>
              </w:rPr>
            </w:pPr>
            <w:r>
              <w:rPr>
                <w:rFonts w:hint="eastAsia"/>
                <w:lang w:eastAsia="ja-JP"/>
              </w:rPr>
              <w:t>100</w:t>
            </w:r>
          </w:p>
        </w:tc>
      </w:tr>
      <w:tr w:rsidR="00621E7D" w14:paraId="2B0349C3" w14:textId="7AC9A748" w:rsidTr="00903386">
        <w:trPr>
          <w:jc w:val="center"/>
        </w:trPr>
        <w:tc>
          <w:tcPr>
            <w:tcW w:w="3740" w:type="dxa"/>
            <w:tcBorders>
              <w:left w:val="single" w:sz="4" w:space="0" w:color="auto"/>
              <w:right w:val="single" w:sz="4" w:space="0" w:color="auto"/>
            </w:tcBorders>
          </w:tcPr>
          <w:p w14:paraId="13B4D9A0" w14:textId="1EC39FFD" w:rsidR="00621E7D" w:rsidRDefault="00621E7D" w:rsidP="00FF7C4F">
            <w:pPr>
              <w:pStyle w:val="a1"/>
              <w:ind w:firstLine="0"/>
            </w:pPr>
            <w:r>
              <w:t>Unit 2</w:t>
            </w:r>
          </w:p>
        </w:tc>
        <w:tc>
          <w:tcPr>
            <w:tcW w:w="1277" w:type="dxa"/>
            <w:tcBorders>
              <w:left w:val="single" w:sz="4" w:space="0" w:color="auto"/>
            </w:tcBorders>
          </w:tcPr>
          <w:p w14:paraId="1C0D8AD8" w14:textId="7AA07D60" w:rsidR="00621E7D" w:rsidRDefault="00621E7D" w:rsidP="00621E7D">
            <w:pPr>
              <w:pStyle w:val="a1"/>
              <w:ind w:rightChars="100" w:right="220" w:firstLine="0"/>
              <w:jc w:val="right"/>
              <w:rPr>
                <w:lang w:eastAsia="ja-JP"/>
              </w:rPr>
            </w:pPr>
            <w:r>
              <w:rPr>
                <w:rFonts w:hint="eastAsia"/>
                <w:lang w:eastAsia="ja-JP"/>
              </w:rPr>
              <w:t>587</w:t>
            </w:r>
          </w:p>
        </w:tc>
        <w:tc>
          <w:tcPr>
            <w:tcW w:w="1278" w:type="dxa"/>
            <w:tcBorders>
              <w:right w:val="single" w:sz="4" w:space="0" w:color="auto"/>
            </w:tcBorders>
          </w:tcPr>
          <w:p w14:paraId="4E945164" w14:textId="79F6C46E" w:rsidR="00621E7D" w:rsidRDefault="00621E7D" w:rsidP="00621E7D">
            <w:pPr>
              <w:pStyle w:val="a1"/>
              <w:ind w:rightChars="100" w:right="220" w:firstLine="0"/>
              <w:jc w:val="right"/>
              <w:rPr>
                <w:lang w:eastAsia="ja-JP"/>
              </w:rPr>
            </w:pPr>
            <w:r>
              <w:rPr>
                <w:rFonts w:hint="eastAsia"/>
                <w:lang w:eastAsia="ja-JP"/>
              </w:rPr>
              <w:t>28</w:t>
            </w:r>
          </w:p>
        </w:tc>
        <w:tc>
          <w:tcPr>
            <w:tcW w:w="1278" w:type="dxa"/>
            <w:tcBorders>
              <w:left w:val="single" w:sz="4" w:space="0" w:color="auto"/>
            </w:tcBorders>
          </w:tcPr>
          <w:p w14:paraId="79E90242" w14:textId="48670A04" w:rsidR="00621E7D" w:rsidRDefault="00903386" w:rsidP="00621E7D">
            <w:pPr>
              <w:pStyle w:val="a1"/>
              <w:ind w:rightChars="100" w:right="220" w:firstLine="0"/>
              <w:jc w:val="right"/>
              <w:rPr>
                <w:lang w:eastAsia="ja-JP"/>
              </w:rPr>
            </w:pPr>
            <w:r>
              <w:rPr>
                <w:rFonts w:hint="eastAsia"/>
                <w:lang w:eastAsia="ja-JP"/>
              </w:rPr>
              <w:t>587</w:t>
            </w:r>
          </w:p>
        </w:tc>
        <w:tc>
          <w:tcPr>
            <w:tcW w:w="1278" w:type="dxa"/>
            <w:tcBorders>
              <w:right w:val="single" w:sz="4" w:space="0" w:color="auto"/>
            </w:tcBorders>
          </w:tcPr>
          <w:p w14:paraId="252360AE" w14:textId="33F814B2" w:rsidR="00621E7D" w:rsidRDefault="00903386" w:rsidP="00621E7D">
            <w:pPr>
              <w:pStyle w:val="a1"/>
              <w:ind w:rightChars="100" w:right="220" w:firstLine="0"/>
              <w:jc w:val="right"/>
              <w:rPr>
                <w:lang w:eastAsia="ja-JP"/>
              </w:rPr>
            </w:pPr>
            <w:r>
              <w:rPr>
                <w:rFonts w:hint="eastAsia"/>
                <w:lang w:eastAsia="ja-JP"/>
              </w:rPr>
              <w:t>28</w:t>
            </w:r>
          </w:p>
        </w:tc>
      </w:tr>
      <w:tr w:rsidR="00621E7D" w14:paraId="607CA38A" w14:textId="5940BFDD" w:rsidTr="00903386">
        <w:trPr>
          <w:jc w:val="center"/>
        </w:trPr>
        <w:tc>
          <w:tcPr>
            <w:tcW w:w="3740" w:type="dxa"/>
            <w:tcBorders>
              <w:left w:val="single" w:sz="4" w:space="0" w:color="auto"/>
              <w:right w:val="single" w:sz="4" w:space="0" w:color="auto"/>
            </w:tcBorders>
          </w:tcPr>
          <w:p w14:paraId="117F7E39" w14:textId="46360029" w:rsidR="00621E7D" w:rsidRDefault="00621E7D" w:rsidP="00FF7C4F">
            <w:pPr>
              <w:pStyle w:val="a1"/>
              <w:ind w:firstLine="0"/>
            </w:pPr>
            <w:r>
              <w:t>Unit 3</w:t>
            </w:r>
          </w:p>
        </w:tc>
        <w:tc>
          <w:tcPr>
            <w:tcW w:w="1277" w:type="dxa"/>
            <w:tcBorders>
              <w:left w:val="single" w:sz="4" w:space="0" w:color="auto"/>
            </w:tcBorders>
          </w:tcPr>
          <w:p w14:paraId="631A03A8" w14:textId="0ADABA35" w:rsidR="00621E7D" w:rsidRDefault="00621E7D" w:rsidP="00621E7D">
            <w:pPr>
              <w:pStyle w:val="a1"/>
              <w:ind w:rightChars="100" w:right="220" w:firstLine="0"/>
              <w:jc w:val="right"/>
              <w:rPr>
                <w:lang w:eastAsia="ja-JP"/>
              </w:rPr>
            </w:pPr>
            <w:r>
              <w:rPr>
                <w:rFonts w:hint="eastAsia"/>
                <w:lang w:eastAsia="ja-JP"/>
              </w:rPr>
              <w:t>514</w:t>
            </w:r>
          </w:p>
        </w:tc>
        <w:tc>
          <w:tcPr>
            <w:tcW w:w="1278" w:type="dxa"/>
            <w:tcBorders>
              <w:right w:val="single" w:sz="4" w:space="0" w:color="auto"/>
            </w:tcBorders>
          </w:tcPr>
          <w:p w14:paraId="780B31A6" w14:textId="04263BAE" w:rsidR="00621E7D" w:rsidRDefault="00621E7D" w:rsidP="00621E7D">
            <w:pPr>
              <w:pStyle w:val="a1"/>
              <w:ind w:rightChars="100" w:right="220" w:firstLine="0"/>
              <w:jc w:val="right"/>
              <w:rPr>
                <w:lang w:eastAsia="ja-JP"/>
              </w:rPr>
            </w:pPr>
            <w:r>
              <w:rPr>
                <w:rFonts w:hint="eastAsia"/>
                <w:lang w:eastAsia="ja-JP"/>
              </w:rPr>
              <w:t>52</w:t>
            </w:r>
          </w:p>
        </w:tc>
        <w:tc>
          <w:tcPr>
            <w:tcW w:w="1278" w:type="dxa"/>
            <w:tcBorders>
              <w:left w:val="single" w:sz="4" w:space="0" w:color="auto"/>
            </w:tcBorders>
          </w:tcPr>
          <w:p w14:paraId="10D4E8A3" w14:textId="331754A3" w:rsidR="00621E7D" w:rsidRDefault="00903386" w:rsidP="00621E7D">
            <w:pPr>
              <w:pStyle w:val="a1"/>
              <w:ind w:rightChars="100" w:right="220" w:firstLine="0"/>
              <w:jc w:val="right"/>
              <w:rPr>
                <w:lang w:eastAsia="ja-JP"/>
              </w:rPr>
            </w:pPr>
            <w:r>
              <w:rPr>
                <w:rFonts w:hint="eastAsia"/>
                <w:lang w:eastAsia="ja-JP"/>
              </w:rPr>
              <w:t>514</w:t>
            </w:r>
          </w:p>
        </w:tc>
        <w:tc>
          <w:tcPr>
            <w:tcW w:w="1278" w:type="dxa"/>
            <w:tcBorders>
              <w:right w:val="single" w:sz="4" w:space="0" w:color="auto"/>
            </w:tcBorders>
          </w:tcPr>
          <w:p w14:paraId="240D5428" w14:textId="004822FB" w:rsidR="00621E7D" w:rsidRDefault="00903386" w:rsidP="00621E7D">
            <w:pPr>
              <w:pStyle w:val="a1"/>
              <w:ind w:rightChars="100" w:right="220" w:firstLine="0"/>
              <w:jc w:val="right"/>
              <w:rPr>
                <w:lang w:eastAsia="ja-JP"/>
              </w:rPr>
            </w:pPr>
            <w:r>
              <w:rPr>
                <w:rFonts w:hint="eastAsia"/>
                <w:lang w:eastAsia="ja-JP"/>
              </w:rPr>
              <w:t>52</w:t>
            </w:r>
          </w:p>
        </w:tc>
      </w:tr>
      <w:tr w:rsidR="00621E7D" w14:paraId="583654AF" w14:textId="2E625853" w:rsidTr="00903386">
        <w:trPr>
          <w:jc w:val="center"/>
        </w:trPr>
        <w:tc>
          <w:tcPr>
            <w:tcW w:w="3740" w:type="dxa"/>
            <w:tcBorders>
              <w:left w:val="single" w:sz="4" w:space="0" w:color="auto"/>
              <w:right w:val="single" w:sz="4" w:space="0" w:color="auto"/>
            </w:tcBorders>
          </w:tcPr>
          <w:p w14:paraId="21A91224" w14:textId="47BA309B" w:rsidR="00621E7D" w:rsidRDefault="00621E7D" w:rsidP="00FF7C4F">
            <w:pPr>
              <w:pStyle w:val="a1"/>
              <w:ind w:firstLine="0"/>
            </w:pPr>
            <w:r>
              <w:t>Unit 4</w:t>
            </w:r>
          </w:p>
        </w:tc>
        <w:tc>
          <w:tcPr>
            <w:tcW w:w="1277" w:type="dxa"/>
            <w:tcBorders>
              <w:left w:val="single" w:sz="4" w:space="0" w:color="auto"/>
            </w:tcBorders>
          </w:tcPr>
          <w:p w14:paraId="6E29B176" w14:textId="0357296A" w:rsidR="00621E7D" w:rsidRDefault="00621E7D" w:rsidP="00621E7D">
            <w:pPr>
              <w:pStyle w:val="a1"/>
              <w:ind w:rightChars="100" w:right="220" w:firstLine="0"/>
              <w:jc w:val="right"/>
              <w:rPr>
                <w:lang w:eastAsia="ja-JP"/>
              </w:rPr>
            </w:pPr>
            <w:r>
              <w:rPr>
                <w:rFonts w:hint="eastAsia"/>
                <w:lang w:eastAsia="ja-JP"/>
              </w:rPr>
              <w:t>1</w:t>
            </w:r>
            <w:r>
              <w:rPr>
                <w:lang w:eastAsia="ja-JP"/>
              </w:rPr>
              <w:t>,</w:t>
            </w:r>
            <w:r>
              <w:rPr>
                <w:rFonts w:hint="eastAsia"/>
                <w:lang w:eastAsia="ja-JP"/>
              </w:rPr>
              <w:t>331</w:t>
            </w:r>
          </w:p>
        </w:tc>
        <w:tc>
          <w:tcPr>
            <w:tcW w:w="1278" w:type="dxa"/>
            <w:tcBorders>
              <w:right w:val="single" w:sz="4" w:space="0" w:color="auto"/>
            </w:tcBorders>
          </w:tcPr>
          <w:p w14:paraId="5089F985" w14:textId="38E9E17C" w:rsidR="00621E7D" w:rsidRDefault="00621E7D" w:rsidP="00621E7D">
            <w:pPr>
              <w:pStyle w:val="a1"/>
              <w:ind w:rightChars="100" w:right="220" w:firstLine="0"/>
              <w:jc w:val="right"/>
              <w:rPr>
                <w:lang w:eastAsia="ja-JP"/>
              </w:rPr>
            </w:pPr>
            <w:r>
              <w:rPr>
                <w:rFonts w:hint="eastAsia"/>
                <w:lang w:eastAsia="ja-JP"/>
              </w:rPr>
              <w:t>204</w:t>
            </w:r>
          </w:p>
        </w:tc>
        <w:tc>
          <w:tcPr>
            <w:tcW w:w="1278" w:type="dxa"/>
            <w:tcBorders>
              <w:left w:val="single" w:sz="4" w:space="0" w:color="auto"/>
            </w:tcBorders>
          </w:tcPr>
          <w:p w14:paraId="78BF2101" w14:textId="6A72A82F" w:rsidR="00621E7D" w:rsidRDefault="00903386" w:rsidP="00621E7D">
            <w:pPr>
              <w:pStyle w:val="a1"/>
              <w:ind w:rightChars="100" w:right="220" w:firstLine="0"/>
              <w:jc w:val="right"/>
              <w:rPr>
                <w:lang w:eastAsia="ja-JP"/>
              </w:rPr>
            </w:pPr>
            <w:r>
              <w:rPr>
                <w:rFonts w:hint="eastAsia"/>
                <w:lang w:eastAsia="ja-JP"/>
              </w:rPr>
              <w:t>0</w:t>
            </w:r>
          </w:p>
        </w:tc>
        <w:tc>
          <w:tcPr>
            <w:tcW w:w="1278" w:type="dxa"/>
            <w:tcBorders>
              <w:right w:val="single" w:sz="4" w:space="0" w:color="auto"/>
            </w:tcBorders>
          </w:tcPr>
          <w:p w14:paraId="0DE3412C" w14:textId="4BAB0B56" w:rsidR="00621E7D" w:rsidRDefault="00903386" w:rsidP="00621E7D">
            <w:pPr>
              <w:pStyle w:val="a1"/>
              <w:ind w:rightChars="100" w:right="220" w:firstLine="0"/>
              <w:jc w:val="right"/>
              <w:rPr>
                <w:lang w:eastAsia="ja-JP"/>
              </w:rPr>
            </w:pPr>
            <w:r>
              <w:rPr>
                <w:rFonts w:hint="eastAsia"/>
                <w:lang w:eastAsia="ja-JP"/>
              </w:rPr>
              <w:t>0</w:t>
            </w:r>
          </w:p>
        </w:tc>
      </w:tr>
      <w:tr w:rsidR="00621E7D" w14:paraId="5F6D1985" w14:textId="6247E05E" w:rsidTr="00903386">
        <w:trPr>
          <w:jc w:val="center"/>
        </w:trPr>
        <w:tc>
          <w:tcPr>
            <w:tcW w:w="3740" w:type="dxa"/>
            <w:tcBorders>
              <w:left w:val="single" w:sz="4" w:space="0" w:color="auto"/>
              <w:right w:val="single" w:sz="4" w:space="0" w:color="auto"/>
            </w:tcBorders>
          </w:tcPr>
          <w:p w14:paraId="57ED5340" w14:textId="25B3364B" w:rsidR="00621E7D" w:rsidRDefault="00621E7D" w:rsidP="00FF7C4F">
            <w:pPr>
              <w:pStyle w:val="a1"/>
              <w:ind w:firstLine="0"/>
            </w:pPr>
            <w:r>
              <w:t>Unit 5</w:t>
            </w:r>
          </w:p>
        </w:tc>
        <w:tc>
          <w:tcPr>
            <w:tcW w:w="1277" w:type="dxa"/>
            <w:tcBorders>
              <w:left w:val="single" w:sz="4" w:space="0" w:color="auto"/>
            </w:tcBorders>
          </w:tcPr>
          <w:p w14:paraId="469F9026" w14:textId="7F7C12A2" w:rsidR="00621E7D" w:rsidRDefault="00621E7D" w:rsidP="00621E7D">
            <w:pPr>
              <w:pStyle w:val="a1"/>
              <w:ind w:rightChars="100" w:right="220" w:firstLine="0"/>
              <w:jc w:val="right"/>
              <w:rPr>
                <w:lang w:eastAsia="ja-JP"/>
              </w:rPr>
            </w:pPr>
            <w:r>
              <w:rPr>
                <w:rFonts w:hint="eastAsia"/>
                <w:lang w:eastAsia="ja-JP"/>
              </w:rPr>
              <w:t>946</w:t>
            </w:r>
          </w:p>
        </w:tc>
        <w:tc>
          <w:tcPr>
            <w:tcW w:w="1278" w:type="dxa"/>
            <w:tcBorders>
              <w:right w:val="single" w:sz="4" w:space="0" w:color="auto"/>
            </w:tcBorders>
          </w:tcPr>
          <w:p w14:paraId="7269C9BC" w14:textId="55E3C0B8" w:rsidR="00621E7D" w:rsidRDefault="00621E7D" w:rsidP="00621E7D">
            <w:pPr>
              <w:pStyle w:val="a1"/>
              <w:ind w:rightChars="100" w:right="220" w:firstLine="0"/>
              <w:jc w:val="right"/>
              <w:rPr>
                <w:lang w:eastAsia="ja-JP"/>
              </w:rPr>
            </w:pPr>
            <w:r>
              <w:rPr>
                <w:rFonts w:hint="eastAsia"/>
                <w:lang w:eastAsia="ja-JP"/>
              </w:rPr>
              <w:t>48</w:t>
            </w:r>
          </w:p>
        </w:tc>
        <w:tc>
          <w:tcPr>
            <w:tcW w:w="1278" w:type="dxa"/>
            <w:tcBorders>
              <w:left w:val="single" w:sz="4" w:space="0" w:color="auto"/>
            </w:tcBorders>
          </w:tcPr>
          <w:p w14:paraId="6A1B0D82" w14:textId="2A5B2961" w:rsidR="00621E7D" w:rsidRDefault="00903386" w:rsidP="00621E7D">
            <w:pPr>
              <w:pStyle w:val="a1"/>
              <w:ind w:rightChars="100" w:right="220" w:firstLine="0"/>
              <w:jc w:val="right"/>
              <w:rPr>
                <w:lang w:eastAsia="ja-JP"/>
              </w:rPr>
            </w:pPr>
            <w:r>
              <w:rPr>
                <w:rFonts w:hint="eastAsia"/>
                <w:lang w:eastAsia="ja-JP"/>
              </w:rPr>
              <w:t>1,374</w:t>
            </w:r>
          </w:p>
        </w:tc>
        <w:tc>
          <w:tcPr>
            <w:tcW w:w="1278" w:type="dxa"/>
            <w:tcBorders>
              <w:right w:val="single" w:sz="4" w:space="0" w:color="auto"/>
            </w:tcBorders>
          </w:tcPr>
          <w:p w14:paraId="7A775681" w14:textId="064F4994" w:rsidR="00621E7D" w:rsidRDefault="00903386" w:rsidP="00621E7D">
            <w:pPr>
              <w:pStyle w:val="a1"/>
              <w:ind w:rightChars="100" w:right="220" w:firstLine="0"/>
              <w:jc w:val="right"/>
              <w:rPr>
                <w:lang w:eastAsia="ja-JP"/>
              </w:rPr>
            </w:pPr>
            <w:r>
              <w:rPr>
                <w:rFonts w:hint="eastAsia"/>
                <w:lang w:eastAsia="ja-JP"/>
              </w:rPr>
              <w:t>168</w:t>
            </w:r>
          </w:p>
        </w:tc>
      </w:tr>
      <w:tr w:rsidR="00621E7D" w14:paraId="25097F04" w14:textId="4F3E8354" w:rsidTr="00903386">
        <w:trPr>
          <w:jc w:val="center"/>
        </w:trPr>
        <w:tc>
          <w:tcPr>
            <w:tcW w:w="3740" w:type="dxa"/>
            <w:tcBorders>
              <w:left w:val="single" w:sz="4" w:space="0" w:color="auto"/>
              <w:right w:val="single" w:sz="4" w:space="0" w:color="auto"/>
            </w:tcBorders>
          </w:tcPr>
          <w:p w14:paraId="7911543A" w14:textId="535353FB" w:rsidR="00621E7D" w:rsidRDefault="00621E7D" w:rsidP="00FF7C4F">
            <w:pPr>
              <w:pStyle w:val="a1"/>
              <w:ind w:firstLine="0"/>
            </w:pPr>
            <w:r>
              <w:t>Unit 6</w:t>
            </w:r>
          </w:p>
        </w:tc>
        <w:tc>
          <w:tcPr>
            <w:tcW w:w="1277" w:type="dxa"/>
            <w:tcBorders>
              <w:left w:val="single" w:sz="4" w:space="0" w:color="auto"/>
            </w:tcBorders>
          </w:tcPr>
          <w:p w14:paraId="28D92F94" w14:textId="1D653407" w:rsidR="00621E7D" w:rsidRDefault="00621E7D" w:rsidP="00621E7D">
            <w:pPr>
              <w:pStyle w:val="a1"/>
              <w:ind w:rightChars="100" w:right="220" w:firstLine="0"/>
              <w:jc w:val="right"/>
              <w:rPr>
                <w:lang w:eastAsia="ja-JP"/>
              </w:rPr>
            </w:pPr>
            <w:r>
              <w:rPr>
                <w:rFonts w:hint="eastAsia"/>
                <w:lang w:eastAsia="ja-JP"/>
              </w:rPr>
              <w:t>876</w:t>
            </w:r>
          </w:p>
        </w:tc>
        <w:tc>
          <w:tcPr>
            <w:tcW w:w="1278" w:type="dxa"/>
            <w:tcBorders>
              <w:right w:val="single" w:sz="4" w:space="0" w:color="auto"/>
            </w:tcBorders>
          </w:tcPr>
          <w:p w14:paraId="2F031A02" w14:textId="4E89BA92" w:rsidR="00621E7D" w:rsidRDefault="00621E7D" w:rsidP="00621E7D">
            <w:pPr>
              <w:pStyle w:val="a1"/>
              <w:ind w:rightChars="100" w:right="220" w:firstLine="0"/>
              <w:jc w:val="right"/>
              <w:rPr>
                <w:lang w:eastAsia="ja-JP"/>
              </w:rPr>
            </w:pPr>
            <w:r>
              <w:rPr>
                <w:rFonts w:hint="eastAsia"/>
                <w:lang w:eastAsia="ja-JP"/>
              </w:rPr>
              <w:t>64</w:t>
            </w:r>
          </w:p>
        </w:tc>
        <w:tc>
          <w:tcPr>
            <w:tcW w:w="1278" w:type="dxa"/>
            <w:tcBorders>
              <w:left w:val="single" w:sz="4" w:space="0" w:color="auto"/>
            </w:tcBorders>
          </w:tcPr>
          <w:p w14:paraId="406A2F82" w14:textId="2AC6765A" w:rsidR="00621E7D" w:rsidRDefault="00903386" w:rsidP="00621E7D">
            <w:pPr>
              <w:pStyle w:val="a1"/>
              <w:ind w:rightChars="100" w:right="220" w:firstLine="0"/>
              <w:jc w:val="right"/>
              <w:rPr>
                <w:lang w:eastAsia="ja-JP"/>
              </w:rPr>
            </w:pPr>
            <w:r>
              <w:rPr>
                <w:rFonts w:hint="eastAsia"/>
                <w:lang w:eastAsia="ja-JP"/>
              </w:rPr>
              <w:t>1,456</w:t>
            </w:r>
          </w:p>
        </w:tc>
        <w:tc>
          <w:tcPr>
            <w:tcW w:w="1278" w:type="dxa"/>
            <w:tcBorders>
              <w:right w:val="single" w:sz="4" w:space="0" w:color="auto"/>
            </w:tcBorders>
          </w:tcPr>
          <w:p w14:paraId="2C412015" w14:textId="1B857049" w:rsidR="00621E7D" w:rsidRDefault="00B62615" w:rsidP="00621E7D">
            <w:pPr>
              <w:pStyle w:val="a1"/>
              <w:ind w:rightChars="100" w:right="220" w:firstLine="0"/>
              <w:jc w:val="right"/>
              <w:rPr>
                <w:lang w:eastAsia="ja-JP"/>
              </w:rPr>
            </w:pPr>
            <w:r>
              <w:rPr>
                <w:rFonts w:hint="eastAsia"/>
                <w:lang w:eastAsia="ja-JP"/>
              </w:rPr>
              <w:t>42</w:t>
            </w:r>
            <w:r w:rsidR="00903386">
              <w:rPr>
                <w:rFonts w:hint="eastAsia"/>
                <w:lang w:eastAsia="ja-JP"/>
              </w:rPr>
              <w:t>8</w:t>
            </w:r>
          </w:p>
        </w:tc>
      </w:tr>
      <w:tr w:rsidR="00621E7D" w14:paraId="163D4BD1" w14:textId="5978950D" w:rsidTr="00903386">
        <w:trPr>
          <w:jc w:val="center"/>
        </w:trPr>
        <w:tc>
          <w:tcPr>
            <w:tcW w:w="3740" w:type="dxa"/>
            <w:tcBorders>
              <w:left w:val="single" w:sz="4" w:space="0" w:color="auto"/>
              <w:right w:val="single" w:sz="4" w:space="0" w:color="auto"/>
            </w:tcBorders>
          </w:tcPr>
          <w:p w14:paraId="202BBEF5" w14:textId="3EC99BDA" w:rsidR="00621E7D" w:rsidRDefault="00621E7D" w:rsidP="00FF7C4F">
            <w:pPr>
              <w:pStyle w:val="a1"/>
              <w:ind w:firstLine="0"/>
              <w:rPr>
                <w:lang w:eastAsia="ja-JP"/>
              </w:rPr>
            </w:pPr>
            <w:r>
              <w:rPr>
                <w:rFonts w:hint="eastAsia"/>
                <w:lang w:eastAsia="ja-JP"/>
              </w:rPr>
              <w:t>Common Pool</w:t>
            </w:r>
          </w:p>
        </w:tc>
        <w:tc>
          <w:tcPr>
            <w:tcW w:w="1277" w:type="dxa"/>
            <w:tcBorders>
              <w:left w:val="single" w:sz="4" w:space="0" w:color="auto"/>
            </w:tcBorders>
          </w:tcPr>
          <w:p w14:paraId="49497FFD" w14:textId="41DC6E9F" w:rsidR="00621E7D" w:rsidRDefault="00621E7D" w:rsidP="00621E7D">
            <w:pPr>
              <w:pStyle w:val="a1"/>
              <w:ind w:rightChars="100" w:right="220" w:firstLine="0"/>
              <w:jc w:val="right"/>
              <w:rPr>
                <w:lang w:eastAsia="ja-JP"/>
              </w:rPr>
            </w:pPr>
            <w:r>
              <w:rPr>
                <w:rFonts w:hint="eastAsia"/>
                <w:lang w:eastAsia="ja-JP"/>
              </w:rPr>
              <w:t>6</w:t>
            </w:r>
            <w:r>
              <w:rPr>
                <w:lang w:eastAsia="ja-JP"/>
              </w:rPr>
              <w:t>,</w:t>
            </w:r>
            <w:r>
              <w:rPr>
                <w:rFonts w:hint="eastAsia"/>
                <w:lang w:eastAsia="ja-JP"/>
              </w:rPr>
              <w:t>375</w:t>
            </w:r>
          </w:p>
        </w:tc>
        <w:tc>
          <w:tcPr>
            <w:tcW w:w="1278" w:type="dxa"/>
            <w:tcBorders>
              <w:right w:val="single" w:sz="4" w:space="0" w:color="auto"/>
            </w:tcBorders>
          </w:tcPr>
          <w:p w14:paraId="23BFF596" w14:textId="14C75E90" w:rsidR="00621E7D" w:rsidRDefault="00621E7D" w:rsidP="00621E7D">
            <w:pPr>
              <w:pStyle w:val="a1"/>
              <w:ind w:rightChars="100" w:right="220" w:firstLine="0"/>
              <w:jc w:val="right"/>
              <w:rPr>
                <w:lang w:eastAsia="ja-JP"/>
              </w:rPr>
            </w:pPr>
            <w:r>
              <w:rPr>
                <w:rFonts w:hint="eastAsia"/>
                <w:lang w:eastAsia="ja-JP"/>
              </w:rPr>
              <w:t>0</w:t>
            </w:r>
          </w:p>
        </w:tc>
        <w:tc>
          <w:tcPr>
            <w:tcW w:w="1278" w:type="dxa"/>
            <w:tcBorders>
              <w:left w:val="single" w:sz="4" w:space="0" w:color="auto"/>
            </w:tcBorders>
          </w:tcPr>
          <w:p w14:paraId="4A5BD2E9" w14:textId="007B880D" w:rsidR="00621E7D" w:rsidRDefault="00903386" w:rsidP="00621E7D">
            <w:pPr>
              <w:pStyle w:val="a1"/>
              <w:ind w:rightChars="100" w:right="220" w:firstLine="0"/>
              <w:jc w:val="right"/>
              <w:rPr>
                <w:lang w:eastAsia="ja-JP"/>
              </w:rPr>
            </w:pPr>
            <w:r>
              <w:rPr>
                <w:rFonts w:hint="eastAsia"/>
                <w:lang w:eastAsia="ja-JP"/>
              </w:rPr>
              <w:t>6,081</w:t>
            </w:r>
          </w:p>
        </w:tc>
        <w:tc>
          <w:tcPr>
            <w:tcW w:w="1278" w:type="dxa"/>
            <w:tcBorders>
              <w:right w:val="single" w:sz="4" w:space="0" w:color="auto"/>
            </w:tcBorders>
          </w:tcPr>
          <w:p w14:paraId="01FB023F" w14:textId="1E1F0669" w:rsidR="00621E7D" w:rsidRDefault="00903386" w:rsidP="00621E7D">
            <w:pPr>
              <w:pStyle w:val="a1"/>
              <w:ind w:rightChars="100" w:right="220" w:firstLine="0"/>
              <w:jc w:val="right"/>
              <w:rPr>
                <w:lang w:eastAsia="ja-JP"/>
              </w:rPr>
            </w:pPr>
            <w:r>
              <w:rPr>
                <w:rFonts w:hint="eastAsia"/>
                <w:lang w:eastAsia="ja-JP"/>
              </w:rPr>
              <w:t>24</w:t>
            </w:r>
          </w:p>
        </w:tc>
      </w:tr>
      <w:tr w:rsidR="00621E7D" w14:paraId="2682AE23" w14:textId="1591DB4B" w:rsidTr="00903386">
        <w:trPr>
          <w:jc w:val="center"/>
        </w:trPr>
        <w:tc>
          <w:tcPr>
            <w:tcW w:w="3740" w:type="dxa"/>
            <w:tcBorders>
              <w:left w:val="single" w:sz="4" w:space="0" w:color="auto"/>
              <w:right w:val="single" w:sz="4" w:space="0" w:color="auto"/>
            </w:tcBorders>
          </w:tcPr>
          <w:p w14:paraId="4F52CA58" w14:textId="7704B0E8" w:rsidR="00621E7D" w:rsidRDefault="00621E7D" w:rsidP="00871B97">
            <w:pPr>
              <w:pStyle w:val="a1"/>
              <w:ind w:firstLine="0"/>
            </w:pPr>
            <w:r>
              <w:rPr>
                <w:rFonts w:hint="eastAsia"/>
                <w:lang w:eastAsia="ja-JP"/>
              </w:rPr>
              <w:t>Dry Cask</w:t>
            </w:r>
            <w:r>
              <w:rPr>
                <w:lang w:eastAsia="ja-JP"/>
              </w:rPr>
              <w:t xml:space="preserve"> </w:t>
            </w:r>
            <w:r>
              <w:rPr>
                <w:rFonts w:hint="eastAsia"/>
                <w:lang w:eastAsia="ja-JP"/>
              </w:rPr>
              <w:t>(Dry Storage Cask Building)</w:t>
            </w:r>
          </w:p>
        </w:tc>
        <w:tc>
          <w:tcPr>
            <w:tcW w:w="1277" w:type="dxa"/>
            <w:tcBorders>
              <w:left w:val="single" w:sz="4" w:space="0" w:color="auto"/>
            </w:tcBorders>
          </w:tcPr>
          <w:p w14:paraId="362969EF" w14:textId="65EE73D8" w:rsidR="00621E7D" w:rsidRDefault="00621E7D" w:rsidP="00621E7D">
            <w:pPr>
              <w:pStyle w:val="a1"/>
              <w:ind w:rightChars="100" w:right="220" w:firstLine="0"/>
              <w:jc w:val="right"/>
              <w:rPr>
                <w:lang w:eastAsia="ja-JP"/>
              </w:rPr>
            </w:pPr>
            <w:r>
              <w:rPr>
                <w:rFonts w:hint="eastAsia"/>
                <w:lang w:eastAsia="ja-JP"/>
              </w:rPr>
              <w:t>408</w:t>
            </w:r>
          </w:p>
        </w:tc>
        <w:tc>
          <w:tcPr>
            <w:tcW w:w="1278" w:type="dxa"/>
            <w:tcBorders>
              <w:right w:val="single" w:sz="4" w:space="0" w:color="auto"/>
            </w:tcBorders>
          </w:tcPr>
          <w:p w14:paraId="6DD1D91A" w14:textId="3F8386E4" w:rsidR="00621E7D" w:rsidRDefault="00621E7D" w:rsidP="00621E7D">
            <w:pPr>
              <w:pStyle w:val="a1"/>
              <w:ind w:rightChars="100" w:right="220" w:firstLine="0"/>
              <w:jc w:val="right"/>
              <w:rPr>
                <w:lang w:eastAsia="ja-JP"/>
              </w:rPr>
            </w:pPr>
            <w:r>
              <w:rPr>
                <w:rFonts w:hint="eastAsia"/>
                <w:lang w:eastAsia="ja-JP"/>
              </w:rPr>
              <w:t>0</w:t>
            </w:r>
          </w:p>
        </w:tc>
        <w:tc>
          <w:tcPr>
            <w:tcW w:w="1278" w:type="dxa"/>
            <w:tcBorders>
              <w:left w:val="single" w:sz="4" w:space="0" w:color="auto"/>
            </w:tcBorders>
          </w:tcPr>
          <w:p w14:paraId="6BC4E773" w14:textId="658BADF1" w:rsidR="00621E7D" w:rsidRDefault="00903386" w:rsidP="00621E7D">
            <w:pPr>
              <w:pStyle w:val="a1"/>
              <w:ind w:rightChars="100" w:right="220" w:firstLine="0"/>
              <w:jc w:val="right"/>
              <w:rPr>
                <w:lang w:eastAsia="ja-JP"/>
              </w:rPr>
            </w:pPr>
            <w:r>
              <w:rPr>
                <w:rFonts w:hint="eastAsia"/>
                <w:lang w:eastAsia="ja-JP"/>
              </w:rPr>
              <w:t>0</w:t>
            </w:r>
          </w:p>
        </w:tc>
        <w:tc>
          <w:tcPr>
            <w:tcW w:w="1278" w:type="dxa"/>
            <w:tcBorders>
              <w:right w:val="single" w:sz="4" w:space="0" w:color="auto"/>
            </w:tcBorders>
          </w:tcPr>
          <w:p w14:paraId="17968CC4" w14:textId="2D9FC66A" w:rsidR="00621E7D" w:rsidRDefault="00903386" w:rsidP="00621E7D">
            <w:pPr>
              <w:pStyle w:val="a1"/>
              <w:ind w:rightChars="100" w:right="220" w:firstLine="0"/>
              <w:jc w:val="right"/>
              <w:rPr>
                <w:lang w:eastAsia="ja-JP"/>
              </w:rPr>
            </w:pPr>
            <w:r>
              <w:rPr>
                <w:rFonts w:hint="eastAsia"/>
                <w:lang w:eastAsia="ja-JP"/>
              </w:rPr>
              <w:t>0</w:t>
            </w:r>
          </w:p>
        </w:tc>
      </w:tr>
      <w:tr w:rsidR="00621E7D" w14:paraId="7F7154C9" w14:textId="77777777" w:rsidTr="00903386">
        <w:trPr>
          <w:jc w:val="center"/>
        </w:trPr>
        <w:tc>
          <w:tcPr>
            <w:tcW w:w="3740" w:type="dxa"/>
            <w:tcBorders>
              <w:left w:val="single" w:sz="4" w:space="0" w:color="auto"/>
              <w:right w:val="single" w:sz="4" w:space="0" w:color="auto"/>
            </w:tcBorders>
          </w:tcPr>
          <w:p w14:paraId="57D224E4" w14:textId="06B0CA05" w:rsidR="00621E7D" w:rsidRDefault="00621E7D" w:rsidP="00621E7D">
            <w:pPr>
              <w:pStyle w:val="a1"/>
              <w:ind w:firstLine="0"/>
              <w:rPr>
                <w:lang w:eastAsia="ja-JP"/>
              </w:rPr>
            </w:pPr>
            <w:r>
              <w:rPr>
                <w:rFonts w:hint="eastAsia"/>
                <w:lang w:eastAsia="ja-JP"/>
              </w:rPr>
              <w:t>Dry Cask</w:t>
            </w:r>
            <w:r>
              <w:rPr>
                <w:lang w:eastAsia="ja-JP"/>
              </w:rPr>
              <w:t xml:space="preserve"> </w:t>
            </w:r>
            <w:r>
              <w:rPr>
                <w:rFonts w:hint="eastAsia"/>
                <w:lang w:eastAsia="ja-JP"/>
              </w:rPr>
              <w:t>(</w:t>
            </w:r>
            <w:r>
              <w:rPr>
                <w:lang w:eastAsia="ja-JP"/>
              </w:rPr>
              <w:t>Temporary Cask Custody Area</w:t>
            </w:r>
            <w:r>
              <w:rPr>
                <w:rFonts w:hint="eastAsia"/>
                <w:lang w:eastAsia="ja-JP"/>
              </w:rPr>
              <w:t>)</w:t>
            </w:r>
          </w:p>
        </w:tc>
        <w:tc>
          <w:tcPr>
            <w:tcW w:w="1277" w:type="dxa"/>
            <w:tcBorders>
              <w:left w:val="single" w:sz="4" w:space="0" w:color="auto"/>
            </w:tcBorders>
          </w:tcPr>
          <w:p w14:paraId="33DE2089" w14:textId="4F56B946" w:rsidR="00621E7D" w:rsidRPr="00621E7D" w:rsidRDefault="00903386" w:rsidP="00621E7D">
            <w:pPr>
              <w:pStyle w:val="a1"/>
              <w:ind w:rightChars="100" w:right="220" w:firstLine="0"/>
              <w:jc w:val="right"/>
              <w:rPr>
                <w:lang w:eastAsia="ja-JP"/>
              </w:rPr>
            </w:pPr>
            <w:r>
              <w:rPr>
                <w:rFonts w:hint="eastAsia"/>
                <w:lang w:eastAsia="ja-JP"/>
              </w:rPr>
              <w:t>-</w:t>
            </w:r>
          </w:p>
        </w:tc>
        <w:tc>
          <w:tcPr>
            <w:tcW w:w="1278" w:type="dxa"/>
            <w:tcBorders>
              <w:right w:val="single" w:sz="4" w:space="0" w:color="auto"/>
            </w:tcBorders>
          </w:tcPr>
          <w:p w14:paraId="6B92FC36" w14:textId="4D0E96FC" w:rsidR="00621E7D" w:rsidRDefault="00903386" w:rsidP="00621E7D">
            <w:pPr>
              <w:pStyle w:val="a1"/>
              <w:ind w:rightChars="100" w:right="220" w:firstLine="0"/>
              <w:jc w:val="right"/>
              <w:rPr>
                <w:lang w:eastAsia="ja-JP"/>
              </w:rPr>
            </w:pPr>
            <w:r>
              <w:rPr>
                <w:rFonts w:hint="eastAsia"/>
                <w:lang w:eastAsia="ja-JP"/>
              </w:rPr>
              <w:t>-</w:t>
            </w:r>
          </w:p>
        </w:tc>
        <w:tc>
          <w:tcPr>
            <w:tcW w:w="1278" w:type="dxa"/>
            <w:tcBorders>
              <w:left w:val="single" w:sz="4" w:space="0" w:color="auto"/>
            </w:tcBorders>
          </w:tcPr>
          <w:p w14:paraId="00E298A9" w14:textId="274599A7" w:rsidR="00621E7D" w:rsidRDefault="00903386" w:rsidP="00621E7D">
            <w:pPr>
              <w:pStyle w:val="a1"/>
              <w:ind w:rightChars="100" w:right="220" w:firstLine="0"/>
              <w:jc w:val="right"/>
              <w:rPr>
                <w:lang w:eastAsia="ja-JP"/>
              </w:rPr>
            </w:pPr>
            <w:r>
              <w:rPr>
                <w:rFonts w:hint="eastAsia"/>
                <w:lang w:eastAsia="ja-JP"/>
              </w:rPr>
              <w:t>2,033</w:t>
            </w:r>
          </w:p>
        </w:tc>
        <w:tc>
          <w:tcPr>
            <w:tcW w:w="1278" w:type="dxa"/>
            <w:tcBorders>
              <w:right w:val="single" w:sz="4" w:space="0" w:color="auto"/>
            </w:tcBorders>
          </w:tcPr>
          <w:p w14:paraId="10073462" w14:textId="342460CA" w:rsidR="00621E7D" w:rsidRDefault="00903386" w:rsidP="00621E7D">
            <w:pPr>
              <w:pStyle w:val="a1"/>
              <w:ind w:rightChars="100" w:right="220" w:firstLine="0"/>
              <w:jc w:val="right"/>
              <w:rPr>
                <w:lang w:eastAsia="ja-JP"/>
              </w:rPr>
            </w:pPr>
            <w:r>
              <w:rPr>
                <w:rFonts w:hint="eastAsia"/>
                <w:lang w:eastAsia="ja-JP"/>
              </w:rPr>
              <w:t>0</w:t>
            </w:r>
          </w:p>
        </w:tc>
      </w:tr>
    </w:tbl>
    <w:p w14:paraId="63E0989D" w14:textId="615477E4" w:rsidR="00871B97" w:rsidRDefault="00903386" w:rsidP="0010454D">
      <w:pPr>
        <w:pStyle w:val="a1"/>
        <w:rPr>
          <w:lang w:eastAsia="ja-JP"/>
        </w:rPr>
      </w:pPr>
      <w:r>
        <w:rPr>
          <w:lang w:eastAsia="ja-JP"/>
        </w:rPr>
        <w:t>N</w:t>
      </w:r>
      <w:r>
        <w:rPr>
          <w:rFonts w:hint="eastAsia"/>
          <w:lang w:eastAsia="ja-JP"/>
        </w:rPr>
        <w:t>ote:</w:t>
      </w:r>
      <w:r>
        <w:rPr>
          <w:lang w:eastAsia="ja-JP"/>
        </w:rPr>
        <w:t xml:space="preserve"> </w:t>
      </w:r>
      <w:r w:rsidR="00E91429">
        <w:rPr>
          <w:lang w:eastAsia="ja-JP"/>
        </w:rPr>
        <w:t>The number of Unit</w:t>
      </w:r>
      <w:r w:rsidR="006D6E76">
        <w:rPr>
          <w:lang w:eastAsia="ja-JP"/>
        </w:rPr>
        <w:t>s</w:t>
      </w:r>
      <w:r w:rsidR="00E91429">
        <w:rPr>
          <w:lang w:eastAsia="ja-JP"/>
        </w:rPr>
        <w:t xml:space="preserve"> 1 to 3 exclude core loading fuels. </w:t>
      </w:r>
      <w:r>
        <w:rPr>
          <w:lang w:eastAsia="ja-JP"/>
        </w:rPr>
        <w:t>The number of Unit</w:t>
      </w:r>
      <w:r w:rsidR="006D6E76">
        <w:rPr>
          <w:lang w:eastAsia="ja-JP"/>
        </w:rPr>
        <w:t>s</w:t>
      </w:r>
      <w:r>
        <w:rPr>
          <w:lang w:eastAsia="ja-JP"/>
        </w:rPr>
        <w:t xml:space="preserve"> 5 and 6 include core loading fuels and Unit 6 include transferred</w:t>
      </w:r>
      <w:r w:rsidR="00E91429">
        <w:rPr>
          <w:lang w:eastAsia="ja-JP"/>
        </w:rPr>
        <w:t xml:space="preserve"> fresh fuels</w:t>
      </w:r>
      <w:r>
        <w:rPr>
          <w:lang w:eastAsia="ja-JP"/>
        </w:rPr>
        <w:t xml:space="preserve"> from Unit 4 as of January 31, 2019.</w:t>
      </w:r>
    </w:p>
    <w:p w14:paraId="2B679156" w14:textId="77777777" w:rsidR="00E17A9C" w:rsidRPr="00903386" w:rsidRDefault="00E17A9C" w:rsidP="0010454D">
      <w:pPr>
        <w:pStyle w:val="a1"/>
        <w:rPr>
          <w:lang w:eastAsia="ja-JP"/>
        </w:rPr>
      </w:pPr>
    </w:p>
    <w:p w14:paraId="3F3F5D32" w14:textId="77777777" w:rsidR="00E17A9C" w:rsidRDefault="00E17A9C" w:rsidP="0010454D">
      <w:pPr>
        <w:pStyle w:val="a1"/>
        <w:rPr>
          <w:lang w:eastAsia="ja-JP"/>
        </w:rPr>
      </w:pPr>
    </w:p>
    <w:p w14:paraId="7CE70F8B" w14:textId="1B4BEE50" w:rsidR="00E17A9C" w:rsidRDefault="00457F72" w:rsidP="00CF5063">
      <w:pPr>
        <w:pStyle w:val="a1"/>
        <w:jc w:val="center"/>
        <w:rPr>
          <w:lang w:eastAsia="ja-JP"/>
        </w:rPr>
      </w:pPr>
      <w:r>
        <w:rPr>
          <w:noProof/>
          <w:lang w:val="en-US" w:eastAsia="ja-JP"/>
        </w:rPr>
        <w:drawing>
          <wp:inline distT="0" distB="0" distL="0" distR="0" wp14:anchorId="2CEEB8F9" wp14:editId="4B02336D">
            <wp:extent cx="4209524" cy="4419048"/>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マップ.png"/>
                    <pic:cNvPicPr/>
                  </pic:nvPicPr>
                  <pic:blipFill>
                    <a:blip r:embed="rId8">
                      <a:extLst>
                        <a:ext uri="{28A0092B-C50C-407E-A947-70E740481C1C}">
                          <a14:useLocalDpi xmlns:a14="http://schemas.microsoft.com/office/drawing/2010/main" val="0"/>
                        </a:ext>
                      </a:extLst>
                    </a:blip>
                    <a:stretch>
                      <a:fillRect/>
                    </a:stretch>
                  </pic:blipFill>
                  <pic:spPr>
                    <a:xfrm>
                      <a:off x="0" y="0"/>
                      <a:ext cx="4209524" cy="4419048"/>
                    </a:xfrm>
                    <a:prstGeom prst="rect">
                      <a:avLst/>
                    </a:prstGeom>
                  </pic:spPr>
                </pic:pic>
              </a:graphicData>
            </a:graphic>
          </wp:inline>
        </w:drawing>
      </w:r>
    </w:p>
    <w:p w14:paraId="457DB3EA" w14:textId="211C63EE" w:rsidR="00F337CF" w:rsidRPr="003113CF" w:rsidRDefault="00E17A9C" w:rsidP="0010454D">
      <w:pPr>
        <w:pStyle w:val="a1"/>
        <w:rPr>
          <w:lang w:eastAsia="ja-JP"/>
        </w:rPr>
      </w:pPr>
      <w:r>
        <w:rPr>
          <w:noProof/>
          <w:lang w:val="en-US" w:eastAsia="ja-JP"/>
        </w:rPr>
        <mc:AlternateContent>
          <mc:Choice Requires="wps">
            <w:drawing>
              <wp:anchor distT="0" distB="0" distL="114300" distR="114300" simplePos="0" relativeHeight="251662336" behindDoc="0" locked="0" layoutInCell="1" allowOverlap="1" wp14:anchorId="593263FF" wp14:editId="7CABFC33">
                <wp:simplePos x="0" y="0"/>
                <wp:positionH relativeFrom="margin">
                  <wp:posOffset>933450</wp:posOffset>
                </wp:positionH>
                <wp:positionV relativeFrom="paragraph">
                  <wp:posOffset>170815</wp:posOffset>
                </wp:positionV>
                <wp:extent cx="3863340" cy="635"/>
                <wp:effectExtent l="0" t="0" r="3810" b="5080"/>
                <wp:wrapTopAndBottom/>
                <wp:docPr id="3"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2BF75991" w14:textId="42B1B6E1" w:rsidR="00E17A9C" w:rsidRPr="00A17E40" w:rsidRDefault="00E17A9C" w:rsidP="00E17A9C">
                            <w:pPr>
                              <w:pStyle w:val="a7"/>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63348">
                              <w:rPr>
                                <w:i/>
                                <w:noProof/>
                              </w:rPr>
                              <w:t>1</w:t>
                            </w:r>
                            <w:r w:rsidRPr="00802381">
                              <w:rPr>
                                <w:i/>
                              </w:rPr>
                              <w:fldChar w:fldCharType="end"/>
                            </w:r>
                            <w:r>
                              <w:rPr>
                                <w:i/>
                              </w:rPr>
                              <w:t xml:space="preserve">. </w:t>
                            </w:r>
                            <w:r w:rsidR="002C3B18">
                              <w:rPr>
                                <w:i/>
                              </w:rPr>
                              <w:t>Fukushima NPS site l</w:t>
                            </w:r>
                            <w:r w:rsidR="00CF5063">
                              <w:rPr>
                                <w:i/>
                              </w:rPr>
                              <w:t>ayout</w:t>
                            </w:r>
                            <w:r w:rsidR="00CB7105">
                              <w:rPr>
                                <w:i/>
                              </w:rPr>
                              <w:t xml:space="preserve"> </w:t>
                            </w:r>
                            <w:r w:rsidR="00CB7105" w:rsidRPr="00A17E40">
                              <w:rPr>
                                <w:i/>
                              </w:rPr>
                              <w:t xml:space="preserve">(copyright: TEPCO, </w:t>
                            </w:r>
                            <w:r w:rsidR="00A17E40" w:rsidRPr="00A17E40">
                              <w:rPr>
                                <w:i/>
                              </w:rPr>
                              <w:t>[2]</w:t>
                            </w:r>
                            <w:r w:rsidR="00DF1BE1" w:rsidRPr="00A17E40">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93263FF" id="_x0000_t202" coordsize="21600,21600" o:spt="202" path="m,l,21600r21600,l21600,xe">
                <v:stroke joinstyle="miter"/>
                <v:path gradientshapeok="t" o:connecttype="rect"/>
              </v:shapetype>
              <v:shape id="Text Box 2" o:spid="_x0000_s1026" type="#_x0000_t202" style="position:absolute;left:0;text-align:left;margin-left:73.5pt;margin-top:13.45pt;width:304.2pt;height:.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" stroked="f">
                <v:textbox style="mso-fit-shape-to-text:t" inset="0,0,0,0">
                  <w:txbxContent>
                    <w:p w14:paraId="2BF75991" w14:textId="42B1B6E1" w:rsidR="00E17A9C" w:rsidRPr="00A17E40" w:rsidRDefault="00E17A9C" w:rsidP="00E17A9C">
                      <w:pPr>
                        <w:pStyle w:val="a7"/>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63348">
                        <w:rPr>
                          <w:i/>
                          <w:noProof/>
                        </w:rPr>
                        <w:t>1</w:t>
                      </w:r>
                      <w:r w:rsidRPr="00802381">
                        <w:rPr>
                          <w:i/>
                        </w:rPr>
                        <w:fldChar w:fldCharType="end"/>
                      </w:r>
                      <w:r>
                        <w:rPr>
                          <w:i/>
                        </w:rPr>
                        <w:t xml:space="preserve">. </w:t>
                      </w:r>
                      <w:r w:rsidR="002C3B18">
                        <w:rPr>
                          <w:i/>
                        </w:rPr>
                        <w:t>Fukushima NPS site l</w:t>
                      </w:r>
                      <w:r w:rsidR="00CF5063">
                        <w:rPr>
                          <w:i/>
                        </w:rPr>
                        <w:t>ayout</w:t>
                      </w:r>
                      <w:r w:rsidR="00CB7105">
                        <w:rPr>
                          <w:i/>
                        </w:rPr>
                        <w:t xml:space="preserve"> </w:t>
                      </w:r>
                      <w:r w:rsidR="00CB7105" w:rsidRPr="00A17E40">
                        <w:rPr>
                          <w:i/>
                        </w:rPr>
                        <w:t xml:space="preserve">(copyright: TEPCO, </w:t>
                      </w:r>
                      <w:r w:rsidR="00A17E40" w:rsidRPr="00A17E40">
                        <w:rPr>
                          <w:i/>
                        </w:rPr>
                        <w:t>[2]</w:t>
                      </w:r>
                      <w:r w:rsidR="00DF1BE1" w:rsidRPr="00A17E40">
                        <w:rPr>
                          <w:i/>
                        </w:rPr>
                        <w:t>)</w:t>
                      </w:r>
                    </w:p>
                  </w:txbxContent>
                </v:textbox>
                <w10:wrap type="topAndBottom" anchorx="margin"/>
              </v:shape>
            </w:pict>
          </mc:Fallback>
        </mc:AlternateContent>
      </w:r>
    </w:p>
    <w:p w14:paraId="46AE8648" w14:textId="268370C1" w:rsidR="00E25B68" w:rsidRDefault="002E79F4" w:rsidP="002E79F4">
      <w:pPr>
        <w:pStyle w:val="2"/>
        <w:numPr>
          <w:ilvl w:val="1"/>
          <w:numId w:val="10"/>
        </w:numPr>
      </w:pPr>
      <w:r w:rsidRPr="002E79F4">
        <w:t>the impacts of the accident</w:t>
      </w:r>
    </w:p>
    <w:p w14:paraId="025BD65E" w14:textId="215E0738" w:rsidR="0026525A" w:rsidRDefault="002E79F4" w:rsidP="00537496">
      <w:pPr>
        <w:pStyle w:val="a1"/>
      </w:pPr>
      <w:r w:rsidRPr="002E79F4">
        <w:t xml:space="preserve">The tsunami resulted in a total loss of AC power </w:t>
      </w:r>
      <w:r>
        <w:t>to Units 1 to 5 and common pool</w:t>
      </w:r>
      <w:r w:rsidRPr="002E79F4">
        <w:t>, which in turn caused the SFP to lose cooling and supplementary feed function. Furthermore, whereas the D/G for Unit 6 maintained function, seawater pump function was lost so SFP cooling function was lost.</w:t>
      </w:r>
      <w:r>
        <w:t xml:space="preserve"> </w:t>
      </w:r>
      <w:r w:rsidRPr="002E79F4">
        <w:t xml:space="preserve">The </w:t>
      </w:r>
      <w:r w:rsidR="00F30F82">
        <w:t>Dry S</w:t>
      </w:r>
      <w:r w:rsidRPr="002E79F4">
        <w:t>torage</w:t>
      </w:r>
      <w:r w:rsidR="00F30F82">
        <w:t xml:space="preserve"> Cask B</w:t>
      </w:r>
      <w:r w:rsidRPr="002E79F4">
        <w:t>uilding also experienced S</w:t>
      </w:r>
      <w:r>
        <w:t>tation Black Out</w:t>
      </w:r>
      <w:r w:rsidRPr="002E79F4">
        <w:t>, but the dry storage casks are designed to be air cooled through natural convection.</w:t>
      </w:r>
    </w:p>
    <w:p w14:paraId="4B35E6A4" w14:textId="6B73E751" w:rsidR="002E79F4" w:rsidRPr="00EE0041" w:rsidRDefault="002E79F4" w:rsidP="002E79F4">
      <w:pPr>
        <w:pStyle w:val="3"/>
      </w:pPr>
      <w:r>
        <w:lastRenderedPageBreak/>
        <w:t>S</w:t>
      </w:r>
      <w:r w:rsidR="00A55742">
        <w:t>pent fuel pools</w:t>
      </w:r>
    </w:p>
    <w:p w14:paraId="6DDE102B" w14:textId="16682113" w:rsidR="002E79F4" w:rsidRDefault="00FC422F" w:rsidP="002E79F4">
      <w:pPr>
        <w:pStyle w:val="Authornameandaffiliation"/>
        <w:rPr>
          <w:lang w:val="en-GB"/>
        </w:rPr>
      </w:pPr>
      <w:r w:rsidRPr="00FC422F">
        <w:rPr>
          <w:rFonts w:hint="eastAsia"/>
          <w:lang w:val="en-GB"/>
        </w:rPr>
        <w:t>Restoring cooling water i</w:t>
      </w:r>
      <w:r w:rsidR="00656155">
        <w:rPr>
          <w:rFonts w:hint="eastAsia"/>
          <w:lang w:val="en-GB"/>
        </w:rPr>
        <w:t>njection and cooling of the SFP</w:t>
      </w:r>
      <w:r w:rsidRPr="00FC422F">
        <w:rPr>
          <w:rFonts w:hint="eastAsia"/>
          <w:lang w:val="en-GB"/>
        </w:rPr>
        <w:t xml:space="preserve"> for Units 1 to 6 and the common pool was necessary</w:t>
      </w:r>
      <w:r>
        <w:rPr>
          <w:lang w:val="en-GB"/>
        </w:rPr>
        <w:t>.</w:t>
      </w:r>
      <w:r w:rsidRPr="00FC422F">
        <w:rPr>
          <w:rFonts w:hint="eastAsia"/>
          <w:lang w:val="en-GB"/>
        </w:rPr>
        <w:t xml:space="preserve"> In particular, the amount of heat being generated by the SFP for Unit 4</w:t>
      </w:r>
      <w:r w:rsidRPr="00FC422F">
        <w:rPr>
          <w:lang w:val="en-GB"/>
        </w:rPr>
        <w:t xml:space="preserve"> in which all f</w:t>
      </w:r>
      <w:r w:rsidR="006D6E76">
        <w:rPr>
          <w:lang w:val="en-GB"/>
        </w:rPr>
        <w:t>uel was being stored since the U</w:t>
      </w:r>
      <w:r w:rsidRPr="00FC422F">
        <w:rPr>
          <w:lang w:val="en-GB"/>
        </w:rPr>
        <w:t xml:space="preserve">nit had undergone </w:t>
      </w:r>
      <w:r w:rsidR="006D6E76">
        <w:rPr>
          <w:lang w:val="en-GB"/>
        </w:rPr>
        <w:t>outage</w:t>
      </w:r>
      <w:r w:rsidRPr="00FC422F">
        <w:rPr>
          <w:lang w:val="en-GB"/>
        </w:rPr>
        <w:t xml:space="preserve"> was huge.</w:t>
      </w:r>
      <w:r w:rsidR="00FE5663">
        <w:rPr>
          <w:lang w:val="en-GB"/>
        </w:rPr>
        <w:t xml:space="preserve"> Because of hydrogen explosions occurred in the reactor buildings of Unit</w:t>
      </w:r>
      <w:r w:rsidR="006D6E76">
        <w:rPr>
          <w:lang w:val="en-GB"/>
        </w:rPr>
        <w:t>s</w:t>
      </w:r>
      <w:r w:rsidR="00FE5663">
        <w:rPr>
          <w:lang w:val="en-GB"/>
        </w:rPr>
        <w:t xml:space="preserve"> 1, 3 and 4, </w:t>
      </w:r>
      <w:r w:rsidR="00FE5663" w:rsidRPr="00FE5663">
        <w:rPr>
          <w:lang w:val="en-GB"/>
        </w:rPr>
        <w:t>therefore, factors such as access and the ensuing environment made it extremely difficult to achieve cooling water injection and cooling of the SFPs.</w:t>
      </w:r>
    </w:p>
    <w:p w14:paraId="2BF79111" w14:textId="624AEB12" w:rsidR="00FE5663" w:rsidRDefault="00FE5663" w:rsidP="002E79F4">
      <w:pPr>
        <w:pStyle w:val="Authornameandaffiliation"/>
        <w:rPr>
          <w:lang w:val="en-GB"/>
        </w:rPr>
      </w:pPr>
      <w:r w:rsidRPr="00FE5663">
        <w:rPr>
          <w:lang w:val="en-GB"/>
        </w:rPr>
        <w:t>Cooling water injection of Unit 4 using concrete pump trucks</w:t>
      </w:r>
      <w:r>
        <w:rPr>
          <w:lang w:val="en-GB"/>
        </w:rPr>
        <w:t xml:space="preserve"> that </w:t>
      </w:r>
      <w:r w:rsidRPr="00FE5663">
        <w:rPr>
          <w:lang w:val="en-GB"/>
        </w:rPr>
        <w:t>extending the boom to inject coolant from right next to the reactor building</w:t>
      </w:r>
      <w:r w:rsidR="00E20E87">
        <w:rPr>
          <w:lang w:val="en-GB"/>
        </w:rPr>
        <w:t>,</w:t>
      </w:r>
      <w:r w:rsidRPr="00FE5663">
        <w:rPr>
          <w:lang w:val="en-GB"/>
        </w:rPr>
        <w:t xml:space="preserve"> began on March 22 and similar operations began at Unit 3 (March 27) and Unit 1 (March 31).</w:t>
      </w:r>
      <w:r w:rsidR="00E20E87">
        <w:rPr>
          <w:lang w:val="en-GB"/>
        </w:rPr>
        <w:t xml:space="preserve"> </w:t>
      </w:r>
      <w:r w:rsidR="00E20E87" w:rsidRPr="00E20E87">
        <w:rPr>
          <w:rFonts w:hint="eastAsia"/>
          <w:lang w:val="en-GB"/>
        </w:rPr>
        <w:t>Furthermore, since the Unit 2 reactor building did not experience an explosion, so an injection measure that consisted of using a fire engine to inject coolant v</w:t>
      </w:r>
      <w:r w:rsidR="00E20E87">
        <w:rPr>
          <w:lang w:val="en-GB"/>
        </w:rPr>
        <w:t xml:space="preserve">ia pipes inside the building </w:t>
      </w:r>
      <w:r w:rsidR="00E20E87" w:rsidRPr="00E20E87">
        <w:rPr>
          <w:lang w:val="en-GB"/>
        </w:rPr>
        <w:t xml:space="preserve">was examined and put into implementation </w:t>
      </w:r>
      <w:bookmarkStart w:id="0" w:name="_GoBack"/>
      <w:bookmarkEnd w:id="0"/>
      <w:r w:rsidR="00E20E87" w:rsidRPr="00E20E87">
        <w:rPr>
          <w:lang w:val="en-GB"/>
        </w:rPr>
        <w:t>on March 20.</w:t>
      </w:r>
      <w:r w:rsidR="00072896" w:rsidRPr="00072896">
        <w:t xml:space="preserve"> </w:t>
      </w:r>
      <w:r w:rsidR="00072896">
        <w:t xml:space="preserve">Radionuclide </w:t>
      </w:r>
      <w:r w:rsidR="00072896">
        <w:rPr>
          <w:lang w:val="en-GB"/>
        </w:rPr>
        <w:t>a</w:t>
      </w:r>
      <w:r w:rsidR="00072896" w:rsidRPr="00072896">
        <w:rPr>
          <w:lang w:val="en-GB"/>
        </w:rPr>
        <w:t>nalysis of</w:t>
      </w:r>
      <w:r w:rsidR="00072896">
        <w:rPr>
          <w:lang w:val="en-GB"/>
        </w:rPr>
        <w:t xml:space="preserve"> </w:t>
      </w:r>
      <w:r w:rsidR="00072896" w:rsidRPr="00072896">
        <w:rPr>
          <w:lang w:val="en-GB"/>
        </w:rPr>
        <w:t xml:space="preserve">the </w:t>
      </w:r>
      <w:r w:rsidR="00072896">
        <w:rPr>
          <w:lang w:val="en-GB"/>
        </w:rPr>
        <w:t>SFP water</w:t>
      </w:r>
      <w:r w:rsidR="00072896" w:rsidRPr="00072896">
        <w:rPr>
          <w:lang w:val="en-GB"/>
        </w:rPr>
        <w:t xml:space="preserve"> provided no data that indicates fuel damage.</w:t>
      </w:r>
    </w:p>
    <w:p w14:paraId="1FE7C5C0" w14:textId="488EAB36" w:rsidR="00E20E87" w:rsidRPr="00EE0041" w:rsidRDefault="002729B1" w:rsidP="002E79F4">
      <w:pPr>
        <w:pStyle w:val="Authornameandaffiliation"/>
        <w:rPr>
          <w:lang w:val="en-GB" w:eastAsia="ja-JP"/>
        </w:rPr>
      </w:pPr>
      <w:r w:rsidRPr="002729B1">
        <w:rPr>
          <w:rFonts w:hint="eastAsia"/>
          <w:lang w:val="en-GB" w:eastAsia="ja-JP"/>
        </w:rPr>
        <w:t xml:space="preserve">As explained </w:t>
      </w:r>
      <w:r>
        <w:rPr>
          <w:lang w:val="en-GB" w:eastAsia="ja-JP"/>
        </w:rPr>
        <w:t>above</w:t>
      </w:r>
      <w:r w:rsidRPr="002729B1">
        <w:rPr>
          <w:rFonts w:hint="eastAsia"/>
          <w:lang w:val="en-GB" w:eastAsia="ja-JP"/>
        </w:rPr>
        <w:t xml:space="preserve">, cold shutdown of reactor Unit 5 and Unit 6 was </w:t>
      </w:r>
      <w:r>
        <w:rPr>
          <w:rFonts w:hint="eastAsia"/>
          <w:lang w:val="en-GB" w:eastAsia="ja-JP"/>
        </w:rPr>
        <w:t>successful, as was p</w:t>
      </w:r>
      <w:r w:rsidR="00351DA3">
        <w:rPr>
          <w:rFonts w:hint="eastAsia"/>
          <w:lang w:val="en-GB" w:eastAsia="ja-JP"/>
        </w:rPr>
        <w:t xml:space="preserve">ool cooling on </w:t>
      </w:r>
      <w:r>
        <w:rPr>
          <w:rFonts w:hint="eastAsia"/>
          <w:lang w:val="en-GB" w:eastAsia="ja-JP"/>
        </w:rPr>
        <w:t>March 19.</w:t>
      </w:r>
    </w:p>
    <w:p w14:paraId="4F092567" w14:textId="4479A5D3" w:rsidR="00A55742" w:rsidRPr="00EE0041" w:rsidRDefault="00A55742" w:rsidP="00A55742">
      <w:pPr>
        <w:pStyle w:val="3"/>
      </w:pPr>
      <w:r>
        <w:t>Common pool</w:t>
      </w:r>
    </w:p>
    <w:p w14:paraId="07A6B816" w14:textId="3BF07AEC" w:rsidR="00E20E87" w:rsidRPr="00EE0041" w:rsidRDefault="00E20E87" w:rsidP="00A55742">
      <w:pPr>
        <w:pStyle w:val="Authornameandaffiliation"/>
        <w:rPr>
          <w:lang w:val="en-GB" w:eastAsia="ja-JP"/>
        </w:rPr>
      </w:pPr>
      <w:r>
        <w:rPr>
          <w:lang w:val="en-GB"/>
        </w:rPr>
        <w:t>S</w:t>
      </w:r>
      <w:r w:rsidRPr="00E20E87">
        <w:rPr>
          <w:lang w:val="en-GB"/>
        </w:rPr>
        <w:t>everal thousand spent fuel assemblies were stored in the common pool for which it was necessary to restore cooling. The amount of heat generated by each individual spent fuel assembly in the common pool is small, but the vast quantity required a large amount of cooling water injection, therefore, restoration of the cooli</w:t>
      </w:r>
      <w:r>
        <w:rPr>
          <w:lang w:val="en-GB"/>
        </w:rPr>
        <w:t xml:space="preserve">ng equipment installed in the </w:t>
      </w:r>
      <w:r w:rsidRPr="00E20E87">
        <w:rPr>
          <w:lang w:val="en-GB"/>
        </w:rPr>
        <w:t>common pool building was required.</w:t>
      </w:r>
      <w:r>
        <w:rPr>
          <w:lang w:val="en-GB"/>
        </w:rPr>
        <w:t xml:space="preserve"> </w:t>
      </w:r>
      <w:r w:rsidRPr="00E20E87">
        <w:rPr>
          <w:lang w:val="en-GB"/>
        </w:rPr>
        <w:t>Off-site power was supplied to the site</w:t>
      </w:r>
      <w:r>
        <w:rPr>
          <w:lang w:val="en-GB"/>
        </w:rPr>
        <w:t>,</w:t>
      </w:r>
      <w:r w:rsidRPr="00E20E87">
        <w:rPr>
          <w:lang w:val="en-GB"/>
        </w:rPr>
        <w:t xml:space="preserve"> enabling the rest</w:t>
      </w:r>
      <w:r>
        <w:rPr>
          <w:lang w:val="en-GB"/>
        </w:rPr>
        <w:t>oration of common pool cooling on March 24</w:t>
      </w:r>
      <w:r w:rsidRPr="00E20E87">
        <w:rPr>
          <w:lang w:val="en-GB"/>
        </w:rPr>
        <w:t>.</w:t>
      </w:r>
    </w:p>
    <w:p w14:paraId="6A767CF0" w14:textId="3B4EE9C6" w:rsidR="00A55742" w:rsidRPr="00EE0041" w:rsidRDefault="00A55742" w:rsidP="00A55742">
      <w:pPr>
        <w:pStyle w:val="3"/>
      </w:pPr>
      <w:r>
        <w:t>Dry casks</w:t>
      </w:r>
    </w:p>
    <w:p w14:paraId="5EA3F48D" w14:textId="43FB6517" w:rsidR="00A55742" w:rsidRDefault="00214911" w:rsidP="00A55742">
      <w:pPr>
        <w:pStyle w:val="Authornameandaffiliation"/>
        <w:rPr>
          <w:lang w:val="en-GB" w:eastAsia="ja-JP"/>
        </w:rPr>
      </w:pPr>
      <w:r>
        <w:t xml:space="preserve">At the accident, </w:t>
      </w:r>
      <w:r w:rsidR="000D701E">
        <w:t>9</w:t>
      </w:r>
      <w:r w:rsidR="00E46230">
        <w:t xml:space="preserve"> dry casks had been stored in </w:t>
      </w:r>
      <w:r w:rsidR="00E46230" w:rsidRPr="00E46230">
        <w:t>Dry Storage Cask Building</w:t>
      </w:r>
      <w:r w:rsidR="00E46230">
        <w:t xml:space="preserve"> (see Fig. 2 and 3). </w:t>
      </w:r>
      <w:r w:rsidR="00D17F17" w:rsidRPr="00D17F17">
        <w:rPr>
          <w:lang w:val="en-GB"/>
        </w:rPr>
        <w:t xml:space="preserve">The tsunami flooded the </w:t>
      </w:r>
      <w:r w:rsidR="00E46230">
        <w:rPr>
          <w:lang w:val="en-GB"/>
        </w:rPr>
        <w:t>Building</w:t>
      </w:r>
      <w:r w:rsidR="00D17F17" w:rsidRPr="00D17F17">
        <w:rPr>
          <w:lang w:val="en-GB"/>
        </w:rPr>
        <w:t xml:space="preserve"> with a large amount of sea water, sand, and </w:t>
      </w:r>
      <w:r w:rsidR="00972058">
        <w:rPr>
          <w:lang w:val="en-GB"/>
        </w:rPr>
        <w:t>rubbles</w:t>
      </w:r>
      <w:r w:rsidR="00D17F17" w:rsidRPr="00D17F17">
        <w:rPr>
          <w:lang w:val="en-GB"/>
        </w:rPr>
        <w:t>, and the louvers and doors were damaged, but the airflow required for natural air cooling was not inhibited, and there were no cooling problems. The outer appearance of the casks showed no signs of abnormalities concer</w:t>
      </w:r>
      <w:r w:rsidR="00A5290D">
        <w:rPr>
          <w:lang w:val="en-GB"/>
        </w:rPr>
        <w:t>ning soundness</w:t>
      </w:r>
      <w:r w:rsidR="00990D9B">
        <w:rPr>
          <w:rFonts w:hint="eastAsia"/>
          <w:lang w:val="en-GB" w:eastAsia="ja-JP"/>
        </w:rPr>
        <w:t xml:space="preserve">. </w:t>
      </w:r>
      <w:r w:rsidR="00990D9B">
        <w:rPr>
          <w:lang w:val="en-GB" w:eastAsia="ja-JP"/>
        </w:rPr>
        <w:t xml:space="preserve">There were no abnormality with </w:t>
      </w:r>
      <w:r w:rsidR="00DE153B">
        <w:rPr>
          <w:lang w:val="en-GB" w:eastAsia="ja-JP"/>
        </w:rPr>
        <w:t xml:space="preserve">result of </w:t>
      </w:r>
      <w:r w:rsidR="00990D9B">
        <w:rPr>
          <w:lang w:val="en-GB" w:eastAsia="ja-JP"/>
        </w:rPr>
        <w:t>measuring the dose rate and the temperature</w:t>
      </w:r>
      <w:r w:rsidR="00972058">
        <w:rPr>
          <w:lang w:val="en-GB" w:eastAsia="ja-JP"/>
        </w:rPr>
        <w:t xml:space="preserve"> as well</w:t>
      </w:r>
      <w:r w:rsidR="00990D9B">
        <w:rPr>
          <w:lang w:val="en-GB" w:eastAsia="ja-JP"/>
        </w:rPr>
        <w:t>.</w:t>
      </w:r>
    </w:p>
    <w:p w14:paraId="66798698" w14:textId="711E945C" w:rsidR="000B1888" w:rsidRDefault="00E3130E" w:rsidP="00214911">
      <w:pPr>
        <w:pStyle w:val="Authornameandaffiliation"/>
        <w:rPr>
          <w:lang w:val="en-GB" w:eastAsia="ja-JP"/>
        </w:rPr>
      </w:pPr>
      <w:r>
        <w:rPr>
          <w:rFonts w:hint="eastAsia"/>
          <w:lang w:val="en-GB" w:eastAsia="ja-JP"/>
        </w:rPr>
        <w:t xml:space="preserve">All casks were transported to the common pool, inspected and then necessary parts were replaced. </w:t>
      </w:r>
      <w:r>
        <w:rPr>
          <w:lang w:val="en-GB" w:eastAsia="ja-JP"/>
        </w:rPr>
        <w:t xml:space="preserve">Additionally, the cask which is maximum amount of heat generation was opened for inspection and </w:t>
      </w:r>
      <w:r w:rsidR="000D701E">
        <w:rPr>
          <w:lang w:val="en-GB" w:eastAsia="ja-JP"/>
        </w:rPr>
        <w:t>3</w:t>
      </w:r>
      <w:r w:rsidR="00214911">
        <w:rPr>
          <w:lang w:val="en-GB" w:eastAsia="ja-JP"/>
        </w:rPr>
        <w:t xml:space="preserve"> fuel assemblies were unloaded for </w:t>
      </w:r>
      <w:r w:rsidR="002C3B18">
        <w:rPr>
          <w:lang w:val="en-GB" w:eastAsia="ja-JP"/>
        </w:rPr>
        <w:t>external appearance observation</w:t>
      </w:r>
      <w:r w:rsidR="00214911">
        <w:rPr>
          <w:lang w:val="en-GB" w:eastAsia="ja-JP"/>
        </w:rPr>
        <w:t xml:space="preserve"> at </w:t>
      </w:r>
      <w:r w:rsidR="00214911">
        <w:rPr>
          <w:rFonts w:hint="eastAsia"/>
          <w:lang w:val="en-GB" w:eastAsia="ja-JP"/>
        </w:rPr>
        <w:t>common pool.</w:t>
      </w:r>
    </w:p>
    <w:p w14:paraId="41DB4210" w14:textId="553361AE" w:rsidR="00214911" w:rsidRDefault="00E57EDB" w:rsidP="00214911">
      <w:pPr>
        <w:pStyle w:val="Authornameandaffiliation"/>
        <w:rPr>
          <w:lang w:val="en-GB" w:eastAsia="ja-JP"/>
        </w:rPr>
      </w:pPr>
      <w:r>
        <w:rPr>
          <w:lang w:val="en-GB" w:eastAsia="ja-JP"/>
        </w:rPr>
        <w:t>The cask</w:t>
      </w:r>
      <w:r w:rsidR="000B1888">
        <w:rPr>
          <w:lang w:val="en-GB" w:eastAsia="ja-JP"/>
        </w:rPr>
        <w:t xml:space="preserve"> was </w:t>
      </w:r>
      <w:r w:rsidR="000B1888">
        <w:rPr>
          <w:rFonts w:hint="eastAsia"/>
          <w:lang w:val="en-GB" w:eastAsia="ja-JP"/>
        </w:rPr>
        <w:t xml:space="preserve">inspected </w:t>
      </w:r>
      <w:r w:rsidR="000B1888">
        <w:rPr>
          <w:lang w:val="en-GB" w:eastAsia="ja-JP"/>
        </w:rPr>
        <w:t xml:space="preserve">the </w:t>
      </w:r>
      <w:r w:rsidR="000B1888">
        <w:rPr>
          <w:rFonts w:hint="eastAsia"/>
          <w:lang w:val="en-GB" w:eastAsia="ja-JP"/>
        </w:rPr>
        <w:t xml:space="preserve">leakage rate of the primary and secondary lids, </w:t>
      </w:r>
      <w:r>
        <w:rPr>
          <w:lang w:val="en-GB" w:eastAsia="ja-JP"/>
        </w:rPr>
        <w:t xml:space="preserve">the </w:t>
      </w:r>
      <w:r w:rsidR="000B1888">
        <w:rPr>
          <w:lang w:val="en-GB" w:eastAsia="ja-JP"/>
        </w:rPr>
        <w:t xml:space="preserve">pressure between lids, </w:t>
      </w:r>
      <w:r>
        <w:rPr>
          <w:lang w:val="en-GB" w:eastAsia="ja-JP"/>
        </w:rPr>
        <w:t xml:space="preserve">the monitoring Krypton gas, and the observation of flange surface, metal gaskets for primary and secondary lids, and basket. </w:t>
      </w:r>
      <w:r w:rsidR="00214911" w:rsidRPr="00214911">
        <w:rPr>
          <w:lang w:val="en-GB" w:eastAsia="ja-JP"/>
        </w:rPr>
        <w:t>It was confirmed that there was no problem to the sub-criticality function</w:t>
      </w:r>
      <w:r w:rsidR="00214911">
        <w:rPr>
          <w:lang w:val="en-GB" w:eastAsia="ja-JP"/>
        </w:rPr>
        <w:t>, the containment function</w:t>
      </w:r>
      <w:r w:rsidR="00214911" w:rsidRPr="00214911">
        <w:rPr>
          <w:lang w:val="en-GB" w:eastAsia="ja-JP"/>
        </w:rPr>
        <w:t xml:space="preserve"> and spent fuel integrity</w:t>
      </w:r>
      <w:r w:rsidR="00214911">
        <w:rPr>
          <w:lang w:val="en-GB" w:eastAsia="ja-JP"/>
        </w:rPr>
        <w:t xml:space="preserve"> </w:t>
      </w:r>
      <w:r w:rsidR="00214911">
        <w:t>(see Fig. 4)</w:t>
      </w:r>
      <w:r w:rsidR="00214911" w:rsidRPr="00214911">
        <w:rPr>
          <w:lang w:val="en-GB" w:eastAsia="ja-JP"/>
        </w:rPr>
        <w:t>.</w:t>
      </w:r>
      <w:r w:rsidR="00C93AD6">
        <w:rPr>
          <w:rFonts w:hint="eastAsia"/>
          <w:lang w:val="en-GB" w:eastAsia="ja-JP"/>
        </w:rPr>
        <w:t xml:space="preserve"> </w:t>
      </w:r>
      <w:r w:rsidR="000D701E">
        <w:rPr>
          <w:lang w:val="en-GB" w:eastAsia="ja-JP"/>
        </w:rPr>
        <w:t>Then all 9</w:t>
      </w:r>
      <w:r w:rsidR="007F63B7">
        <w:rPr>
          <w:lang w:val="en-GB" w:eastAsia="ja-JP"/>
        </w:rPr>
        <w:t xml:space="preserve"> casks were</w:t>
      </w:r>
      <w:r w:rsidR="007F63B7" w:rsidRPr="007F63B7">
        <w:rPr>
          <w:lang w:val="en-GB" w:eastAsia="ja-JP"/>
        </w:rPr>
        <w:t xml:space="preserve"> store</w:t>
      </w:r>
      <w:r w:rsidR="007F63B7">
        <w:rPr>
          <w:lang w:val="en-GB" w:eastAsia="ja-JP"/>
        </w:rPr>
        <w:t>d</w:t>
      </w:r>
      <w:r w:rsidR="007F63B7" w:rsidRPr="007F63B7">
        <w:rPr>
          <w:lang w:val="en-GB" w:eastAsia="ja-JP"/>
        </w:rPr>
        <w:t xml:space="preserve"> in the newly constructed </w:t>
      </w:r>
      <w:r w:rsidR="007F63B7">
        <w:rPr>
          <w:lang w:val="en-GB" w:eastAsia="ja-JP"/>
        </w:rPr>
        <w:t>T</w:t>
      </w:r>
      <w:r w:rsidR="007F63B7" w:rsidRPr="007F63B7">
        <w:rPr>
          <w:lang w:val="en-GB" w:eastAsia="ja-JP"/>
        </w:rPr>
        <w:t xml:space="preserve">emporary </w:t>
      </w:r>
      <w:r w:rsidR="007F63B7">
        <w:rPr>
          <w:lang w:val="en-GB" w:eastAsia="ja-JP"/>
        </w:rPr>
        <w:t>C</w:t>
      </w:r>
      <w:r w:rsidR="007F63B7" w:rsidRPr="007F63B7">
        <w:rPr>
          <w:lang w:val="en-GB" w:eastAsia="ja-JP"/>
        </w:rPr>
        <w:t xml:space="preserve">ask </w:t>
      </w:r>
      <w:r w:rsidR="007F63B7">
        <w:rPr>
          <w:lang w:val="en-GB" w:eastAsia="ja-JP"/>
        </w:rPr>
        <w:t>C</w:t>
      </w:r>
      <w:r w:rsidR="007F63B7" w:rsidRPr="007F63B7">
        <w:rPr>
          <w:lang w:val="en-GB" w:eastAsia="ja-JP"/>
        </w:rPr>
        <w:t xml:space="preserve">ustody </w:t>
      </w:r>
      <w:r w:rsidR="007F63B7">
        <w:rPr>
          <w:lang w:val="en-GB" w:eastAsia="ja-JP"/>
        </w:rPr>
        <w:t>A</w:t>
      </w:r>
      <w:r w:rsidR="007F63B7" w:rsidRPr="007F63B7">
        <w:rPr>
          <w:lang w:val="en-GB" w:eastAsia="ja-JP"/>
        </w:rPr>
        <w:t>rea</w:t>
      </w:r>
      <w:r w:rsidR="007F63B7">
        <w:rPr>
          <w:lang w:val="en-GB" w:eastAsia="ja-JP"/>
        </w:rPr>
        <w:t>.</w:t>
      </w:r>
    </w:p>
    <w:p w14:paraId="36BFB1B1" w14:textId="77777777" w:rsidR="00E46230" w:rsidRPr="00827BD9" w:rsidRDefault="00E46230" w:rsidP="00E46230">
      <w:pPr>
        <w:pStyle w:val="a1"/>
        <w:rPr>
          <w:lang w:eastAsia="ja-JP"/>
        </w:rPr>
      </w:pPr>
    </w:p>
    <w:p w14:paraId="7310A9D7" w14:textId="31F29FC6" w:rsidR="00E46230" w:rsidRDefault="005335D0" w:rsidP="00E46230">
      <w:pPr>
        <w:pStyle w:val="a1"/>
        <w:jc w:val="center"/>
        <w:rPr>
          <w:lang w:eastAsia="ja-JP"/>
        </w:rPr>
      </w:pPr>
      <w:r>
        <w:rPr>
          <w:noProof/>
          <w:lang w:val="en-US" w:eastAsia="ja-JP"/>
        </w:rPr>
        <w:drawing>
          <wp:inline distT="0" distB="0" distL="0" distR="0" wp14:anchorId="244B36C5" wp14:editId="43E849D1">
            <wp:extent cx="3466667" cy="2504762"/>
            <wp:effectExtent l="0" t="0" r="63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キャスク保管庫.png"/>
                    <pic:cNvPicPr/>
                  </pic:nvPicPr>
                  <pic:blipFill>
                    <a:blip r:embed="rId9">
                      <a:extLst>
                        <a:ext uri="{28A0092B-C50C-407E-A947-70E740481C1C}">
                          <a14:useLocalDpi xmlns:a14="http://schemas.microsoft.com/office/drawing/2010/main" val="0"/>
                        </a:ext>
                      </a:extLst>
                    </a:blip>
                    <a:stretch>
                      <a:fillRect/>
                    </a:stretch>
                  </pic:blipFill>
                  <pic:spPr>
                    <a:xfrm>
                      <a:off x="0" y="0"/>
                      <a:ext cx="3466667" cy="2504762"/>
                    </a:xfrm>
                    <a:prstGeom prst="rect">
                      <a:avLst/>
                    </a:prstGeom>
                  </pic:spPr>
                </pic:pic>
              </a:graphicData>
            </a:graphic>
          </wp:inline>
        </w:drawing>
      </w:r>
    </w:p>
    <w:p w14:paraId="61509570" w14:textId="77777777" w:rsidR="00E46230" w:rsidRPr="003113CF" w:rsidRDefault="00E46230" w:rsidP="00E46230">
      <w:pPr>
        <w:pStyle w:val="a1"/>
        <w:rPr>
          <w:lang w:eastAsia="ja-JP"/>
        </w:rPr>
      </w:pPr>
      <w:r>
        <w:rPr>
          <w:noProof/>
          <w:lang w:val="en-US" w:eastAsia="ja-JP"/>
        </w:rPr>
        <w:lastRenderedPageBreak/>
        <mc:AlternateContent>
          <mc:Choice Requires="wps">
            <w:drawing>
              <wp:anchor distT="0" distB="0" distL="114300" distR="114300" simplePos="0" relativeHeight="251664384" behindDoc="0" locked="0" layoutInCell="1" allowOverlap="1" wp14:anchorId="1602F4C9" wp14:editId="0A758FAD">
                <wp:simplePos x="0" y="0"/>
                <wp:positionH relativeFrom="margin">
                  <wp:posOffset>933450</wp:posOffset>
                </wp:positionH>
                <wp:positionV relativeFrom="paragraph">
                  <wp:posOffset>170815</wp:posOffset>
                </wp:positionV>
                <wp:extent cx="3863340" cy="635"/>
                <wp:effectExtent l="0" t="0" r="3810" b="5080"/>
                <wp:wrapTopAndBottom/>
                <wp:docPr id="5"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5C79690D" w14:textId="198EB172" w:rsidR="00E46230" w:rsidRPr="00895E08" w:rsidRDefault="00E46230" w:rsidP="00E46230">
                            <w:pPr>
                              <w:pStyle w:val="a7"/>
                              <w:jc w:val="center"/>
                              <w:rPr>
                                <w:i/>
                                <w:sz w:val="20"/>
                              </w:rPr>
                            </w:pPr>
                            <w:r w:rsidRPr="00895E08">
                              <w:rPr>
                                <w:i/>
                              </w:rPr>
                              <w:t xml:space="preserve">FIG. </w:t>
                            </w:r>
                            <w:r w:rsidRPr="00895E08">
                              <w:rPr>
                                <w:i/>
                              </w:rPr>
                              <w:fldChar w:fldCharType="begin"/>
                            </w:r>
                            <w:r w:rsidRPr="00895E08">
                              <w:rPr>
                                <w:i/>
                              </w:rPr>
                              <w:instrText xml:space="preserve"> SEQ Figure \* ARABIC </w:instrText>
                            </w:r>
                            <w:r w:rsidRPr="00895E08">
                              <w:rPr>
                                <w:i/>
                              </w:rPr>
                              <w:fldChar w:fldCharType="separate"/>
                            </w:r>
                            <w:r w:rsidR="00263348">
                              <w:rPr>
                                <w:i/>
                                <w:noProof/>
                              </w:rPr>
                              <w:t>2</w:t>
                            </w:r>
                            <w:r w:rsidRPr="00895E08">
                              <w:rPr>
                                <w:i/>
                              </w:rPr>
                              <w:fldChar w:fldCharType="end"/>
                            </w:r>
                            <w:r w:rsidRPr="00895E08">
                              <w:rPr>
                                <w:i/>
                              </w:rPr>
                              <w:t>. Dry Storage Cask Building</w:t>
                            </w:r>
                            <w:r w:rsidR="00DF1BE1" w:rsidRPr="00895E08">
                              <w:rPr>
                                <w:i/>
                              </w:rPr>
                              <w:t xml:space="preserve">; </w:t>
                            </w:r>
                            <w:r w:rsidR="00DF1BE1" w:rsidRPr="00895E08">
                              <w:rPr>
                                <w:i/>
                                <w:lang w:val="en-GB"/>
                              </w:rPr>
                              <w:t>photographed August 24, 2011</w:t>
                            </w:r>
                            <w:r w:rsidR="00DF1BE1" w:rsidRPr="00895E08">
                              <w:rPr>
                                <w:i/>
                                <w:lang w:val="en-GB"/>
                              </w:rPr>
                              <w:br/>
                            </w:r>
                            <w:r w:rsidR="00CB7105" w:rsidRPr="00895E08">
                              <w:rPr>
                                <w:i/>
                              </w:rPr>
                              <w:t>(copyright: TEPCO,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02F4C9" id="_x0000_s1027" type="#_x0000_t202" style="position:absolute;left:0;text-align:left;margin-left:73.5pt;margin-top:13.45pt;width:304.2pt;height:.0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" stroked="f">
                <v:textbox style="mso-fit-shape-to-text:t" inset="0,0,0,0">
                  <w:txbxContent>
                    <w:p w14:paraId="5C79690D" w14:textId="198EB172" w:rsidR="00E46230" w:rsidRPr="00895E08" w:rsidRDefault="00E46230" w:rsidP="00E46230">
                      <w:pPr>
                        <w:pStyle w:val="a7"/>
                        <w:jc w:val="center"/>
                        <w:rPr>
                          <w:i/>
                          <w:sz w:val="20"/>
                        </w:rPr>
                      </w:pPr>
                      <w:r w:rsidRPr="00895E08">
                        <w:rPr>
                          <w:i/>
                        </w:rPr>
                        <w:t xml:space="preserve">FIG. </w:t>
                      </w:r>
                      <w:r w:rsidRPr="00895E08">
                        <w:rPr>
                          <w:i/>
                        </w:rPr>
                        <w:fldChar w:fldCharType="begin"/>
                      </w:r>
                      <w:r w:rsidRPr="00895E08">
                        <w:rPr>
                          <w:i/>
                        </w:rPr>
                        <w:instrText xml:space="preserve"> SEQ Figure \* ARABIC </w:instrText>
                      </w:r>
                      <w:r w:rsidRPr="00895E08">
                        <w:rPr>
                          <w:i/>
                        </w:rPr>
                        <w:fldChar w:fldCharType="separate"/>
                      </w:r>
                      <w:r w:rsidR="00263348">
                        <w:rPr>
                          <w:i/>
                          <w:noProof/>
                        </w:rPr>
                        <w:t>2</w:t>
                      </w:r>
                      <w:r w:rsidRPr="00895E08">
                        <w:rPr>
                          <w:i/>
                        </w:rPr>
                        <w:fldChar w:fldCharType="end"/>
                      </w:r>
                      <w:r w:rsidRPr="00895E08">
                        <w:rPr>
                          <w:i/>
                        </w:rPr>
                        <w:t>. Dry Storage Cask Building</w:t>
                      </w:r>
                      <w:r w:rsidR="00DF1BE1" w:rsidRPr="00895E08">
                        <w:rPr>
                          <w:i/>
                        </w:rPr>
                        <w:t xml:space="preserve">; </w:t>
                      </w:r>
                      <w:r w:rsidR="00DF1BE1" w:rsidRPr="00895E08">
                        <w:rPr>
                          <w:i/>
                          <w:lang w:val="en-GB"/>
                        </w:rPr>
                        <w:t xml:space="preserve">photographed </w:t>
                      </w:r>
                      <w:r w:rsidR="00DF1BE1" w:rsidRPr="00895E08">
                        <w:rPr>
                          <w:i/>
                          <w:lang w:val="en-GB"/>
                        </w:rPr>
                        <w:t>August 24</w:t>
                      </w:r>
                      <w:r w:rsidR="00DF1BE1" w:rsidRPr="00895E08">
                        <w:rPr>
                          <w:i/>
                          <w:lang w:val="en-GB"/>
                        </w:rPr>
                        <w:t>, 2011</w:t>
                      </w:r>
                      <w:r w:rsidR="00DF1BE1" w:rsidRPr="00895E08">
                        <w:rPr>
                          <w:i/>
                          <w:lang w:val="en-GB"/>
                        </w:rPr>
                        <w:br/>
                      </w:r>
                      <w:r w:rsidR="00CB7105" w:rsidRPr="00895E08">
                        <w:rPr>
                          <w:i/>
                        </w:rPr>
                        <w:t>(copyright: TEPCO, [3])</w:t>
                      </w:r>
                    </w:p>
                  </w:txbxContent>
                </v:textbox>
                <w10:wrap type="topAndBottom" anchorx="margin"/>
              </v:shape>
            </w:pict>
          </mc:Fallback>
        </mc:AlternateContent>
      </w:r>
    </w:p>
    <w:p w14:paraId="720A468C" w14:textId="77777777" w:rsidR="00E46230" w:rsidRDefault="00E46230" w:rsidP="00E46230">
      <w:pPr>
        <w:pStyle w:val="a1"/>
        <w:rPr>
          <w:lang w:eastAsia="ja-JP"/>
        </w:rPr>
      </w:pPr>
    </w:p>
    <w:p w14:paraId="0F416013" w14:textId="3DBB142D" w:rsidR="00E46230" w:rsidRDefault="00E46230" w:rsidP="00E46230">
      <w:pPr>
        <w:pStyle w:val="a1"/>
        <w:jc w:val="center"/>
        <w:rPr>
          <w:lang w:eastAsia="ja-JP"/>
        </w:rPr>
      </w:pPr>
      <w:r>
        <w:rPr>
          <w:noProof/>
          <w:lang w:val="en-US" w:eastAsia="ja-JP"/>
        </w:rPr>
        <w:drawing>
          <wp:inline distT="0" distB="0" distL="0" distR="0" wp14:anchorId="220F6FF1" wp14:editId="278F40F1">
            <wp:extent cx="3383280" cy="2463165"/>
            <wp:effectExtent l="0" t="0" r="762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3280" cy="2463165"/>
                    </a:xfrm>
                    <a:prstGeom prst="rect">
                      <a:avLst/>
                    </a:prstGeom>
                    <a:noFill/>
                    <a:ln>
                      <a:noFill/>
                    </a:ln>
                  </pic:spPr>
                </pic:pic>
              </a:graphicData>
            </a:graphic>
          </wp:inline>
        </w:drawing>
      </w:r>
    </w:p>
    <w:p w14:paraId="5A0F6C14" w14:textId="77777777" w:rsidR="00E46230" w:rsidRPr="003113CF" w:rsidRDefault="00E46230" w:rsidP="00E46230">
      <w:pPr>
        <w:pStyle w:val="a1"/>
        <w:rPr>
          <w:lang w:eastAsia="ja-JP"/>
        </w:rPr>
      </w:pPr>
      <w:r>
        <w:rPr>
          <w:noProof/>
          <w:lang w:val="en-US" w:eastAsia="ja-JP"/>
        </w:rPr>
        <mc:AlternateContent>
          <mc:Choice Requires="wps">
            <w:drawing>
              <wp:anchor distT="0" distB="0" distL="114300" distR="114300" simplePos="0" relativeHeight="251666432" behindDoc="0" locked="0" layoutInCell="1" allowOverlap="1" wp14:anchorId="77E7E0AE" wp14:editId="15A3736B">
                <wp:simplePos x="0" y="0"/>
                <wp:positionH relativeFrom="margin">
                  <wp:posOffset>933450</wp:posOffset>
                </wp:positionH>
                <wp:positionV relativeFrom="paragraph">
                  <wp:posOffset>170815</wp:posOffset>
                </wp:positionV>
                <wp:extent cx="3863340" cy="635"/>
                <wp:effectExtent l="0" t="0" r="3810" b="5080"/>
                <wp:wrapTopAndBottom/>
                <wp:docPr id="8"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05B0878" w14:textId="2C85C1A1" w:rsidR="00E46230" w:rsidRPr="00895E08" w:rsidRDefault="00E46230" w:rsidP="00E46230">
                            <w:pPr>
                              <w:pStyle w:val="a7"/>
                              <w:jc w:val="center"/>
                              <w:rPr>
                                <w:i/>
                                <w:sz w:val="20"/>
                              </w:rPr>
                            </w:pPr>
                            <w:r w:rsidRPr="00895E08">
                              <w:rPr>
                                <w:i/>
                              </w:rPr>
                              <w:t xml:space="preserve">FIG. </w:t>
                            </w:r>
                            <w:r w:rsidRPr="00895E08">
                              <w:rPr>
                                <w:i/>
                              </w:rPr>
                              <w:fldChar w:fldCharType="begin"/>
                            </w:r>
                            <w:r w:rsidRPr="00895E08">
                              <w:rPr>
                                <w:i/>
                              </w:rPr>
                              <w:instrText xml:space="preserve"> SEQ Figure \* ARABIC </w:instrText>
                            </w:r>
                            <w:r w:rsidRPr="00895E08">
                              <w:rPr>
                                <w:i/>
                              </w:rPr>
                              <w:fldChar w:fldCharType="separate"/>
                            </w:r>
                            <w:r w:rsidR="00263348">
                              <w:rPr>
                                <w:i/>
                                <w:noProof/>
                              </w:rPr>
                              <w:t>3</w:t>
                            </w:r>
                            <w:r w:rsidRPr="00895E08">
                              <w:rPr>
                                <w:i/>
                              </w:rPr>
                              <w:fldChar w:fldCharType="end"/>
                            </w:r>
                            <w:r w:rsidRPr="00895E08">
                              <w:rPr>
                                <w:i/>
                              </w:rPr>
                              <w:t>. Dry Cask</w:t>
                            </w:r>
                            <w:r w:rsidR="00DF1BE1" w:rsidRPr="00895E08">
                              <w:rPr>
                                <w:i/>
                              </w:rPr>
                              <w:t xml:space="preserve">s; </w:t>
                            </w:r>
                            <w:r w:rsidR="00DF1BE1" w:rsidRPr="00895E08">
                              <w:rPr>
                                <w:i/>
                                <w:lang w:val="en-GB"/>
                              </w:rPr>
                              <w:t>photographed Ma</w:t>
                            </w:r>
                            <w:r w:rsidR="00B80CF6">
                              <w:rPr>
                                <w:i/>
                                <w:lang w:val="en-GB" w:eastAsia="ja-JP"/>
                              </w:rPr>
                              <w:t>r</w:t>
                            </w:r>
                            <w:r w:rsidR="00DF1BE1" w:rsidRPr="00895E08">
                              <w:rPr>
                                <w:i/>
                                <w:lang w:val="en-GB"/>
                              </w:rPr>
                              <w:t>ch 17, 2011</w:t>
                            </w:r>
                            <w:r w:rsidR="00CB7105" w:rsidRPr="00895E08">
                              <w:rPr>
                                <w:i/>
                                <w:lang w:val="en-GB"/>
                              </w:rPr>
                              <w:t xml:space="preserve"> (copyright: TEPCO,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7E7E0AE" id="_x0000_t202" coordsize="21600,21600" o:spt="202" path="m,l,21600r21600,l21600,xe">
                <v:stroke joinstyle="miter"/>
                <v:path gradientshapeok="t" o:connecttype="rect"/>
              </v:shapetype>
              <v:shape id="_x0000_s1028" type="#_x0000_t202" style="position:absolute;left:0;text-align:left;margin-left:73.5pt;margin-top:13.45pt;width:304.2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" stroked="f">
                <v:textbox style="mso-fit-shape-to-text:t" inset="0,0,0,0">
                  <w:txbxContent>
                    <w:p w14:paraId="705B0878" w14:textId="2C85C1A1" w:rsidR="00E46230" w:rsidRPr="00895E08" w:rsidRDefault="00E46230" w:rsidP="00E46230">
                      <w:pPr>
                        <w:pStyle w:val="a7"/>
                        <w:jc w:val="center"/>
                        <w:rPr>
                          <w:i/>
                          <w:sz w:val="20"/>
                        </w:rPr>
                      </w:pPr>
                      <w:r w:rsidRPr="00895E08">
                        <w:rPr>
                          <w:i/>
                        </w:rPr>
                        <w:t xml:space="preserve">FIG. </w:t>
                      </w:r>
                      <w:r w:rsidRPr="00895E08">
                        <w:rPr>
                          <w:i/>
                        </w:rPr>
                        <w:fldChar w:fldCharType="begin"/>
                      </w:r>
                      <w:r w:rsidRPr="00895E08">
                        <w:rPr>
                          <w:i/>
                        </w:rPr>
                        <w:instrText xml:space="preserve"> SEQ Figure \* ARABIC </w:instrText>
                      </w:r>
                      <w:r w:rsidRPr="00895E08">
                        <w:rPr>
                          <w:i/>
                        </w:rPr>
                        <w:fldChar w:fldCharType="separate"/>
                      </w:r>
                      <w:r w:rsidR="00263348">
                        <w:rPr>
                          <w:i/>
                          <w:noProof/>
                        </w:rPr>
                        <w:t>3</w:t>
                      </w:r>
                      <w:r w:rsidRPr="00895E08">
                        <w:rPr>
                          <w:i/>
                        </w:rPr>
                        <w:fldChar w:fldCharType="end"/>
                      </w:r>
                      <w:r w:rsidRPr="00895E08">
                        <w:rPr>
                          <w:i/>
                        </w:rPr>
                        <w:t>. Dry Cask</w:t>
                      </w:r>
                      <w:r w:rsidR="00DF1BE1" w:rsidRPr="00895E08">
                        <w:rPr>
                          <w:i/>
                        </w:rPr>
                        <w:t xml:space="preserve">s; </w:t>
                      </w:r>
                      <w:r w:rsidR="00DF1BE1" w:rsidRPr="00895E08">
                        <w:rPr>
                          <w:i/>
                          <w:lang w:val="en-GB"/>
                        </w:rPr>
                        <w:t>photographed Ma</w:t>
                      </w:r>
                      <w:r w:rsidR="00B80CF6">
                        <w:rPr>
                          <w:i/>
                          <w:lang w:val="en-GB" w:eastAsia="ja-JP"/>
                        </w:rPr>
                        <w:t>r</w:t>
                      </w:r>
                      <w:r w:rsidR="00DF1BE1" w:rsidRPr="00895E08">
                        <w:rPr>
                          <w:i/>
                          <w:lang w:val="en-GB"/>
                        </w:rPr>
                        <w:t>ch 17, 2011</w:t>
                      </w:r>
                      <w:r w:rsidR="00CB7105" w:rsidRPr="00895E08">
                        <w:rPr>
                          <w:i/>
                          <w:lang w:val="en-GB"/>
                        </w:rPr>
                        <w:t xml:space="preserve"> (copyright: TEPCO, [3])</w:t>
                      </w:r>
                    </w:p>
                  </w:txbxContent>
                </v:textbox>
                <w10:wrap type="topAndBottom" anchorx="margin"/>
              </v:shape>
            </w:pict>
          </mc:Fallback>
        </mc:AlternateContent>
      </w:r>
    </w:p>
    <w:p w14:paraId="1DB35DA9" w14:textId="77777777" w:rsidR="001871AD" w:rsidRDefault="001871AD" w:rsidP="001871AD">
      <w:pPr>
        <w:pStyle w:val="a1"/>
        <w:rPr>
          <w:lang w:eastAsia="ja-JP"/>
        </w:rPr>
      </w:pPr>
    </w:p>
    <w:p w14:paraId="051CEA40" w14:textId="721E554F" w:rsidR="001871AD" w:rsidRDefault="00093ED3" w:rsidP="001871AD">
      <w:pPr>
        <w:pStyle w:val="a1"/>
        <w:jc w:val="center"/>
        <w:rPr>
          <w:lang w:eastAsia="ja-JP"/>
        </w:rPr>
      </w:pPr>
      <w:r>
        <w:rPr>
          <w:noProof/>
          <w:lang w:val="en-US" w:eastAsia="ja-JP"/>
        </w:rPr>
        <w:drawing>
          <wp:inline distT="0" distB="0" distL="0" distR="0" wp14:anchorId="2BA63C7A" wp14:editId="6B06E0F0">
            <wp:extent cx="3114444" cy="3676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燃料外観点検.png"/>
                    <pic:cNvPicPr/>
                  </pic:nvPicPr>
                  <pic:blipFill>
                    <a:blip r:embed="rId11">
                      <a:extLst>
                        <a:ext uri="{28A0092B-C50C-407E-A947-70E740481C1C}">
                          <a14:useLocalDpi xmlns:a14="http://schemas.microsoft.com/office/drawing/2010/main" val="0"/>
                        </a:ext>
                      </a:extLst>
                    </a:blip>
                    <a:stretch>
                      <a:fillRect/>
                    </a:stretch>
                  </pic:blipFill>
                  <pic:spPr>
                    <a:xfrm>
                      <a:off x="0" y="0"/>
                      <a:ext cx="3119800" cy="3682972"/>
                    </a:xfrm>
                    <a:prstGeom prst="rect">
                      <a:avLst/>
                    </a:prstGeom>
                  </pic:spPr>
                </pic:pic>
              </a:graphicData>
            </a:graphic>
          </wp:inline>
        </w:drawing>
      </w:r>
    </w:p>
    <w:p w14:paraId="41534229" w14:textId="77777777" w:rsidR="001871AD" w:rsidRPr="003113CF" w:rsidRDefault="001871AD" w:rsidP="001871AD">
      <w:pPr>
        <w:pStyle w:val="a1"/>
        <w:rPr>
          <w:lang w:eastAsia="ja-JP"/>
        </w:rPr>
      </w:pPr>
      <w:r>
        <w:rPr>
          <w:noProof/>
          <w:lang w:val="en-US" w:eastAsia="ja-JP"/>
        </w:rPr>
        <mc:AlternateContent>
          <mc:Choice Requires="wps">
            <w:drawing>
              <wp:anchor distT="0" distB="0" distL="114300" distR="114300" simplePos="0" relativeHeight="251668480" behindDoc="0" locked="0" layoutInCell="1" allowOverlap="1" wp14:anchorId="5504DEA4" wp14:editId="115CDF39">
                <wp:simplePos x="0" y="0"/>
                <wp:positionH relativeFrom="margin">
                  <wp:posOffset>1085850</wp:posOffset>
                </wp:positionH>
                <wp:positionV relativeFrom="paragraph">
                  <wp:posOffset>170815</wp:posOffset>
                </wp:positionV>
                <wp:extent cx="3863340" cy="635"/>
                <wp:effectExtent l="0" t="0" r="3810" b="5080"/>
                <wp:wrapTopAndBottom/>
                <wp:docPr id="6"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5A4237B1" w14:textId="6A8CF7CF" w:rsidR="001871AD" w:rsidRPr="00A17E40" w:rsidRDefault="001871AD" w:rsidP="002C3B18">
                            <w:pPr>
                              <w:pStyle w:val="a7"/>
                              <w:jc w:val="center"/>
                              <w:rPr>
                                <w:i/>
                                <w:sz w:val="20"/>
                              </w:rPr>
                            </w:pPr>
                            <w:r w:rsidRPr="00A17E40">
                              <w:rPr>
                                <w:i/>
                              </w:rPr>
                              <w:t xml:space="preserve">FIG. </w:t>
                            </w:r>
                            <w:r w:rsidRPr="00A17E40">
                              <w:rPr>
                                <w:i/>
                              </w:rPr>
                              <w:fldChar w:fldCharType="begin"/>
                            </w:r>
                            <w:r w:rsidRPr="00A17E40">
                              <w:rPr>
                                <w:i/>
                              </w:rPr>
                              <w:instrText xml:space="preserve"> SEQ Figure \* ARABIC </w:instrText>
                            </w:r>
                            <w:r w:rsidRPr="00A17E40">
                              <w:rPr>
                                <w:i/>
                              </w:rPr>
                              <w:fldChar w:fldCharType="separate"/>
                            </w:r>
                            <w:r w:rsidR="00263348">
                              <w:rPr>
                                <w:i/>
                                <w:noProof/>
                              </w:rPr>
                              <w:t>4</w:t>
                            </w:r>
                            <w:r w:rsidRPr="00A17E40">
                              <w:rPr>
                                <w:i/>
                              </w:rPr>
                              <w:fldChar w:fldCharType="end"/>
                            </w:r>
                            <w:r w:rsidRPr="00A17E40">
                              <w:rPr>
                                <w:i/>
                              </w:rPr>
                              <w:t xml:space="preserve">. </w:t>
                            </w:r>
                            <w:r w:rsidR="002C3B18" w:rsidRPr="00A17E40">
                              <w:rPr>
                                <w:i/>
                              </w:rPr>
                              <w:t xml:space="preserve">Result of external appearance observation </w:t>
                            </w:r>
                            <w:r w:rsidR="002C3B18" w:rsidRPr="00A17E40">
                              <w:rPr>
                                <w:rFonts w:hint="eastAsia"/>
                                <w:i/>
                                <w:lang w:val="en-GB"/>
                              </w:rPr>
                              <w:t>of spent fuel assemblies</w:t>
                            </w:r>
                            <w:r w:rsidR="00CB7105" w:rsidRPr="00A17E40">
                              <w:rPr>
                                <w:i/>
                                <w:lang w:val="en-GB"/>
                              </w:rPr>
                              <w:t xml:space="preserve"> (copyright: TEPCO,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04DEA4" id="_x0000_s1029" type="#_x0000_t202" style="position:absolute;left:0;text-align:left;margin-left:85.5pt;margin-top:13.45pt;width:304.2pt;height:.0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" stroked="f">
                <v:textbox style="mso-fit-shape-to-text:t" inset="0,0,0,0">
                  <w:txbxContent>
                    <w:p w14:paraId="5A4237B1" w14:textId="6A8CF7CF" w:rsidR="001871AD" w:rsidRPr="00A17E40" w:rsidRDefault="001871AD" w:rsidP="002C3B18">
                      <w:pPr>
                        <w:pStyle w:val="a7"/>
                        <w:jc w:val="center"/>
                        <w:rPr>
                          <w:i/>
                          <w:sz w:val="20"/>
                        </w:rPr>
                      </w:pPr>
                      <w:r w:rsidRPr="00A17E40">
                        <w:rPr>
                          <w:i/>
                        </w:rPr>
                        <w:t xml:space="preserve">FIG. </w:t>
                      </w:r>
                      <w:r w:rsidRPr="00A17E40">
                        <w:rPr>
                          <w:i/>
                        </w:rPr>
                        <w:fldChar w:fldCharType="begin"/>
                      </w:r>
                      <w:r w:rsidRPr="00A17E40">
                        <w:rPr>
                          <w:i/>
                        </w:rPr>
                        <w:instrText xml:space="preserve"> SEQ Figure \* ARABIC </w:instrText>
                      </w:r>
                      <w:r w:rsidRPr="00A17E40">
                        <w:rPr>
                          <w:i/>
                        </w:rPr>
                        <w:fldChar w:fldCharType="separate"/>
                      </w:r>
                      <w:r w:rsidR="00263348">
                        <w:rPr>
                          <w:i/>
                          <w:noProof/>
                        </w:rPr>
                        <w:t>4</w:t>
                      </w:r>
                      <w:r w:rsidRPr="00A17E40">
                        <w:rPr>
                          <w:i/>
                        </w:rPr>
                        <w:fldChar w:fldCharType="end"/>
                      </w:r>
                      <w:r w:rsidRPr="00A17E40">
                        <w:rPr>
                          <w:i/>
                        </w:rPr>
                        <w:t xml:space="preserve">. </w:t>
                      </w:r>
                      <w:r w:rsidR="002C3B18" w:rsidRPr="00A17E40">
                        <w:rPr>
                          <w:i/>
                        </w:rPr>
                        <w:t xml:space="preserve">Result of external appearance observation </w:t>
                      </w:r>
                      <w:r w:rsidR="002C3B18" w:rsidRPr="00A17E40">
                        <w:rPr>
                          <w:rFonts w:hint="eastAsia"/>
                          <w:i/>
                          <w:lang w:val="en-GB"/>
                        </w:rPr>
                        <w:t>of spent fuel assemblies</w:t>
                      </w:r>
                      <w:r w:rsidR="00CB7105" w:rsidRPr="00A17E40">
                        <w:rPr>
                          <w:i/>
                          <w:lang w:val="en-GB"/>
                        </w:rPr>
                        <w:t xml:space="preserve"> (copyright: TEPCO, [4])</w:t>
                      </w:r>
                    </w:p>
                  </w:txbxContent>
                </v:textbox>
                <w10:wrap type="topAndBottom" anchorx="margin"/>
              </v:shape>
            </w:pict>
          </mc:Fallback>
        </mc:AlternateContent>
      </w:r>
    </w:p>
    <w:p w14:paraId="0D7BABC5" w14:textId="77777777" w:rsidR="00E46230" w:rsidRPr="00EE0041" w:rsidRDefault="00E46230" w:rsidP="00A55742">
      <w:pPr>
        <w:pStyle w:val="Authornameandaffiliation"/>
        <w:rPr>
          <w:lang w:val="en-GB" w:eastAsia="ja-JP"/>
        </w:rPr>
      </w:pPr>
    </w:p>
    <w:p w14:paraId="2108EE00" w14:textId="08E201C1" w:rsidR="00E17A9C" w:rsidRDefault="00E17A9C" w:rsidP="00E17A9C">
      <w:pPr>
        <w:pStyle w:val="2"/>
        <w:numPr>
          <w:ilvl w:val="1"/>
          <w:numId w:val="10"/>
        </w:numPr>
      </w:pPr>
      <w:r>
        <w:t>PROGRESS STATUS AFTER</w:t>
      </w:r>
      <w:r w:rsidRPr="002E79F4">
        <w:t xml:space="preserve"> the accident</w:t>
      </w:r>
    </w:p>
    <w:p w14:paraId="6D0FAAFF" w14:textId="3F0BFC6E" w:rsidR="00841B79" w:rsidRDefault="00C93AD6" w:rsidP="006E3E3D">
      <w:pPr>
        <w:pStyle w:val="a1"/>
      </w:pPr>
      <w:r w:rsidRPr="00C93AD6">
        <w:t>About 6</w:t>
      </w:r>
      <w:r w:rsidR="00E56157">
        <w:t>,</w:t>
      </w:r>
      <w:r w:rsidRPr="00C93AD6">
        <w:t>000 fuel assemblies, that are stored in Unit</w:t>
      </w:r>
      <w:r w:rsidR="006D6E76">
        <w:t>s</w:t>
      </w:r>
      <w:r w:rsidRPr="00C93AD6">
        <w:t xml:space="preserve"> 1 to 6, are to be </w:t>
      </w:r>
      <w:r w:rsidR="006E3E3D">
        <w:t>remov</w:t>
      </w:r>
      <w:r w:rsidRPr="00C93AD6">
        <w:t>ed to the common pool and stored there.</w:t>
      </w:r>
      <w:r>
        <w:t xml:space="preserve"> </w:t>
      </w:r>
      <w:r w:rsidRPr="00C93AD6">
        <w:t>However, over 6</w:t>
      </w:r>
      <w:r w:rsidR="000D701E">
        <w:t>,</w:t>
      </w:r>
      <w:r w:rsidRPr="00C93AD6">
        <w:t xml:space="preserve">000 fuel assemblies had already been stored in the common pool prior to the </w:t>
      </w:r>
      <w:r w:rsidR="00E56157">
        <w:lastRenderedPageBreak/>
        <w:t>accident</w:t>
      </w:r>
      <w:r w:rsidRPr="00C93AD6">
        <w:t xml:space="preserve">. Therefore, </w:t>
      </w:r>
      <w:r w:rsidR="00E56157">
        <w:t>the Temporary Cask Custody A</w:t>
      </w:r>
      <w:r w:rsidRPr="00C93AD6">
        <w:t xml:space="preserve">rea was newly built to store fuel assemblies that were in the common pool in order to ensure </w:t>
      </w:r>
      <w:r w:rsidR="00E56157">
        <w:t>capacity</w:t>
      </w:r>
      <w:r w:rsidR="00CB24AC">
        <w:t xml:space="preserve"> (see Fig. 5)</w:t>
      </w:r>
      <w:r w:rsidRPr="00C93AD6">
        <w:t>.</w:t>
      </w:r>
      <w:r w:rsidR="005174B0">
        <w:t xml:space="preserve"> This facility monitors area radia</w:t>
      </w:r>
      <w:r w:rsidR="009022EC">
        <w:t>tion,</w:t>
      </w:r>
      <w:r w:rsidR="005174B0">
        <w:t xml:space="preserve"> </w:t>
      </w:r>
      <w:r w:rsidR="007E1284">
        <w:t>pressure</w:t>
      </w:r>
      <w:r w:rsidR="009022EC">
        <w:t xml:space="preserve"> </w:t>
      </w:r>
      <w:r w:rsidR="00072896">
        <w:t>between dry cask lid</w:t>
      </w:r>
      <w:r w:rsidR="009022EC">
        <w:t>s and</w:t>
      </w:r>
      <w:r w:rsidR="005174B0">
        <w:t xml:space="preserve"> temperature</w:t>
      </w:r>
      <w:r w:rsidR="009022EC">
        <w:t xml:space="preserve"> of </w:t>
      </w:r>
      <w:r w:rsidR="00072896">
        <w:t>dry cask</w:t>
      </w:r>
      <w:r w:rsidR="005174B0">
        <w:t>.</w:t>
      </w:r>
      <w:r w:rsidR="009022EC">
        <w:t xml:space="preserve"> </w:t>
      </w:r>
      <w:r w:rsidR="005174B0">
        <w:t xml:space="preserve">Current storable capacity of casks is 50 units and prospective expansion of this capacity is under consideration. </w:t>
      </w:r>
      <w:r w:rsidR="009022EC">
        <w:t>The issues of d</w:t>
      </w:r>
      <w:r w:rsidR="009022EC" w:rsidRPr="009022EC">
        <w:t xml:space="preserve">ry cask storage are that it needs to be secured in </w:t>
      </w:r>
      <w:proofErr w:type="spellStart"/>
      <w:r w:rsidR="009022EC" w:rsidRPr="009022EC">
        <w:t>a</w:t>
      </w:r>
      <w:proofErr w:type="spellEnd"/>
      <w:r w:rsidR="009022EC" w:rsidRPr="009022EC">
        <w:t xml:space="preserve"> area and to be satisfied with the criteria of radiation dose taking effect of the </w:t>
      </w:r>
      <w:proofErr w:type="spellStart"/>
      <w:r w:rsidR="009022EC" w:rsidRPr="009022EC">
        <w:t>skyshine</w:t>
      </w:r>
      <w:proofErr w:type="spellEnd"/>
      <w:r w:rsidR="00083992">
        <w:t xml:space="preserve"> include </w:t>
      </w:r>
      <w:r w:rsidR="009022EC">
        <w:t xml:space="preserve">stored </w:t>
      </w:r>
      <w:r w:rsidR="00083992">
        <w:t xml:space="preserve">the contaminated </w:t>
      </w:r>
      <w:r w:rsidR="009022EC">
        <w:t xml:space="preserve">water and </w:t>
      </w:r>
      <w:r w:rsidR="00083992">
        <w:t>the rubbles</w:t>
      </w:r>
      <w:r w:rsidR="009022EC" w:rsidRPr="009022EC">
        <w:t xml:space="preserve"> at site boundary into consideration.</w:t>
      </w:r>
    </w:p>
    <w:p w14:paraId="6E9F3E4E" w14:textId="45698F72" w:rsidR="00E17A9C" w:rsidRDefault="006E3E3D" w:rsidP="006E3E3D">
      <w:pPr>
        <w:pStyle w:val="a1"/>
      </w:pPr>
      <w:r>
        <w:rPr>
          <w:rFonts w:hint="eastAsia"/>
        </w:rPr>
        <w:t>Loading of spent fuel stored in the common pool to dry</w:t>
      </w:r>
      <w:r>
        <w:rPr>
          <w:rFonts w:hint="eastAsia"/>
          <w:lang w:eastAsia="ja-JP"/>
        </w:rPr>
        <w:t xml:space="preserve"> </w:t>
      </w:r>
      <w:r>
        <w:t>casks</w:t>
      </w:r>
      <w:r w:rsidR="00154EBC">
        <w:t xml:space="preserve"> commenced</w:t>
      </w:r>
      <w:r>
        <w:t xml:space="preserve"> since June, 2013. </w:t>
      </w:r>
      <w:r w:rsidR="00E56157">
        <w:t>Unit 4</w:t>
      </w:r>
      <w:r>
        <w:t xml:space="preserve"> fuel assemblies</w:t>
      </w:r>
      <w:r w:rsidRPr="006E3E3D">
        <w:t xml:space="preserve"> were removed to the common poo</w:t>
      </w:r>
      <w:r w:rsidR="00154EBC">
        <w:t>l starting on November 18, 2013</w:t>
      </w:r>
      <w:r w:rsidRPr="006E3E3D">
        <w:t xml:space="preserve"> and the </w:t>
      </w:r>
      <w:r w:rsidR="00154EBC">
        <w:t>removal</w:t>
      </w:r>
      <w:r w:rsidRPr="006E3E3D">
        <w:t xml:space="preserve"> work was completed on December 22, 2014</w:t>
      </w:r>
      <w:r w:rsidR="003E7778">
        <w:t>.</w:t>
      </w:r>
      <w:r w:rsidR="00083992">
        <w:t xml:space="preserve"> </w:t>
      </w:r>
      <w:r w:rsidR="00D10F35" w:rsidRPr="00D10F35">
        <w:t>Work continues toward fuel removal</w:t>
      </w:r>
      <w:r w:rsidR="00D10F35">
        <w:t xml:space="preserve"> from Unit</w:t>
      </w:r>
      <w:r w:rsidR="006D6E76">
        <w:t>s</w:t>
      </w:r>
      <w:r w:rsidR="00D10F35">
        <w:t xml:space="preserve"> 1 to 3.</w:t>
      </w:r>
    </w:p>
    <w:p w14:paraId="4644A240" w14:textId="77777777" w:rsidR="00154EBC" w:rsidRDefault="00154EBC" w:rsidP="00537496">
      <w:pPr>
        <w:pStyle w:val="a1"/>
        <w:rPr>
          <w:lang w:eastAsia="ja-JP"/>
        </w:rPr>
      </w:pPr>
    </w:p>
    <w:p w14:paraId="510E5C28" w14:textId="7FD5F3A9" w:rsidR="00154EBC" w:rsidRDefault="00154EBC" w:rsidP="00154EBC">
      <w:pPr>
        <w:pStyle w:val="a1"/>
        <w:jc w:val="center"/>
        <w:rPr>
          <w:lang w:eastAsia="ja-JP"/>
        </w:rPr>
      </w:pPr>
      <w:r>
        <w:rPr>
          <w:noProof/>
          <w:lang w:val="en-US" w:eastAsia="ja-JP"/>
        </w:rPr>
        <w:drawing>
          <wp:inline distT="0" distB="0" distL="0" distR="0" wp14:anchorId="4C1E824B" wp14:editId="12A9F707">
            <wp:extent cx="5028373" cy="15719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1723" cy="1585507"/>
                    </a:xfrm>
                    <a:prstGeom prst="rect">
                      <a:avLst/>
                    </a:prstGeom>
                    <a:noFill/>
                    <a:ln>
                      <a:noFill/>
                    </a:ln>
                  </pic:spPr>
                </pic:pic>
              </a:graphicData>
            </a:graphic>
          </wp:inline>
        </w:drawing>
      </w:r>
    </w:p>
    <w:p w14:paraId="2EF23E87" w14:textId="77777777" w:rsidR="00154EBC" w:rsidRPr="003113CF" w:rsidRDefault="00154EBC" w:rsidP="00154EBC">
      <w:pPr>
        <w:pStyle w:val="a1"/>
        <w:rPr>
          <w:lang w:eastAsia="ja-JP"/>
        </w:rPr>
      </w:pPr>
      <w:r>
        <w:rPr>
          <w:noProof/>
          <w:lang w:val="en-US" w:eastAsia="ja-JP"/>
        </w:rPr>
        <mc:AlternateContent>
          <mc:Choice Requires="wps">
            <w:drawing>
              <wp:anchor distT="0" distB="0" distL="114300" distR="114300" simplePos="0" relativeHeight="251670528" behindDoc="0" locked="0" layoutInCell="1" allowOverlap="1" wp14:anchorId="535F59A4" wp14:editId="0BFEBA7A">
                <wp:simplePos x="0" y="0"/>
                <wp:positionH relativeFrom="margin">
                  <wp:posOffset>933450</wp:posOffset>
                </wp:positionH>
                <wp:positionV relativeFrom="paragraph">
                  <wp:posOffset>170815</wp:posOffset>
                </wp:positionV>
                <wp:extent cx="3863340" cy="635"/>
                <wp:effectExtent l="0" t="0" r="3810" b="5080"/>
                <wp:wrapTopAndBottom/>
                <wp:docPr id="9"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212A9F0" w14:textId="56D5693A" w:rsidR="00154EBC" w:rsidRPr="00802381" w:rsidRDefault="00154EBC" w:rsidP="00154EBC">
                            <w:pPr>
                              <w:pStyle w:val="a7"/>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63348">
                              <w:rPr>
                                <w:i/>
                                <w:noProof/>
                              </w:rPr>
                              <w:t>5</w:t>
                            </w:r>
                            <w:r w:rsidRPr="00802381">
                              <w:rPr>
                                <w:i/>
                              </w:rPr>
                              <w:fldChar w:fldCharType="end"/>
                            </w:r>
                            <w:r>
                              <w:rPr>
                                <w:i/>
                              </w:rPr>
                              <w:t xml:space="preserve">. </w:t>
                            </w:r>
                            <w:r w:rsidRPr="00154EBC">
                              <w:rPr>
                                <w:i/>
                              </w:rPr>
                              <w:t>Temporary Cask Custody Area</w:t>
                            </w:r>
                            <w:r w:rsidR="00CB7105" w:rsidRPr="00A17E40">
                              <w:rPr>
                                <w:i/>
                              </w:rPr>
                              <w:t xml:space="preserve"> </w:t>
                            </w:r>
                            <w:r w:rsidR="00A17E40" w:rsidRPr="00A17E40">
                              <w:rPr>
                                <w:i/>
                              </w:rPr>
                              <w:t>(copyright: TEPCO, [4</w:t>
                            </w:r>
                            <w:r w:rsidR="00CB7105" w:rsidRPr="00A17E40">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5F59A4" id="_x0000_s1030" type="#_x0000_t202" style="position:absolute;left:0;text-align:left;margin-left:73.5pt;margin-top:13.45pt;width:304.2pt;height:.0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" stroked="f">
                <v:textbox style="mso-fit-shape-to-text:t" inset="0,0,0,0">
                  <w:txbxContent>
                    <w:p w14:paraId="7212A9F0" w14:textId="56D5693A" w:rsidR="00154EBC" w:rsidRPr="00802381" w:rsidRDefault="00154EBC" w:rsidP="00154EBC">
                      <w:pPr>
                        <w:pStyle w:val="a7"/>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63348">
                        <w:rPr>
                          <w:i/>
                          <w:noProof/>
                        </w:rPr>
                        <w:t>5</w:t>
                      </w:r>
                      <w:r w:rsidRPr="00802381">
                        <w:rPr>
                          <w:i/>
                        </w:rPr>
                        <w:fldChar w:fldCharType="end"/>
                      </w:r>
                      <w:r>
                        <w:rPr>
                          <w:i/>
                        </w:rPr>
                        <w:t xml:space="preserve">. </w:t>
                      </w:r>
                      <w:r w:rsidRPr="00154EBC">
                        <w:rPr>
                          <w:i/>
                        </w:rPr>
                        <w:t>Temporary Cask Custody Area</w:t>
                      </w:r>
                      <w:r w:rsidR="00CB7105" w:rsidRPr="00A17E40">
                        <w:rPr>
                          <w:i/>
                        </w:rPr>
                        <w:t xml:space="preserve"> </w:t>
                      </w:r>
                      <w:r w:rsidR="00A17E40" w:rsidRPr="00A17E40">
                        <w:rPr>
                          <w:i/>
                        </w:rPr>
                        <w:t>(copyright: TEPCO, [4</w:t>
                      </w:r>
                      <w:r w:rsidR="00CB7105" w:rsidRPr="00A17E40">
                        <w:rPr>
                          <w:i/>
                        </w:rPr>
                        <w:t>])</w:t>
                      </w:r>
                    </w:p>
                  </w:txbxContent>
                </v:textbox>
                <w10:wrap type="topAndBottom" anchorx="margin"/>
              </v:shape>
            </w:pict>
          </mc:Fallback>
        </mc:AlternateContent>
      </w:r>
    </w:p>
    <w:p w14:paraId="06226F40" w14:textId="77777777" w:rsidR="00154EBC" w:rsidRDefault="00154EBC" w:rsidP="00537496">
      <w:pPr>
        <w:pStyle w:val="a1"/>
        <w:rPr>
          <w:lang w:eastAsia="ja-JP"/>
        </w:rPr>
      </w:pPr>
    </w:p>
    <w:p w14:paraId="39D498DB" w14:textId="47D0CC55" w:rsidR="00E17A9C" w:rsidRDefault="00E17A9C" w:rsidP="00E17A9C">
      <w:pPr>
        <w:pStyle w:val="2"/>
        <w:numPr>
          <w:ilvl w:val="1"/>
          <w:numId w:val="10"/>
        </w:numPr>
      </w:pPr>
      <w:r>
        <w:t>CONCLUTIONS</w:t>
      </w:r>
    </w:p>
    <w:p w14:paraId="7FECFF31" w14:textId="33C99418" w:rsidR="00D10F35" w:rsidRDefault="007509AA" w:rsidP="00E17A9C">
      <w:pPr>
        <w:pStyle w:val="a1"/>
      </w:pPr>
      <w:r>
        <w:t xml:space="preserve">Although </w:t>
      </w:r>
      <w:r w:rsidR="00D10F35">
        <w:t>Unit</w:t>
      </w:r>
      <w:r w:rsidR="006D6E76">
        <w:t>s</w:t>
      </w:r>
      <w:r w:rsidR="00D10F35">
        <w:t xml:space="preserve"> 1 to 3</w:t>
      </w:r>
      <w:r w:rsidR="00D10F35" w:rsidRPr="00D10F35">
        <w:t xml:space="preserve"> S</w:t>
      </w:r>
      <w:r w:rsidR="00D10F35">
        <w:t>FP</w:t>
      </w:r>
      <w:r>
        <w:t xml:space="preserve"> were affected by tsunami and hydrogen explosion, the stored fuel assemblies were </w:t>
      </w:r>
      <w:r w:rsidR="00330CDA">
        <w:t>not found with fuel damage</w:t>
      </w:r>
      <w:r>
        <w:t>.</w:t>
      </w:r>
      <w:r w:rsidR="00D10F35">
        <w:t xml:space="preserve"> </w:t>
      </w:r>
      <w:r>
        <w:t>And</w:t>
      </w:r>
      <w:r w:rsidR="00D10F35">
        <w:t xml:space="preserve"> the </w:t>
      </w:r>
      <w:r w:rsidR="00A606A1">
        <w:t xml:space="preserve">dry </w:t>
      </w:r>
      <w:r w:rsidR="00D10F35">
        <w:t>casks were submerged by t</w:t>
      </w:r>
      <w:r w:rsidR="00D10F35" w:rsidRPr="00D10F35">
        <w:t>sunami, as the result of inspections, no abnormality was found with safety functions and spent fuel integrity.</w:t>
      </w:r>
    </w:p>
    <w:p w14:paraId="2BF8D191" w14:textId="087CAB6A" w:rsidR="00E17A9C" w:rsidRDefault="00D10F35" w:rsidP="00E17A9C">
      <w:pPr>
        <w:pStyle w:val="a1"/>
      </w:pPr>
      <w:r w:rsidRPr="00D10F35">
        <w:t>Fuel removal from Unit 4 SFP was completed in December 2014. TEPCO will proceed with fuel removal from Unit</w:t>
      </w:r>
      <w:r w:rsidR="006D6E76">
        <w:t>s</w:t>
      </w:r>
      <w:r w:rsidRPr="00D10F35">
        <w:t xml:space="preserve"> 1 to 3 SFP using common pool and dry casks and with decommissioning work steadily in a stable manner.</w:t>
      </w:r>
    </w:p>
    <w:p w14:paraId="5B71DA67" w14:textId="77777777" w:rsidR="00E17A9C" w:rsidRDefault="00E17A9C" w:rsidP="00537496">
      <w:pPr>
        <w:pStyle w:val="a1"/>
      </w:pPr>
    </w:p>
    <w:p w14:paraId="186872E0" w14:textId="77777777" w:rsidR="00D26ADA" w:rsidRPr="00285755" w:rsidRDefault="00D26ADA" w:rsidP="00537496">
      <w:pPr>
        <w:pStyle w:val="Otherunnumberedheadings"/>
      </w:pPr>
      <w:r>
        <w:t>References</w:t>
      </w:r>
    </w:p>
    <w:p w14:paraId="358556A6" w14:textId="20E4117B" w:rsidR="00B451FD" w:rsidRDefault="00B451FD" w:rsidP="00B451FD">
      <w:pPr>
        <w:pStyle w:val="Referencelist"/>
      </w:pPr>
      <w:r w:rsidRPr="00B451FD">
        <w:t>Tokyo Electric Power Company Holdings, Inc.</w:t>
      </w:r>
      <w:r>
        <w:t xml:space="preserve">, </w:t>
      </w:r>
      <w:r w:rsidRPr="00B451FD">
        <w:t>Fukushima Daiichi Decommissioning Project</w:t>
      </w:r>
      <w:r>
        <w:t xml:space="preserve"> (2019),</w:t>
      </w:r>
    </w:p>
    <w:p w14:paraId="5759F54C" w14:textId="28C09BDB" w:rsidR="00B451FD" w:rsidRDefault="00C63C33" w:rsidP="00B451FD">
      <w:pPr>
        <w:pStyle w:val="Referencelist"/>
        <w:numPr>
          <w:ilvl w:val="0"/>
          <w:numId w:val="0"/>
        </w:numPr>
        <w:ind w:left="720"/>
      </w:pPr>
      <w:hyperlink r:id="rId13" w:history="1">
        <w:r w:rsidR="00B451FD" w:rsidRPr="004949CA">
          <w:rPr>
            <w:rStyle w:val="af1"/>
          </w:rPr>
          <w:t>https://www7.tepco.co.jp/responsibility/decommissioning/index-e.html</w:t>
        </w:r>
      </w:hyperlink>
    </w:p>
    <w:p w14:paraId="364B061D" w14:textId="388856E9" w:rsidR="00B451FD" w:rsidRDefault="00B451FD" w:rsidP="00B451FD">
      <w:pPr>
        <w:pStyle w:val="Referencelist"/>
      </w:pPr>
      <w:r w:rsidRPr="00B451FD">
        <w:t>Tokyo Electric Power Company Holdings, Inc.</w:t>
      </w:r>
      <w:r>
        <w:t>, Storage States of Spent Fuel and Fresh Fuel at Fukushima Daiichi NPS (</w:t>
      </w:r>
      <w:r w:rsidR="00DF1BE1">
        <w:t xml:space="preserve">Written in </w:t>
      </w:r>
      <w:r>
        <w:t>Japanese) (2019),</w:t>
      </w:r>
    </w:p>
    <w:p w14:paraId="5E0284BE" w14:textId="1BB986EA" w:rsidR="00B451FD" w:rsidRDefault="00C63C33" w:rsidP="00B451FD">
      <w:pPr>
        <w:pStyle w:val="Referencelist"/>
        <w:numPr>
          <w:ilvl w:val="0"/>
          <w:numId w:val="0"/>
        </w:numPr>
        <w:ind w:left="720"/>
      </w:pPr>
      <w:hyperlink r:id="rId14" w:history="1">
        <w:r w:rsidR="00B451FD" w:rsidRPr="004949CA">
          <w:rPr>
            <w:rStyle w:val="af1"/>
          </w:rPr>
          <w:t>http://www.meti.go.jp/earthquake/nuclear/decommissioning/committee/osensuitaisakuteam/2019/3-2-8.pdf</w:t>
        </w:r>
      </w:hyperlink>
    </w:p>
    <w:p w14:paraId="2BB23D99" w14:textId="01FAB24F" w:rsidR="00A17E40" w:rsidRDefault="00A17E40" w:rsidP="00A17E40">
      <w:pPr>
        <w:pStyle w:val="Referencelist"/>
      </w:pPr>
      <w:r w:rsidRPr="00B451FD">
        <w:t>Tokyo Electric Power Company</w:t>
      </w:r>
      <w:r>
        <w:t xml:space="preserve">, </w:t>
      </w:r>
      <w:r w:rsidR="00895E08">
        <w:t>Inspection for the Dry Storage Cask</w:t>
      </w:r>
      <w:r>
        <w:t xml:space="preserve"> at Fukushima Daiichi NPS (Written in Japanese) (2013),</w:t>
      </w:r>
    </w:p>
    <w:p w14:paraId="6FF1F404" w14:textId="1D80AE20" w:rsidR="00A17E40" w:rsidRDefault="00C63C33" w:rsidP="00A17E40">
      <w:pPr>
        <w:pStyle w:val="Referencelist"/>
        <w:numPr>
          <w:ilvl w:val="0"/>
          <w:numId w:val="0"/>
        </w:numPr>
        <w:ind w:left="720"/>
      </w:pPr>
      <w:hyperlink r:id="rId15" w:history="1">
        <w:r w:rsidR="00895E08" w:rsidRPr="004949CA">
          <w:rPr>
            <w:rStyle w:val="af1"/>
          </w:rPr>
          <w:t>http://www.tepco.co.jp/nu/fukushima-np/roadmap/images/t130131_01-j.pdf</w:t>
        </w:r>
      </w:hyperlink>
    </w:p>
    <w:p w14:paraId="08CEE009" w14:textId="62F452ED" w:rsidR="00911543" w:rsidRDefault="00A434DB" w:rsidP="00A434DB">
      <w:pPr>
        <w:pStyle w:val="Referencelist"/>
      </w:pPr>
      <w:r w:rsidRPr="00A434DB">
        <w:t>Tokyo Electric Power Company</w:t>
      </w:r>
      <w:r w:rsidR="00911543">
        <w:t xml:space="preserve">, </w:t>
      </w:r>
      <w:r>
        <w:t>Report of Inspection Results of the First Dry Storage Cask at Fukushima Daiichi Nuclear Power Station</w:t>
      </w:r>
      <w:r w:rsidR="00911543">
        <w:t xml:space="preserve"> (</w:t>
      </w:r>
      <w:r>
        <w:t>2013</w:t>
      </w:r>
      <w:r w:rsidR="00911543">
        <w:t>),</w:t>
      </w:r>
    </w:p>
    <w:p w14:paraId="037578AA" w14:textId="169127D0" w:rsidR="00911543" w:rsidRDefault="00C63C33" w:rsidP="00537496">
      <w:pPr>
        <w:pStyle w:val="Referencelist"/>
        <w:numPr>
          <w:ilvl w:val="0"/>
          <w:numId w:val="0"/>
        </w:numPr>
        <w:ind w:left="720"/>
      </w:pPr>
      <w:hyperlink r:id="rId16" w:history="1">
        <w:r w:rsidR="00B451FD" w:rsidRPr="004949CA">
          <w:rPr>
            <w:rStyle w:val="af1"/>
          </w:rPr>
          <w:t>http://www.tepco.co.jp/en/nu/fukushima-np/handouts/2013/images/handouts_130327_04-e.pdf</w:t>
        </w:r>
      </w:hyperlink>
    </w:p>
    <w:p w14:paraId="048A5FD0" w14:textId="77777777" w:rsidR="00F45EEE" w:rsidRDefault="00F45EEE" w:rsidP="00537496">
      <w:pPr>
        <w:pStyle w:val="a1"/>
        <w:ind w:firstLine="0"/>
        <w:jc w:val="left"/>
      </w:pPr>
    </w:p>
    <w:sectPr w:rsidR="00F45EEE"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7B156" w14:textId="77777777" w:rsidR="00111091" w:rsidRDefault="00111091">
      <w:r>
        <w:separator/>
      </w:r>
    </w:p>
  </w:endnote>
  <w:endnote w:type="continuationSeparator" w:id="0">
    <w:p w14:paraId="206AA5B8" w14:textId="77777777" w:rsidR="00111091" w:rsidRDefault="0011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56B0C" w14:textId="2BAD5210" w:rsidR="00E20E70" w:rsidRDefault="00E20E70">
    <w:pPr>
      <w:pStyle w:val="zyxClassification1"/>
    </w:pPr>
    <w:r>
      <w:fldChar w:fldCharType="begin"/>
    </w:r>
    <w:r>
      <w:instrText xml:space="preserve"> DOCPROPERTY "IaeaClassification"  \* MERGEFORMAT </w:instrText>
    </w:r>
    <w:r>
      <w:fldChar w:fldCharType="end"/>
    </w:r>
  </w:p>
  <w:p w14:paraId="291899CE" w14:textId="567D0A59"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4898" w14:textId="7DFBC9D5" w:rsidR="00E20E70" w:rsidRDefault="00E20E70">
    <w:pPr>
      <w:pStyle w:val="zyxClassification1"/>
    </w:pPr>
    <w:r>
      <w:fldChar w:fldCharType="begin"/>
    </w:r>
    <w:r>
      <w:instrText xml:space="preserve"> DOCPROPERTY "IaeaClassification"  \* MERGEFORMAT </w:instrText>
    </w:r>
    <w:r>
      <w:fldChar w:fldCharType="end"/>
    </w:r>
  </w:p>
  <w:p w14:paraId="6047A923" w14:textId="66EB7E39"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C63C33">
      <w:rPr>
        <w:rFonts w:ascii="Times New Roman" w:hAnsi="Times New Roman" w:cs="Times New Roman"/>
        <w:noProof/>
        <w:sz w:val="20"/>
      </w:rPr>
      <w:t>5</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5ADC0CF1" w14:textId="77777777">
      <w:trPr>
        <w:cantSplit/>
      </w:trPr>
      <w:tc>
        <w:tcPr>
          <w:tcW w:w="4644" w:type="dxa"/>
        </w:tcPr>
        <w:p w14:paraId="4E1FAC46" w14:textId="06E542D5"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3020D691" w14:textId="026CA86D"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76D44A0B" w14:textId="3AF95B33"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929923D" w14:textId="4A17D68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6E97123" w14:textId="4F2D9648" w:rsidR="00E20E70" w:rsidRDefault="00E20E70">
    <w:r>
      <w:rPr>
        <w:sz w:val="16"/>
      </w:rPr>
      <w:fldChar w:fldCharType="begin"/>
    </w:r>
    <w:r>
      <w:rPr>
        <w:sz w:val="16"/>
      </w:rPr>
      <w:instrText xml:space="preserve"> FILENAME \* MERGEFORMAT </w:instrText>
    </w:r>
    <w:r>
      <w:rPr>
        <w:sz w:val="16"/>
      </w:rPr>
      <w:fldChar w:fldCharType="separate"/>
    </w:r>
    <w:r w:rsidR="00263348">
      <w:rPr>
        <w:noProof/>
        <w:sz w:val="16"/>
      </w:rPr>
      <w:t>Track 2 Lessons_learned_from_1Fr1.docx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ABE2E" w14:textId="77777777" w:rsidR="00111091" w:rsidRDefault="00111091">
      <w:r>
        <w:t>___________________________________________________________________________</w:t>
      </w:r>
    </w:p>
  </w:footnote>
  <w:footnote w:type="continuationSeparator" w:id="0">
    <w:p w14:paraId="4C8DFA59" w14:textId="77777777" w:rsidR="00111091" w:rsidRDefault="00111091">
      <w:r>
        <w:t>___________________________________________________________________________</w:t>
      </w:r>
    </w:p>
  </w:footnote>
  <w:footnote w:type="continuationNotice" w:id="1">
    <w:p w14:paraId="4D069E06" w14:textId="77777777" w:rsidR="00111091" w:rsidRDefault="00111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45084" w14:textId="366C6450" w:rsidR="00A606A1" w:rsidRDefault="00A606A1" w:rsidP="00A606A1">
    <w:pPr>
      <w:pStyle w:val="Runninghead"/>
    </w:pPr>
    <w:r>
      <w:tab/>
      <w:t>IAEA-CN-272/</w:t>
    </w:r>
    <w:r w:rsidR="00B611AC">
      <w:t>182</w:t>
    </w:r>
  </w:p>
  <w:p w14:paraId="459CA157" w14:textId="33D345AA" w:rsidR="00E20E70" w:rsidRPr="00A606A1" w:rsidRDefault="00E20E70" w:rsidP="00A606A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969D6" w14:textId="46521E49" w:rsidR="0008799A" w:rsidRPr="00A606A1" w:rsidRDefault="00A606A1" w:rsidP="00A606A1">
    <w:pPr>
      <w:pStyle w:val="Runninghead"/>
    </w:pPr>
    <w:r>
      <w:t>KAMINISHI and TOKUMORI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7E7518E8" w14:textId="77777777">
      <w:trPr>
        <w:cantSplit/>
        <w:trHeight w:val="716"/>
      </w:trPr>
      <w:tc>
        <w:tcPr>
          <w:tcW w:w="979" w:type="dxa"/>
          <w:vMerge w:val="restart"/>
        </w:tcPr>
        <w:p w14:paraId="39A6473B" w14:textId="77777777" w:rsidR="00E20E70" w:rsidRDefault="00E20E70">
          <w:pPr>
            <w:spacing w:before="180"/>
            <w:ind w:left="17"/>
          </w:pPr>
        </w:p>
      </w:tc>
      <w:tc>
        <w:tcPr>
          <w:tcW w:w="3638" w:type="dxa"/>
          <w:vAlign w:val="bottom"/>
        </w:tcPr>
        <w:p w14:paraId="3B076A84" w14:textId="77777777" w:rsidR="00E20E70" w:rsidRDefault="00E20E70">
          <w:pPr>
            <w:spacing w:after="20"/>
          </w:pPr>
        </w:p>
      </w:tc>
      <w:bookmarkStart w:id="1" w:name="DOC_bkmClassification1"/>
      <w:tc>
        <w:tcPr>
          <w:tcW w:w="5702" w:type="dxa"/>
          <w:vMerge w:val="restart"/>
          <w:tcMar>
            <w:right w:w="193" w:type="dxa"/>
          </w:tcMar>
        </w:tcPr>
        <w:p w14:paraId="268E19C1" w14:textId="4F9C0123"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347EC5C0" w14:textId="4C0739CE" w:rsidR="00E20E70" w:rsidRDefault="00E20E70">
          <w:pPr>
            <w:pStyle w:val="zyxConfid2Red"/>
          </w:pPr>
          <w:r>
            <w:fldChar w:fldCharType="begin"/>
          </w:r>
          <w:r>
            <w:instrText>DOCPROPERTY "IaeaClassification2"  \* MERGEFORMAT</w:instrText>
          </w:r>
          <w:r>
            <w:fldChar w:fldCharType="end"/>
          </w:r>
        </w:p>
      </w:tc>
    </w:tr>
    <w:tr w:rsidR="00E20E70" w14:paraId="38F39606" w14:textId="77777777">
      <w:trPr>
        <w:cantSplit/>
        <w:trHeight w:val="167"/>
      </w:trPr>
      <w:tc>
        <w:tcPr>
          <w:tcW w:w="979" w:type="dxa"/>
          <w:vMerge/>
        </w:tcPr>
        <w:p w14:paraId="6D498B64" w14:textId="77777777" w:rsidR="00E20E70" w:rsidRDefault="00E20E70">
          <w:pPr>
            <w:spacing w:before="57"/>
          </w:pPr>
        </w:p>
      </w:tc>
      <w:tc>
        <w:tcPr>
          <w:tcW w:w="3638" w:type="dxa"/>
          <w:vAlign w:val="bottom"/>
        </w:tcPr>
        <w:p w14:paraId="39757922" w14:textId="77777777" w:rsidR="00E20E70" w:rsidRDefault="00E20E70">
          <w:pPr>
            <w:pStyle w:val="9"/>
            <w:spacing w:before="0" w:after="10"/>
          </w:pPr>
        </w:p>
      </w:tc>
      <w:tc>
        <w:tcPr>
          <w:tcW w:w="5702" w:type="dxa"/>
          <w:vMerge/>
          <w:vAlign w:val="bottom"/>
        </w:tcPr>
        <w:p w14:paraId="6AB4E64A" w14:textId="77777777" w:rsidR="00E20E70" w:rsidRDefault="00E20E70">
          <w:pPr>
            <w:pStyle w:val="9"/>
            <w:spacing w:before="0" w:after="10"/>
          </w:pPr>
        </w:p>
      </w:tc>
    </w:tr>
  </w:tbl>
  <w:p w14:paraId="73CF48A8"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8433">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4417D"/>
    <w:rsid w:val="00044E05"/>
    <w:rsid w:val="00072896"/>
    <w:rsid w:val="00083992"/>
    <w:rsid w:val="0008799A"/>
    <w:rsid w:val="00093ED3"/>
    <w:rsid w:val="000A0299"/>
    <w:rsid w:val="000B1888"/>
    <w:rsid w:val="000D701E"/>
    <w:rsid w:val="000E0FDD"/>
    <w:rsid w:val="000F7E94"/>
    <w:rsid w:val="0010454D"/>
    <w:rsid w:val="00111091"/>
    <w:rsid w:val="001119D6"/>
    <w:rsid w:val="00120560"/>
    <w:rsid w:val="001308F2"/>
    <w:rsid w:val="001313E8"/>
    <w:rsid w:val="001361B2"/>
    <w:rsid w:val="0014488C"/>
    <w:rsid w:val="00154EBC"/>
    <w:rsid w:val="00176726"/>
    <w:rsid w:val="001871AD"/>
    <w:rsid w:val="001C4325"/>
    <w:rsid w:val="001C58F5"/>
    <w:rsid w:val="001D56F9"/>
    <w:rsid w:val="001D5CEE"/>
    <w:rsid w:val="001F277F"/>
    <w:rsid w:val="002071D9"/>
    <w:rsid w:val="00214911"/>
    <w:rsid w:val="00216427"/>
    <w:rsid w:val="00256822"/>
    <w:rsid w:val="00263348"/>
    <w:rsid w:val="0026525A"/>
    <w:rsid w:val="002729B1"/>
    <w:rsid w:val="00274790"/>
    <w:rsid w:val="00285755"/>
    <w:rsid w:val="002A1F9C"/>
    <w:rsid w:val="002B29C2"/>
    <w:rsid w:val="002C3B18"/>
    <w:rsid w:val="002C4208"/>
    <w:rsid w:val="002E79F4"/>
    <w:rsid w:val="003113CF"/>
    <w:rsid w:val="00324624"/>
    <w:rsid w:val="00330CDA"/>
    <w:rsid w:val="00351DA3"/>
    <w:rsid w:val="00352DE1"/>
    <w:rsid w:val="003667D2"/>
    <w:rsid w:val="003728E6"/>
    <w:rsid w:val="003B5E0E"/>
    <w:rsid w:val="003D255A"/>
    <w:rsid w:val="003E7778"/>
    <w:rsid w:val="00416949"/>
    <w:rsid w:val="004370D8"/>
    <w:rsid w:val="00457F72"/>
    <w:rsid w:val="00472C43"/>
    <w:rsid w:val="00490CE3"/>
    <w:rsid w:val="005174B0"/>
    <w:rsid w:val="005335D0"/>
    <w:rsid w:val="00537496"/>
    <w:rsid w:val="00540A4B"/>
    <w:rsid w:val="00544ED3"/>
    <w:rsid w:val="00550440"/>
    <w:rsid w:val="0058477B"/>
    <w:rsid w:val="0058654F"/>
    <w:rsid w:val="005903F3"/>
    <w:rsid w:val="00596ACA"/>
    <w:rsid w:val="005E39BC"/>
    <w:rsid w:val="005F00A0"/>
    <w:rsid w:val="00621E7D"/>
    <w:rsid w:val="00647F33"/>
    <w:rsid w:val="00656155"/>
    <w:rsid w:val="00662532"/>
    <w:rsid w:val="0069397A"/>
    <w:rsid w:val="00696F19"/>
    <w:rsid w:val="006A20BD"/>
    <w:rsid w:val="006B2274"/>
    <w:rsid w:val="006D6E76"/>
    <w:rsid w:val="006E3E3D"/>
    <w:rsid w:val="00717C6F"/>
    <w:rsid w:val="007445DA"/>
    <w:rsid w:val="007509AA"/>
    <w:rsid w:val="007B4FD1"/>
    <w:rsid w:val="007E1284"/>
    <w:rsid w:val="007E2B31"/>
    <w:rsid w:val="007F0D41"/>
    <w:rsid w:val="007F63B7"/>
    <w:rsid w:val="00802381"/>
    <w:rsid w:val="00827BD9"/>
    <w:rsid w:val="00840374"/>
    <w:rsid w:val="00841B79"/>
    <w:rsid w:val="00871B97"/>
    <w:rsid w:val="00883848"/>
    <w:rsid w:val="00884E0D"/>
    <w:rsid w:val="00895AAE"/>
    <w:rsid w:val="00895E08"/>
    <w:rsid w:val="00897ED5"/>
    <w:rsid w:val="008B6BB9"/>
    <w:rsid w:val="008E1AD8"/>
    <w:rsid w:val="009022EC"/>
    <w:rsid w:val="00903386"/>
    <w:rsid w:val="00911543"/>
    <w:rsid w:val="009519C9"/>
    <w:rsid w:val="00972058"/>
    <w:rsid w:val="00990D9B"/>
    <w:rsid w:val="009A5244"/>
    <w:rsid w:val="009A7A36"/>
    <w:rsid w:val="009C4ED3"/>
    <w:rsid w:val="009D0B86"/>
    <w:rsid w:val="009E0D5B"/>
    <w:rsid w:val="009E1558"/>
    <w:rsid w:val="00A16535"/>
    <w:rsid w:val="00A17E40"/>
    <w:rsid w:val="00A42898"/>
    <w:rsid w:val="00A434DB"/>
    <w:rsid w:val="00A5290D"/>
    <w:rsid w:val="00A55742"/>
    <w:rsid w:val="00A606A1"/>
    <w:rsid w:val="00A962B3"/>
    <w:rsid w:val="00AA486C"/>
    <w:rsid w:val="00AB6ACE"/>
    <w:rsid w:val="00AC50DE"/>
    <w:rsid w:val="00AC5A3A"/>
    <w:rsid w:val="00B04AC8"/>
    <w:rsid w:val="00B451FD"/>
    <w:rsid w:val="00B611AC"/>
    <w:rsid w:val="00B62615"/>
    <w:rsid w:val="00B80CF6"/>
    <w:rsid w:val="00B82FA5"/>
    <w:rsid w:val="00B926DF"/>
    <w:rsid w:val="00B9380A"/>
    <w:rsid w:val="00BD1400"/>
    <w:rsid w:val="00BD605C"/>
    <w:rsid w:val="00BE2A76"/>
    <w:rsid w:val="00C51A3C"/>
    <w:rsid w:val="00C560A5"/>
    <w:rsid w:val="00C63C33"/>
    <w:rsid w:val="00C65E60"/>
    <w:rsid w:val="00C93AD6"/>
    <w:rsid w:val="00C97F27"/>
    <w:rsid w:val="00CB24AC"/>
    <w:rsid w:val="00CB7105"/>
    <w:rsid w:val="00CD1C3C"/>
    <w:rsid w:val="00CE5A52"/>
    <w:rsid w:val="00CF5063"/>
    <w:rsid w:val="00CF7AF3"/>
    <w:rsid w:val="00D10F35"/>
    <w:rsid w:val="00D120B0"/>
    <w:rsid w:val="00D17F17"/>
    <w:rsid w:val="00D23774"/>
    <w:rsid w:val="00D26ADA"/>
    <w:rsid w:val="00D35A78"/>
    <w:rsid w:val="00D555A1"/>
    <w:rsid w:val="00D64DC2"/>
    <w:rsid w:val="00D7424F"/>
    <w:rsid w:val="00DA46CA"/>
    <w:rsid w:val="00DE153B"/>
    <w:rsid w:val="00DF1BE1"/>
    <w:rsid w:val="00DF21EB"/>
    <w:rsid w:val="00E17A9C"/>
    <w:rsid w:val="00E20E70"/>
    <w:rsid w:val="00E20E87"/>
    <w:rsid w:val="00E2151A"/>
    <w:rsid w:val="00E25B68"/>
    <w:rsid w:val="00E3130E"/>
    <w:rsid w:val="00E46230"/>
    <w:rsid w:val="00E56157"/>
    <w:rsid w:val="00E57EDB"/>
    <w:rsid w:val="00E84003"/>
    <w:rsid w:val="00E91429"/>
    <w:rsid w:val="00EC10FC"/>
    <w:rsid w:val="00EE0041"/>
    <w:rsid w:val="00EE29B9"/>
    <w:rsid w:val="00F004EE"/>
    <w:rsid w:val="00F30F82"/>
    <w:rsid w:val="00F337CF"/>
    <w:rsid w:val="00F42E23"/>
    <w:rsid w:val="00F45EEE"/>
    <w:rsid w:val="00F46439"/>
    <w:rsid w:val="00F51E9C"/>
    <w:rsid w:val="00F523CA"/>
    <w:rsid w:val="00F65CBE"/>
    <w:rsid w:val="00F74A9D"/>
    <w:rsid w:val="00F857E2"/>
    <w:rsid w:val="00FC422F"/>
    <w:rsid w:val="00FE5663"/>
    <w:rsid w:val="00FF38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3F8B517"/>
  <w15:docId w15:val="{EA656EA6-B487-4F18-8312-CE8BA756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フッター (文字)"/>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本文 (文字)"/>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吹き出し (文字)"/>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styleId="af1">
    <w:name w:val="Hyperlink"/>
    <w:basedOn w:val="a2"/>
    <w:uiPriority w:val="49"/>
    <w:unhideWhenUsed/>
    <w:locked/>
    <w:rsid w:val="00B45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7.tepco.co.jp/responsibility/decommissioning/index-e.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pco.co.jp/en/nu/fukushima-np/handouts/2013/images/handouts_130327_04-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pco.co.jp/nu/fukushima-np/roadmap/images/t130131_01-j.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ti.go.jp/earthquake/nuclear/decommissioning/committee/osensuitaisakuteam/2019/3-2-8.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DC1BA99D-E2C5-413D-8E76-2FAB18A2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196</TotalTime>
  <Pages>5</Pages>
  <Words>1505</Words>
  <Characters>8163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上西(953-18043)</cp:lastModifiedBy>
  <cp:revision>23</cp:revision>
  <cp:lastPrinted>2019-02-23T23:59:00Z</cp:lastPrinted>
  <dcterms:created xsi:type="dcterms:W3CDTF">2019-02-23T21:42:00Z</dcterms:created>
  <dcterms:modified xsi:type="dcterms:W3CDTF">2019-02-24T01:29:00Z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