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6D02" w14:textId="77777777" w:rsidR="007E3E76" w:rsidRDefault="00943645" w:rsidP="00943645">
      <w:pPr>
        <w:jc w:val="left"/>
        <w:rPr>
          <w:rFonts w:ascii="Times New Roman" w:hAnsi="Times New Roman"/>
          <w:b/>
        </w:rPr>
      </w:pPr>
      <w:r>
        <w:rPr>
          <w:rFonts w:ascii="Times New Roman" w:hAnsi="Times New Roman"/>
          <w:b/>
        </w:rPr>
        <w:t xml:space="preserve">EVOLUTION OF AN EXECUTION STRATEGY ANALYSIS </w:t>
      </w:r>
    </w:p>
    <w:p w14:paraId="1566DE10" w14:textId="77777777" w:rsidR="007E3E76" w:rsidRDefault="00943645" w:rsidP="00943645">
      <w:pPr>
        <w:jc w:val="left"/>
        <w:rPr>
          <w:rFonts w:ascii="Times New Roman" w:hAnsi="Times New Roman"/>
          <w:b/>
        </w:rPr>
      </w:pPr>
      <w:r>
        <w:rPr>
          <w:rFonts w:ascii="Times New Roman" w:hAnsi="Times New Roman"/>
          <w:b/>
        </w:rPr>
        <w:t xml:space="preserve">CAPABILITY AND TOOL FOR THE DISPOSITION OF </w:t>
      </w:r>
    </w:p>
    <w:p w14:paraId="2661DAB7" w14:textId="77777777" w:rsidR="00A07AAD" w:rsidRPr="00D34D6C" w:rsidRDefault="00E737C5" w:rsidP="00943645">
      <w:pPr>
        <w:jc w:val="left"/>
        <w:rPr>
          <w:rFonts w:ascii="Times New Roman" w:hAnsi="Times New Roman"/>
          <w:b/>
        </w:rPr>
      </w:pPr>
      <w:r>
        <w:rPr>
          <w:rFonts w:ascii="Times New Roman" w:hAnsi="Times New Roman"/>
          <w:b/>
        </w:rPr>
        <w:t xml:space="preserve">SPENT NUCLEAR FUEL </w:t>
      </w:r>
      <w:r w:rsidR="00943645">
        <w:rPr>
          <w:rFonts w:ascii="Times New Roman" w:hAnsi="Times New Roman"/>
          <w:b/>
        </w:rPr>
        <w:t xml:space="preserve">AND HIGH LEVEL WASTE </w:t>
      </w:r>
    </w:p>
    <w:p w14:paraId="13105C39" w14:textId="77777777" w:rsidR="00A8604F" w:rsidRPr="006F7986" w:rsidRDefault="00A8604F" w:rsidP="00B31E23">
      <w:pPr>
        <w:jc w:val="center"/>
        <w:rPr>
          <w:rFonts w:ascii="Times New Roman" w:hAnsi="Times New Roman"/>
        </w:rPr>
      </w:pPr>
    </w:p>
    <w:p w14:paraId="75AEC3F5" w14:textId="6E07BFFB" w:rsidR="00943645" w:rsidRDefault="00265667" w:rsidP="008F79DC">
      <w:pPr>
        <w:pStyle w:val="Authornameandaffiliation"/>
      </w:pPr>
      <w:r w:rsidRPr="0083703F">
        <w:t>R.</w:t>
      </w:r>
      <w:r w:rsidR="00943645">
        <w:t>H.</w:t>
      </w:r>
      <w:r w:rsidRPr="0083703F">
        <w:t xml:space="preserve"> </w:t>
      </w:r>
      <w:r w:rsidR="008F79DC">
        <w:t>STOLL</w:t>
      </w:r>
    </w:p>
    <w:p w14:paraId="4CA07242" w14:textId="77777777" w:rsidR="00943645" w:rsidRDefault="00943645" w:rsidP="00B05D23">
      <w:pPr>
        <w:pStyle w:val="Authornameandaffiliation"/>
      </w:pPr>
      <w:proofErr w:type="spellStart"/>
      <w:r>
        <w:t>Predicus</w:t>
      </w:r>
      <w:proofErr w:type="spellEnd"/>
      <w:r>
        <w:t xml:space="preserve"> LLC</w:t>
      </w:r>
    </w:p>
    <w:p w14:paraId="424C2950" w14:textId="77777777" w:rsidR="00943645" w:rsidRDefault="00943645" w:rsidP="0062455E">
      <w:pPr>
        <w:pStyle w:val="Authornameandaffiliation"/>
      </w:pPr>
      <w:r>
        <w:t>Issaquah, WA, USA</w:t>
      </w:r>
    </w:p>
    <w:p w14:paraId="7ED9CC02" w14:textId="77777777" w:rsidR="00943645" w:rsidRDefault="00943645" w:rsidP="0062455E">
      <w:pPr>
        <w:pStyle w:val="Authornameandaffiliation"/>
      </w:pPr>
      <w:r>
        <w:t>Email: rstoll@predicusconsulting.com</w:t>
      </w:r>
      <w:r w:rsidR="00265667" w:rsidRPr="0083703F">
        <w:t xml:space="preserve"> </w:t>
      </w:r>
    </w:p>
    <w:p w14:paraId="047462CA" w14:textId="77777777" w:rsidR="00943645" w:rsidRDefault="00943645" w:rsidP="00B05D23">
      <w:pPr>
        <w:spacing w:after="0"/>
        <w:rPr>
          <w:rFonts w:ascii="Times New Roman" w:hAnsi="Times New Roman"/>
        </w:rPr>
      </w:pPr>
    </w:p>
    <w:p w14:paraId="7FFE8ECF" w14:textId="3DFC3759" w:rsidR="00A8604F" w:rsidRPr="00B05D23" w:rsidRDefault="00725A8E" w:rsidP="00B05D23">
      <w:pPr>
        <w:pStyle w:val="Authornameandaffiliation"/>
      </w:pPr>
      <w:r w:rsidRPr="00265667">
        <w:t>N.</w:t>
      </w:r>
      <w:r w:rsidR="007D5ACA">
        <w:t>V.</w:t>
      </w:r>
      <w:r w:rsidRPr="00265667">
        <w:t xml:space="preserve"> </w:t>
      </w:r>
      <w:r w:rsidR="008F79DC">
        <w:t>SARAEVA</w:t>
      </w:r>
      <w:r w:rsidR="008F79DC" w:rsidRPr="00B05D23">
        <w:t xml:space="preserve"> </w:t>
      </w:r>
      <w:r w:rsidR="007E3E76" w:rsidRPr="008F79DC">
        <w:rPr>
          <w:vertAlign w:val="superscript"/>
        </w:rPr>
        <w:t>1</w:t>
      </w:r>
      <w:r w:rsidR="00FB3A18">
        <w:t xml:space="preserve">, </w:t>
      </w:r>
      <w:r w:rsidR="00A37682">
        <w:t>S.</w:t>
      </w:r>
      <w:r w:rsidR="007D5ACA">
        <w:t>J.</w:t>
      </w:r>
      <w:r w:rsidR="00A37682">
        <w:t xml:space="preserve"> </w:t>
      </w:r>
      <w:r w:rsidR="008F79DC">
        <w:t>MAHERAS</w:t>
      </w:r>
      <w:r w:rsidR="008F79DC" w:rsidRPr="00B05D23">
        <w:t xml:space="preserve"> </w:t>
      </w:r>
      <w:r w:rsidR="007E3E76" w:rsidRPr="008F79DC">
        <w:rPr>
          <w:vertAlign w:val="superscript"/>
        </w:rPr>
        <w:t>2</w:t>
      </w:r>
      <w:r w:rsidR="00A07AAD">
        <w:t xml:space="preserve">, </w:t>
      </w:r>
      <w:r w:rsidR="00FB3A18" w:rsidRPr="00265667">
        <w:t>W.</w:t>
      </w:r>
      <w:r w:rsidR="007E3E76">
        <w:t>M.</w:t>
      </w:r>
      <w:r w:rsidR="00FB3A18" w:rsidRPr="00B05D23">
        <w:t xml:space="preserve"> </w:t>
      </w:r>
      <w:r w:rsidR="008F79DC">
        <w:t>NUTT</w:t>
      </w:r>
      <w:r w:rsidR="008F79DC" w:rsidRPr="00B05D23">
        <w:t xml:space="preserve"> </w:t>
      </w:r>
      <w:r w:rsidR="007E3E76" w:rsidRPr="008F79DC">
        <w:rPr>
          <w:vertAlign w:val="superscript"/>
        </w:rPr>
        <w:t>2</w:t>
      </w:r>
      <w:r w:rsidR="00FB3A18" w:rsidRPr="00733FE4">
        <w:t>,</w:t>
      </w:r>
      <w:r w:rsidR="007E3E76">
        <w:t xml:space="preserve"> A.</w:t>
      </w:r>
      <w:r w:rsidR="00642795">
        <w:t>E.</w:t>
      </w:r>
      <w:r w:rsidR="007E3E76">
        <w:t xml:space="preserve"> </w:t>
      </w:r>
      <w:r w:rsidR="008F79DC">
        <w:t>KEIZUR</w:t>
      </w:r>
      <w:r w:rsidR="008F79DC" w:rsidRPr="00B05D23">
        <w:t xml:space="preserve"> </w:t>
      </w:r>
      <w:r w:rsidR="007E3E76" w:rsidRPr="008F79DC">
        <w:rPr>
          <w:vertAlign w:val="superscript"/>
        </w:rPr>
        <w:t>3</w:t>
      </w:r>
    </w:p>
    <w:p w14:paraId="63B99A93" w14:textId="77777777" w:rsidR="0083703F" w:rsidRPr="00725A8E" w:rsidRDefault="00943645" w:rsidP="00B05D23">
      <w:pPr>
        <w:pStyle w:val="Authornameandaffiliation"/>
      </w:pPr>
      <w:r w:rsidRPr="008F79DC">
        <w:rPr>
          <w:vertAlign w:val="superscript"/>
        </w:rPr>
        <w:t>1</w:t>
      </w:r>
      <w:r w:rsidR="00A07AAD">
        <w:t xml:space="preserve">Argonne National Laboratory, </w:t>
      </w:r>
      <w:r w:rsidR="007D5ACA">
        <w:t xml:space="preserve">Washington, </w:t>
      </w:r>
      <w:r>
        <w:t>DC,</w:t>
      </w:r>
      <w:r w:rsidR="007E3E76">
        <w:t xml:space="preserve"> </w:t>
      </w:r>
      <w:r w:rsidR="00A07AAD">
        <w:t>USA</w:t>
      </w:r>
      <w:r w:rsidR="007E3E76">
        <w:t xml:space="preserve">; </w:t>
      </w:r>
      <w:r w:rsidRPr="008F79DC">
        <w:rPr>
          <w:vertAlign w:val="superscript"/>
        </w:rPr>
        <w:t>2</w:t>
      </w:r>
      <w:r w:rsidR="00A07AAD">
        <w:t>Pacific Northwest National Laboratory</w:t>
      </w:r>
      <w:r w:rsidR="00725A8E" w:rsidRPr="0083703F">
        <w:t xml:space="preserve">, </w:t>
      </w:r>
      <w:r w:rsidR="007E3E76">
        <w:t xml:space="preserve">Richland, WA, </w:t>
      </w:r>
      <w:r w:rsidR="00725A8E" w:rsidRPr="0083703F">
        <w:t>USA</w:t>
      </w:r>
      <w:r w:rsidR="007E3E76">
        <w:t xml:space="preserve">; </w:t>
      </w:r>
      <w:r w:rsidR="007E3E76" w:rsidRPr="008F79DC">
        <w:rPr>
          <w:vertAlign w:val="superscript"/>
        </w:rPr>
        <w:t>3</w:t>
      </w:r>
      <w:r w:rsidR="007E3E76">
        <w:t>Golder Associates Inc., Redmond, WA, USA</w:t>
      </w:r>
    </w:p>
    <w:p w14:paraId="626BF183" w14:textId="77777777" w:rsidR="008955CD" w:rsidRDefault="008955CD" w:rsidP="00B05D23">
      <w:pPr>
        <w:pStyle w:val="Textkrper"/>
        <w:spacing w:after="0"/>
        <w:rPr>
          <w:rFonts w:ascii="Times New Roman" w:hAnsi="Times New Roman"/>
          <w:b/>
          <w:lang w:val="en-US"/>
        </w:rPr>
      </w:pPr>
    </w:p>
    <w:p w14:paraId="621D0EF2" w14:textId="0C13A423" w:rsidR="003B1C0E" w:rsidRDefault="0083703F" w:rsidP="00B05D23">
      <w:pPr>
        <w:spacing w:after="0"/>
        <w:ind w:firstLine="567"/>
        <w:rPr>
          <w:rFonts w:ascii="Times New Roman" w:hAnsi="Times New Roman"/>
          <w:b/>
          <w:sz w:val="20"/>
        </w:rPr>
      </w:pPr>
      <w:r w:rsidRPr="0026295D">
        <w:rPr>
          <w:rFonts w:ascii="Times New Roman" w:hAnsi="Times New Roman"/>
          <w:b/>
          <w:sz w:val="20"/>
        </w:rPr>
        <w:t>Abstract</w:t>
      </w:r>
    </w:p>
    <w:p w14:paraId="688C939A" w14:textId="77777777" w:rsidR="0062455E" w:rsidRPr="0026295D" w:rsidRDefault="0062455E" w:rsidP="00B05D23">
      <w:pPr>
        <w:spacing w:after="0"/>
        <w:rPr>
          <w:rFonts w:ascii="Times New Roman" w:hAnsi="Times New Roman"/>
          <w:sz w:val="20"/>
        </w:rPr>
      </w:pPr>
    </w:p>
    <w:p w14:paraId="0FD34A62" w14:textId="32A52464" w:rsidR="00A07AAD" w:rsidRPr="00B05D23" w:rsidRDefault="00A07AAD" w:rsidP="0062455E">
      <w:pPr>
        <w:pStyle w:val="Abstracttext"/>
      </w:pPr>
      <w:r w:rsidRPr="0062455E">
        <w:t xml:space="preserve">Since 2013 </w:t>
      </w:r>
      <w:r w:rsidR="00177DAB" w:rsidRPr="0062455E">
        <w:t>the U.S. Department of Energy</w:t>
      </w:r>
      <w:r w:rsidR="00532BAB" w:rsidRPr="0062455E">
        <w:t xml:space="preserve">’s Office of Nuclear Energy </w:t>
      </w:r>
      <w:r w:rsidRPr="0062455E">
        <w:t xml:space="preserve">began developing the </w:t>
      </w:r>
      <w:r w:rsidR="00532BAB" w:rsidRPr="0062455E">
        <w:t>Execution Strategy Analysis (</w:t>
      </w:r>
      <w:r w:rsidRPr="0062455E">
        <w:t>ESA</w:t>
      </w:r>
      <w:r w:rsidR="00532BAB" w:rsidRPr="0062455E">
        <w:t>)</w:t>
      </w:r>
      <w:r w:rsidRPr="0062455E">
        <w:t xml:space="preserve"> tool that is both a subject matter expert elicitation process and a dynamic simulation </w:t>
      </w:r>
      <w:r w:rsidR="00563869" w:rsidRPr="008F79DC">
        <w:t>modelling</w:t>
      </w:r>
      <w:r w:rsidRPr="008F79DC">
        <w:t xml:space="preserve"> capability for use in the analysis of alternative implementation strategies and plans associated with an integrated nuclear waste management program. Early ESA models were used to evaluate potential alternatives for deploying consolidated interim storage for commercial </w:t>
      </w:r>
      <w:r w:rsidR="00532BAB" w:rsidRPr="008F79DC">
        <w:t>Spent Nuclear Fuel (</w:t>
      </w:r>
      <w:r w:rsidRPr="008F79DC">
        <w:t>SNF</w:t>
      </w:r>
      <w:r w:rsidR="00532BAB" w:rsidRPr="008F79DC">
        <w:t>)</w:t>
      </w:r>
      <w:r w:rsidRPr="008F79DC">
        <w:t xml:space="preserve">. There have been </w:t>
      </w:r>
      <w:r w:rsidR="001E24D1" w:rsidRPr="008F79DC">
        <w:t>several</w:t>
      </w:r>
      <w:r w:rsidRPr="008F79DC">
        <w:t xml:space="preserve"> iterations of the ESA tool since 2013. In 2017 the ESA model was further enhanced by developing a stand-alone ESA Origin Sites Readiness Model. This model represents all the activities and milestones necessary to establ</w:t>
      </w:r>
      <w:r w:rsidRPr="00B05D23">
        <w:t>ish at-reactor and near-reactor site transportation infrastructure. By complementing the main ESA model and other Integrated Waste Management logistics tools, this new stand-alone model provides a structured, systematic methodology for evaluating potential SNF transportation campaigns associated with comprehensive disposition strategy alternatives.</w:t>
      </w:r>
    </w:p>
    <w:p w14:paraId="28ED9764" w14:textId="77777777" w:rsidR="00A8604F" w:rsidRPr="0026295D" w:rsidRDefault="0026295D" w:rsidP="00176D46">
      <w:pPr>
        <w:pStyle w:val="Heading3"/>
        <w:widowControl w:val="0"/>
        <w:spacing w:before="100" w:beforeAutospacing="1" w:after="100" w:afterAutospacing="1" w:line="280" w:lineRule="atLeast"/>
        <w:ind w:left="360"/>
        <w:rPr>
          <w:b w:val="0"/>
          <w:sz w:val="20"/>
          <w:lang w:val="en-US"/>
        </w:rPr>
      </w:pPr>
      <w:r>
        <w:rPr>
          <w:b w:val="0"/>
          <w:sz w:val="20"/>
          <w:lang w:val="en-US"/>
        </w:rPr>
        <w:t>INTRODUCTION</w:t>
      </w:r>
    </w:p>
    <w:p w14:paraId="3DD5A39B" w14:textId="17462EC0" w:rsidR="007D5ACA" w:rsidRPr="00176D46" w:rsidRDefault="005F7C7A"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5F7C7A">
        <w:rPr>
          <w:rFonts w:eastAsia="Times New Roman"/>
          <w:b w:val="0"/>
          <w:sz w:val="20"/>
          <w:szCs w:val="20"/>
          <w:lang w:val="en-GB"/>
        </w:rPr>
        <w:t xml:space="preserve">This is a technical </w:t>
      </w:r>
      <w:r>
        <w:rPr>
          <w:rFonts w:eastAsia="Times New Roman"/>
          <w:b w:val="0"/>
          <w:sz w:val="20"/>
          <w:szCs w:val="20"/>
          <w:lang w:val="en-GB"/>
        </w:rPr>
        <w:t>paper</w:t>
      </w:r>
      <w:r w:rsidRPr="005F7C7A">
        <w:rPr>
          <w:rFonts w:eastAsia="Times New Roman"/>
          <w:b w:val="0"/>
          <w:sz w:val="20"/>
          <w:szCs w:val="20"/>
          <w:lang w:val="en-GB"/>
        </w:rPr>
        <w:t xml:space="preserve"> that does not take into account the contractual limitations under the Standard Contract for Disposal of Spent Nuclear Fuel and/or High-Level Radioactive Waste (Standard Contract) (10 CFR Part 961). For example, under the provisions of the Standard Contract, DOE does not consider spent nuclear fuel in multi-assembly canisters to be an acceptable waste form, absent a mutually agreed to contract a</w:t>
      </w:r>
      <w:r>
        <w:rPr>
          <w:rFonts w:eastAsia="Times New Roman"/>
          <w:b w:val="0"/>
          <w:sz w:val="20"/>
          <w:szCs w:val="20"/>
          <w:lang w:val="en-GB"/>
        </w:rPr>
        <w:t xml:space="preserve">mendment. </w:t>
      </w:r>
      <w:r w:rsidRPr="005F7C7A">
        <w:rPr>
          <w:rFonts w:eastAsia="Times New Roman"/>
          <w:b w:val="0"/>
          <w:sz w:val="20"/>
          <w:szCs w:val="20"/>
          <w:lang w:val="en-GB"/>
        </w:rPr>
        <w:t xml:space="preserve">To the extent discussions or recommendations in this </w:t>
      </w:r>
      <w:r>
        <w:rPr>
          <w:rFonts w:eastAsia="Times New Roman"/>
          <w:b w:val="0"/>
          <w:sz w:val="20"/>
          <w:szCs w:val="20"/>
          <w:lang w:val="en-GB"/>
        </w:rPr>
        <w:t>paper</w:t>
      </w:r>
      <w:r w:rsidRPr="005F7C7A">
        <w:rPr>
          <w:rFonts w:eastAsia="Times New Roman"/>
          <w:b w:val="0"/>
          <w:sz w:val="20"/>
          <w:szCs w:val="20"/>
          <w:lang w:val="en-GB"/>
        </w:rPr>
        <w:t xml:space="preserve"> conflict with the provisions of the Standard Contract, the Standa</w:t>
      </w:r>
      <w:r>
        <w:rPr>
          <w:rFonts w:eastAsia="Times New Roman"/>
          <w:b w:val="0"/>
          <w:sz w:val="20"/>
          <w:szCs w:val="20"/>
          <w:lang w:val="en-GB"/>
        </w:rPr>
        <w:t>rd Contract provisions prevail.</w:t>
      </w:r>
      <w:r w:rsidR="00A52B34" w:rsidRPr="00176D46">
        <w:rPr>
          <w:rFonts w:eastAsia="Times New Roman"/>
          <w:b w:val="0"/>
          <w:sz w:val="20"/>
          <w:szCs w:val="20"/>
          <w:lang w:val="en-GB"/>
        </w:rPr>
        <w:t xml:space="preserve"> </w:t>
      </w:r>
    </w:p>
    <w:p w14:paraId="5030AD90" w14:textId="6717691E" w:rsidR="00B8684E" w:rsidRPr="00176D46" w:rsidRDefault="006006E6"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Nuclear Waste Policy Act of 1982, as amended</w:t>
      </w:r>
      <w:r w:rsidR="00F059C3">
        <w:rPr>
          <w:rFonts w:eastAsia="Times New Roman"/>
          <w:b w:val="0"/>
          <w:sz w:val="20"/>
          <w:szCs w:val="20"/>
          <w:lang w:val="en-GB"/>
        </w:rPr>
        <w:t xml:space="preserve"> (NWPA)</w:t>
      </w:r>
      <w:r w:rsidRPr="00176D46">
        <w:rPr>
          <w:rFonts w:eastAsia="Times New Roman"/>
          <w:b w:val="0"/>
          <w:sz w:val="20"/>
          <w:szCs w:val="20"/>
          <w:lang w:val="en-GB"/>
        </w:rPr>
        <w:t>, established the federal government’s responsibility to accept SNF and high-level radioactive waste (HL</w:t>
      </w:r>
      <w:bookmarkStart w:id="0" w:name="_GoBack"/>
      <w:bookmarkEnd w:id="0"/>
      <w:r w:rsidRPr="00176D46">
        <w:rPr>
          <w:rFonts w:eastAsia="Times New Roman"/>
          <w:b w:val="0"/>
          <w:sz w:val="20"/>
          <w:szCs w:val="20"/>
          <w:lang w:val="en-GB"/>
        </w:rPr>
        <w:t xml:space="preserve">W) from waste owners and generators for ultimate disposition. The </w:t>
      </w:r>
      <w:r w:rsidR="00727F3F">
        <w:rPr>
          <w:rFonts w:eastAsia="Times New Roman"/>
          <w:b w:val="0"/>
          <w:sz w:val="20"/>
          <w:szCs w:val="20"/>
          <w:lang w:val="en-GB"/>
        </w:rPr>
        <w:t>DOE’s</w:t>
      </w:r>
      <w:r w:rsidRPr="00176D46">
        <w:rPr>
          <w:rFonts w:eastAsia="Times New Roman"/>
          <w:b w:val="0"/>
          <w:sz w:val="20"/>
          <w:szCs w:val="20"/>
          <w:lang w:val="en-GB"/>
        </w:rPr>
        <w:t xml:space="preserve"> Office of Nuclear Energy (DOE-NE)</w:t>
      </w:r>
      <w:r w:rsidR="005F4B20" w:rsidRPr="00176D46">
        <w:rPr>
          <w:rFonts w:eastAsia="Times New Roman"/>
          <w:b w:val="0"/>
          <w:sz w:val="20"/>
          <w:szCs w:val="20"/>
          <w:lang w:val="en-GB"/>
        </w:rPr>
        <w:t>, Integrated Waste Management (IWM) program</w:t>
      </w:r>
      <w:r w:rsidRPr="00176D46">
        <w:rPr>
          <w:rFonts w:eastAsia="Times New Roman"/>
          <w:b w:val="0"/>
          <w:sz w:val="20"/>
          <w:szCs w:val="20"/>
          <w:lang w:val="en-GB"/>
        </w:rPr>
        <w:t xml:space="preserve"> is </w:t>
      </w:r>
      <w:r w:rsidR="00B8684E" w:rsidRPr="00176D46">
        <w:rPr>
          <w:rFonts w:eastAsia="Times New Roman"/>
          <w:b w:val="0"/>
          <w:sz w:val="20"/>
          <w:szCs w:val="20"/>
          <w:lang w:val="en-GB"/>
        </w:rPr>
        <w:t xml:space="preserve">applying a variety of system analysis tools for the identification and evaluation of options for the future deployment of a comprehensive nuclear waste management system. Systems analysis and systems engineering principles are being applied to evaluate an integrated approach to transportation, disposal, and interim storage of SNF within the waste management system with an emphasis on providing flexibility to respond to evolving national policy/direction. These analyses support the establishment of functional and operational requirements for the SNF and HLW management system, provide the framework for future planning activities (e.g., transportation hardware procurements), and provide information to inform future decisions regarding </w:t>
      </w:r>
      <w:r w:rsidR="005603D5">
        <w:rPr>
          <w:rFonts w:eastAsia="Times New Roman"/>
          <w:b w:val="0"/>
          <w:sz w:val="20"/>
          <w:szCs w:val="20"/>
          <w:lang w:val="en-GB"/>
        </w:rPr>
        <w:t xml:space="preserve">the management of </w:t>
      </w:r>
      <w:r w:rsidR="00B8684E" w:rsidRPr="00176D46">
        <w:rPr>
          <w:rFonts w:eastAsia="Times New Roman"/>
          <w:b w:val="0"/>
          <w:sz w:val="20"/>
          <w:szCs w:val="20"/>
          <w:lang w:val="en-GB"/>
        </w:rPr>
        <w:t xml:space="preserve">SNF and HLW from U.S. shutdown and operating commercial nuclear reactors and DOE facilities. </w:t>
      </w:r>
    </w:p>
    <w:p w14:paraId="40C0A1E1" w14:textId="4C38C1F3" w:rsidR="00B8684E" w:rsidRPr="00176D46" w:rsidRDefault="00702CF2"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system analysis tools include </w:t>
      </w:r>
      <w:r w:rsidR="005603D5">
        <w:rPr>
          <w:rFonts w:eastAsia="Times New Roman"/>
          <w:b w:val="0"/>
          <w:sz w:val="20"/>
          <w:szCs w:val="20"/>
          <w:lang w:val="en-GB"/>
        </w:rPr>
        <w:t xml:space="preserve">the </w:t>
      </w:r>
      <w:r w:rsidR="00230849" w:rsidRPr="00176D46">
        <w:rPr>
          <w:rFonts w:eastAsia="Times New Roman"/>
          <w:b w:val="0"/>
          <w:sz w:val="20"/>
          <w:szCs w:val="20"/>
          <w:lang w:val="en-GB"/>
        </w:rPr>
        <w:t xml:space="preserve">Used Nuclear Fuel Storage, Transportation, &amp; Disposal Analysis Resource and Data System (UNF-ST&amp;DARDS) designed to </w:t>
      </w:r>
      <w:r w:rsidR="005603D5">
        <w:rPr>
          <w:rFonts w:eastAsia="Times New Roman"/>
          <w:b w:val="0"/>
          <w:sz w:val="20"/>
          <w:szCs w:val="20"/>
          <w:lang w:val="en-GB"/>
        </w:rPr>
        <w:t xml:space="preserve">perform technical analyses using </w:t>
      </w:r>
      <w:r w:rsidR="00230849" w:rsidRPr="00176D46">
        <w:rPr>
          <w:rFonts w:eastAsia="Times New Roman"/>
          <w:b w:val="0"/>
          <w:sz w:val="20"/>
          <w:szCs w:val="20"/>
          <w:lang w:val="en-GB"/>
        </w:rPr>
        <w:t xml:space="preserve">data </w:t>
      </w:r>
      <w:r w:rsidR="005603D5">
        <w:rPr>
          <w:rFonts w:eastAsia="Times New Roman"/>
          <w:b w:val="0"/>
          <w:sz w:val="20"/>
          <w:szCs w:val="20"/>
          <w:lang w:val="en-GB"/>
        </w:rPr>
        <w:t>on</w:t>
      </w:r>
      <w:r w:rsidR="00230849" w:rsidRPr="00176D46">
        <w:rPr>
          <w:rFonts w:eastAsia="Times New Roman"/>
          <w:b w:val="0"/>
          <w:sz w:val="20"/>
          <w:szCs w:val="20"/>
          <w:lang w:val="en-GB"/>
        </w:rPr>
        <w:t xml:space="preserve"> SNF characteristics; </w:t>
      </w:r>
      <w:r w:rsidR="005603D5">
        <w:rPr>
          <w:rFonts w:eastAsia="Times New Roman"/>
          <w:b w:val="0"/>
          <w:sz w:val="20"/>
          <w:szCs w:val="20"/>
          <w:lang w:val="en-GB"/>
        </w:rPr>
        <w:t xml:space="preserve">the </w:t>
      </w:r>
      <w:r w:rsidR="00230849" w:rsidRPr="00176D46">
        <w:rPr>
          <w:rFonts w:eastAsia="Times New Roman"/>
          <w:b w:val="0"/>
          <w:sz w:val="20"/>
          <w:szCs w:val="20"/>
          <w:lang w:val="en-GB"/>
        </w:rPr>
        <w:t xml:space="preserve">Next Generation System Analysis Model (NGSAM) for </w:t>
      </w:r>
      <w:r w:rsidR="005603D5">
        <w:rPr>
          <w:rFonts w:eastAsia="Times New Roman"/>
          <w:b w:val="0"/>
          <w:sz w:val="20"/>
          <w:szCs w:val="20"/>
          <w:lang w:val="en-GB"/>
        </w:rPr>
        <w:t xml:space="preserve">evaluation of </w:t>
      </w:r>
      <w:r w:rsidR="00230849" w:rsidRPr="00176D46">
        <w:rPr>
          <w:rFonts w:eastAsia="Times New Roman"/>
          <w:b w:val="0"/>
          <w:sz w:val="20"/>
          <w:szCs w:val="20"/>
          <w:lang w:val="en-GB"/>
        </w:rPr>
        <w:t xml:space="preserve">alternative </w:t>
      </w:r>
      <w:r w:rsidR="005603D5">
        <w:rPr>
          <w:rFonts w:eastAsia="Times New Roman"/>
          <w:b w:val="0"/>
          <w:sz w:val="20"/>
          <w:szCs w:val="20"/>
          <w:lang w:val="en-GB"/>
        </w:rPr>
        <w:t xml:space="preserve">system </w:t>
      </w:r>
      <w:r w:rsidR="00230849" w:rsidRPr="00176D46">
        <w:rPr>
          <w:rFonts w:eastAsia="Times New Roman"/>
          <w:b w:val="0"/>
          <w:sz w:val="20"/>
          <w:szCs w:val="20"/>
          <w:lang w:val="en-GB"/>
        </w:rPr>
        <w:t>configurations and concepts of operations;</w:t>
      </w:r>
      <w:r w:rsidRPr="00176D46">
        <w:rPr>
          <w:rFonts w:eastAsia="Times New Roman"/>
          <w:b w:val="0"/>
          <w:sz w:val="20"/>
          <w:szCs w:val="20"/>
          <w:lang w:val="en-GB"/>
        </w:rPr>
        <w:t xml:space="preserve"> </w:t>
      </w:r>
      <w:r w:rsidR="005603D5">
        <w:rPr>
          <w:rFonts w:eastAsia="Times New Roman"/>
          <w:b w:val="0"/>
          <w:sz w:val="20"/>
          <w:szCs w:val="20"/>
          <w:lang w:val="en-GB"/>
        </w:rPr>
        <w:t xml:space="preserve">the </w:t>
      </w:r>
      <w:r w:rsidRPr="00176D46">
        <w:rPr>
          <w:rFonts w:eastAsia="Times New Roman"/>
          <w:b w:val="0"/>
          <w:sz w:val="20"/>
          <w:szCs w:val="20"/>
          <w:lang w:val="en-GB"/>
        </w:rPr>
        <w:t xml:space="preserve">Execution Strategy Analysis </w:t>
      </w:r>
      <w:r w:rsidR="005603D5">
        <w:rPr>
          <w:rFonts w:eastAsia="Times New Roman"/>
          <w:b w:val="0"/>
          <w:sz w:val="20"/>
          <w:szCs w:val="20"/>
          <w:lang w:val="en-GB"/>
        </w:rPr>
        <w:t xml:space="preserve">(ESA) tool </w:t>
      </w:r>
      <w:r w:rsidRPr="00176D46">
        <w:rPr>
          <w:rFonts w:eastAsia="Times New Roman"/>
          <w:b w:val="0"/>
          <w:sz w:val="20"/>
          <w:szCs w:val="20"/>
          <w:lang w:val="en-GB"/>
        </w:rPr>
        <w:t xml:space="preserve">for </w:t>
      </w:r>
      <w:r w:rsidR="0084764C" w:rsidRPr="00176D46">
        <w:rPr>
          <w:rFonts w:eastAsia="Times New Roman"/>
          <w:b w:val="0"/>
          <w:sz w:val="20"/>
          <w:szCs w:val="20"/>
          <w:lang w:val="en-GB"/>
        </w:rPr>
        <w:t>analysis of implementing strategies,</w:t>
      </w:r>
      <w:r w:rsidR="00230849" w:rsidRPr="00176D46">
        <w:rPr>
          <w:rFonts w:eastAsia="Times New Roman"/>
          <w:b w:val="0"/>
          <w:sz w:val="20"/>
          <w:szCs w:val="20"/>
          <w:lang w:val="en-GB"/>
        </w:rPr>
        <w:t xml:space="preserve"> and </w:t>
      </w:r>
      <w:r w:rsidR="005603D5">
        <w:rPr>
          <w:rFonts w:eastAsia="Times New Roman"/>
          <w:b w:val="0"/>
          <w:sz w:val="20"/>
          <w:szCs w:val="20"/>
          <w:lang w:val="en-GB"/>
        </w:rPr>
        <w:t xml:space="preserve">the </w:t>
      </w:r>
      <w:r w:rsidR="00230849" w:rsidRPr="00176D46">
        <w:rPr>
          <w:rFonts w:eastAsia="Times New Roman"/>
          <w:b w:val="0"/>
          <w:sz w:val="20"/>
          <w:szCs w:val="20"/>
          <w:lang w:val="en-GB"/>
        </w:rPr>
        <w:t>Stakeholder Tool for Assessing Radioactive Transportation (START).</w:t>
      </w:r>
      <w:r w:rsidR="00474B11" w:rsidRPr="00176D46">
        <w:rPr>
          <w:rFonts w:eastAsia="Times New Roman"/>
          <w:b w:val="0"/>
          <w:sz w:val="20"/>
          <w:szCs w:val="20"/>
          <w:lang w:val="en-GB"/>
        </w:rPr>
        <w:t xml:space="preserve"> </w:t>
      </w:r>
    </w:p>
    <w:p w14:paraId="333F94BE" w14:textId="1B0A6E98" w:rsidR="0099669F" w:rsidRPr="00176D46" w:rsidRDefault="0099669F"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IWM ESA tool has been in </w:t>
      </w:r>
      <w:r w:rsidR="00A52B34" w:rsidRPr="00176D46">
        <w:rPr>
          <w:rFonts w:eastAsia="Times New Roman"/>
          <w:b w:val="0"/>
          <w:sz w:val="20"/>
          <w:szCs w:val="20"/>
          <w:lang w:val="en-GB"/>
        </w:rPr>
        <w:t xml:space="preserve">use </w:t>
      </w:r>
      <w:r w:rsidRPr="00176D46">
        <w:rPr>
          <w:rFonts w:eastAsia="Times New Roman"/>
          <w:b w:val="0"/>
          <w:sz w:val="20"/>
          <w:szCs w:val="20"/>
          <w:lang w:val="en-GB"/>
        </w:rPr>
        <w:t xml:space="preserve">since late 2013. It has been </w:t>
      </w:r>
      <w:r w:rsidR="00A52B34" w:rsidRPr="00176D46">
        <w:rPr>
          <w:rFonts w:eastAsia="Times New Roman"/>
          <w:b w:val="0"/>
          <w:sz w:val="20"/>
          <w:szCs w:val="20"/>
          <w:lang w:val="en-GB"/>
        </w:rPr>
        <w:t xml:space="preserve">applied </w:t>
      </w:r>
      <w:r w:rsidRPr="00176D46">
        <w:rPr>
          <w:rFonts w:eastAsia="Times New Roman"/>
          <w:b w:val="0"/>
          <w:sz w:val="20"/>
          <w:szCs w:val="20"/>
          <w:lang w:val="en-GB"/>
        </w:rPr>
        <w:t xml:space="preserve">to </w:t>
      </w:r>
      <w:r w:rsidR="00F24F82" w:rsidRPr="00176D46">
        <w:rPr>
          <w:rFonts w:eastAsia="Times New Roman"/>
          <w:b w:val="0"/>
          <w:sz w:val="20"/>
          <w:szCs w:val="20"/>
          <w:lang w:val="en-GB"/>
        </w:rPr>
        <w:t xml:space="preserve">provide </w:t>
      </w:r>
      <w:r w:rsidRPr="00176D46">
        <w:rPr>
          <w:rFonts w:eastAsia="Times New Roman"/>
          <w:b w:val="0"/>
          <w:sz w:val="20"/>
          <w:szCs w:val="20"/>
          <w:lang w:val="en-GB"/>
        </w:rPr>
        <w:t xml:space="preserve">useful insights into meeting the IWM program’s objectives </w:t>
      </w:r>
      <w:r w:rsidR="00F24F82" w:rsidRPr="00176D46">
        <w:rPr>
          <w:rFonts w:eastAsia="Times New Roman"/>
          <w:b w:val="0"/>
          <w:sz w:val="20"/>
          <w:szCs w:val="20"/>
          <w:lang w:val="en-GB"/>
        </w:rPr>
        <w:t xml:space="preserve">and </w:t>
      </w:r>
      <w:r w:rsidRPr="00176D46">
        <w:rPr>
          <w:rFonts w:eastAsia="Times New Roman"/>
          <w:b w:val="0"/>
          <w:sz w:val="20"/>
          <w:szCs w:val="20"/>
          <w:lang w:val="en-GB"/>
        </w:rPr>
        <w:t>to improv</w:t>
      </w:r>
      <w:r w:rsidR="007D3E71">
        <w:rPr>
          <w:rFonts w:eastAsia="Times New Roman"/>
          <w:b w:val="0"/>
          <w:sz w:val="20"/>
          <w:szCs w:val="20"/>
          <w:lang w:val="en-GB"/>
        </w:rPr>
        <w:t>e</w:t>
      </w:r>
      <w:r w:rsidR="00A52B34" w:rsidRPr="00176D46">
        <w:rPr>
          <w:rFonts w:eastAsia="Times New Roman"/>
          <w:b w:val="0"/>
          <w:sz w:val="20"/>
          <w:szCs w:val="20"/>
          <w:lang w:val="en-GB"/>
        </w:rPr>
        <w:t xml:space="preserve"> understanding </w:t>
      </w:r>
      <w:r w:rsidR="00304027" w:rsidRPr="00176D46">
        <w:rPr>
          <w:rFonts w:eastAsia="Times New Roman"/>
          <w:b w:val="0"/>
          <w:sz w:val="20"/>
          <w:szCs w:val="20"/>
          <w:lang w:val="en-GB"/>
        </w:rPr>
        <w:t xml:space="preserve">of </w:t>
      </w:r>
      <w:r w:rsidRPr="00176D46">
        <w:rPr>
          <w:rFonts w:eastAsia="Times New Roman"/>
          <w:b w:val="0"/>
          <w:sz w:val="20"/>
          <w:szCs w:val="20"/>
          <w:lang w:val="en-GB"/>
        </w:rPr>
        <w:t xml:space="preserve">the range of potential future </w:t>
      </w:r>
      <w:proofErr w:type="gramStart"/>
      <w:r w:rsidRPr="00176D46">
        <w:rPr>
          <w:rFonts w:eastAsia="Times New Roman"/>
          <w:b w:val="0"/>
          <w:sz w:val="20"/>
          <w:szCs w:val="20"/>
          <w:lang w:val="en-GB"/>
        </w:rPr>
        <w:lastRenderedPageBreak/>
        <w:t>implementation</w:t>
      </w:r>
      <w:proofErr w:type="gramEnd"/>
      <w:r w:rsidRPr="00176D46">
        <w:rPr>
          <w:rFonts w:eastAsia="Times New Roman"/>
          <w:b w:val="0"/>
          <w:sz w:val="20"/>
          <w:szCs w:val="20"/>
          <w:lang w:val="en-GB"/>
        </w:rPr>
        <w:t xml:space="preserve"> scenarios.</w:t>
      </w:r>
      <w:r w:rsidR="0084764C" w:rsidRPr="00176D46">
        <w:rPr>
          <w:rFonts w:eastAsia="Times New Roman"/>
          <w:b w:val="0"/>
          <w:sz w:val="20"/>
          <w:szCs w:val="20"/>
          <w:lang w:val="en-GB"/>
        </w:rPr>
        <w:t xml:space="preserve"> The tool provides performance assessment of the evolving project plan/strategy that considers significant assumptions, uncertainties, and risks throughout the project lifecycle.</w:t>
      </w:r>
      <w:r w:rsidRPr="00176D46">
        <w:rPr>
          <w:rFonts w:eastAsia="Times New Roman"/>
          <w:b w:val="0"/>
          <w:sz w:val="20"/>
          <w:szCs w:val="20"/>
          <w:lang w:val="en-GB"/>
        </w:rPr>
        <w:t xml:space="preserve"> </w:t>
      </w:r>
      <w:r w:rsidR="0084764C" w:rsidRPr="00176D46">
        <w:rPr>
          <w:rFonts w:eastAsia="Times New Roman"/>
          <w:b w:val="0"/>
          <w:sz w:val="20"/>
          <w:szCs w:val="20"/>
          <w:lang w:val="en-GB"/>
        </w:rPr>
        <w:t>It</w:t>
      </w:r>
      <w:r w:rsidRPr="00176D46">
        <w:rPr>
          <w:rFonts w:eastAsia="Times New Roman"/>
          <w:b w:val="0"/>
          <w:sz w:val="20"/>
          <w:szCs w:val="20"/>
          <w:lang w:val="en-GB"/>
        </w:rPr>
        <w:t xml:space="preserve"> has evolved through multiple iterations</w:t>
      </w:r>
      <w:r w:rsidR="00F24F82" w:rsidRPr="00176D46">
        <w:rPr>
          <w:rFonts w:eastAsia="Times New Roman"/>
          <w:b w:val="0"/>
          <w:sz w:val="20"/>
          <w:szCs w:val="20"/>
          <w:lang w:val="en-GB"/>
        </w:rPr>
        <w:t xml:space="preserve"> </w:t>
      </w:r>
      <w:r w:rsidR="00771338" w:rsidRPr="00176D46">
        <w:rPr>
          <w:rFonts w:eastAsia="Times New Roman"/>
          <w:b w:val="0"/>
          <w:sz w:val="20"/>
          <w:szCs w:val="20"/>
          <w:lang w:val="en-GB"/>
        </w:rPr>
        <w:t>to</w:t>
      </w:r>
      <w:r w:rsidR="00F24F82" w:rsidRPr="00176D46">
        <w:rPr>
          <w:rFonts w:eastAsia="Times New Roman"/>
          <w:b w:val="0"/>
          <w:sz w:val="20"/>
          <w:szCs w:val="20"/>
          <w:lang w:val="en-GB"/>
        </w:rPr>
        <w:t xml:space="preserve"> reflect evolving program needs</w:t>
      </w:r>
      <w:r w:rsidR="008F4AF7" w:rsidRPr="00176D46">
        <w:rPr>
          <w:rFonts w:eastAsia="Times New Roman"/>
          <w:b w:val="0"/>
          <w:sz w:val="20"/>
          <w:szCs w:val="20"/>
          <w:lang w:val="en-GB"/>
        </w:rPr>
        <w:t>.</w:t>
      </w:r>
    </w:p>
    <w:p w14:paraId="2939FA04" w14:textId="3D20963B" w:rsidR="0099669F" w:rsidRPr="00176D46" w:rsidRDefault="004C289E"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E</w:t>
      </w:r>
      <w:r w:rsidR="001D131A">
        <w:rPr>
          <w:rFonts w:eastAsia="Times New Roman"/>
          <w:b w:val="0"/>
          <w:sz w:val="20"/>
          <w:szCs w:val="20"/>
          <w:lang w:val="en-GB"/>
        </w:rPr>
        <w:t>arly versions of the ESA m</w:t>
      </w:r>
      <w:r w:rsidR="0099669F" w:rsidRPr="00176D46">
        <w:rPr>
          <w:rFonts w:eastAsia="Times New Roman"/>
          <w:b w:val="0"/>
          <w:sz w:val="20"/>
          <w:szCs w:val="20"/>
          <w:lang w:val="en-GB"/>
        </w:rPr>
        <w:t>odel</w:t>
      </w:r>
      <w:r w:rsidR="00F24F82" w:rsidRPr="00176D46">
        <w:rPr>
          <w:rFonts w:eastAsia="Times New Roman"/>
          <w:b w:val="0"/>
          <w:sz w:val="20"/>
          <w:szCs w:val="20"/>
          <w:lang w:val="en-GB"/>
        </w:rPr>
        <w:t xml:space="preserve"> only</w:t>
      </w:r>
      <w:r w:rsidR="0099669F" w:rsidRPr="00176D46">
        <w:rPr>
          <w:rFonts w:eastAsia="Times New Roman"/>
          <w:b w:val="0"/>
          <w:sz w:val="20"/>
          <w:szCs w:val="20"/>
          <w:lang w:val="en-GB"/>
        </w:rPr>
        <w:t xml:space="preserve"> </w:t>
      </w:r>
      <w:r w:rsidR="004D4089" w:rsidRPr="00176D46">
        <w:rPr>
          <w:rFonts w:eastAsia="Times New Roman"/>
          <w:b w:val="0"/>
          <w:sz w:val="20"/>
          <w:szCs w:val="20"/>
          <w:lang w:val="en-GB"/>
        </w:rPr>
        <w:t>broadly</w:t>
      </w:r>
      <w:r w:rsidR="0099669F" w:rsidRPr="00176D46">
        <w:rPr>
          <w:rFonts w:eastAsia="Times New Roman"/>
          <w:b w:val="0"/>
          <w:sz w:val="20"/>
          <w:szCs w:val="20"/>
          <w:lang w:val="en-GB"/>
        </w:rPr>
        <w:t xml:space="preserve"> reflect</w:t>
      </w:r>
      <w:r w:rsidR="004D4089" w:rsidRPr="00176D46">
        <w:rPr>
          <w:rFonts w:eastAsia="Times New Roman"/>
          <w:b w:val="0"/>
          <w:sz w:val="20"/>
          <w:szCs w:val="20"/>
          <w:lang w:val="en-GB"/>
        </w:rPr>
        <w:t>ed</w:t>
      </w:r>
      <w:r w:rsidR="0099669F" w:rsidRPr="00176D46">
        <w:rPr>
          <w:rFonts w:eastAsia="Times New Roman"/>
          <w:b w:val="0"/>
          <w:sz w:val="20"/>
          <w:szCs w:val="20"/>
          <w:lang w:val="en-GB"/>
        </w:rPr>
        <w:t xml:space="preserve"> the uncertainty associated </w:t>
      </w:r>
      <w:r w:rsidR="004D4089" w:rsidRPr="00176D46">
        <w:rPr>
          <w:rFonts w:eastAsia="Times New Roman"/>
          <w:b w:val="0"/>
          <w:sz w:val="20"/>
          <w:szCs w:val="20"/>
          <w:lang w:val="en-GB"/>
        </w:rPr>
        <w:t xml:space="preserve">with </w:t>
      </w:r>
      <w:r w:rsidR="00AE48D6" w:rsidRPr="00176D46">
        <w:rPr>
          <w:rFonts w:eastAsia="Times New Roman"/>
          <w:b w:val="0"/>
          <w:sz w:val="20"/>
          <w:szCs w:val="20"/>
          <w:lang w:val="en-GB"/>
        </w:rPr>
        <w:t xml:space="preserve">commercial </w:t>
      </w:r>
      <w:r w:rsidR="004D4089" w:rsidRPr="00176D46">
        <w:rPr>
          <w:rFonts w:eastAsia="Times New Roman"/>
          <w:b w:val="0"/>
          <w:sz w:val="20"/>
          <w:szCs w:val="20"/>
          <w:lang w:val="en-GB"/>
        </w:rPr>
        <w:t>origin site</w:t>
      </w:r>
      <w:r w:rsidR="00304027" w:rsidRPr="00176D46">
        <w:rPr>
          <w:rFonts w:eastAsia="Times New Roman"/>
          <w:b w:val="0"/>
          <w:sz w:val="20"/>
          <w:szCs w:val="20"/>
          <w:lang w:val="en-GB"/>
        </w:rPr>
        <w:t>s</w:t>
      </w:r>
      <w:r w:rsidR="00563869">
        <w:rPr>
          <w:rStyle w:val="FootnoteReference"/>
          <w:rFonts w:eastAsia="Times New Roman"/>
          <w:b w:val="0"/>
          <w:sz w:val="20"/>
          <w:szCs w:val="20"/>
          <w:lang w:val="en-GB"/>
        </w:rPr>
        <w:footnoteReference w:id="1"/>
      </w:r>
      <w:r w:rsidR="004D4089" w:rsidRPr="00176D46">
        <w:rPr>
          <w:rFonts w:eastAsia="Times New Roman"/>
          <w:b w:val="0"/>
          <w:sz w:val="20"/>
          <w:szCs w:val="20"/>
          <w:lang w:val="en-GB"/>
        </w:rPr>
        <w:t xml:space="preserve"> readiness to transport SNF</w:t>
      </w:r>
      <w:r w:rsidR="005F4B20" w:rsidRPr="00176D46">
        <w:rPr>
          <w:rFonts w:eastAsia="Times New Roman"/>
          <w:b w:val="0"/>
          <w:sz w:val="20"/>
          <w:szCs w:val="20"/>
          <w:lang w:val="en-GB"/>
        </w:rPr>
        <w:t xml:space="preserve"> and did not include </w:t>
      </w:r>
      <w:r w:rsidR="004D4089" w:rsidRPr="00176D46">
        <w:rPr>
          <w:rFonts w:eastAsia="Times New Roman"/>
          <w:b w:val="0"/>
          <w:sz w:val="20"/>
          <w:szCs w:val="20"/>
          <w:lang w:val="en-GB"/>
        </w:rPr>
        <w:t>specific sites or cask types</w:t>
      </w:r>
      <w:r w:rsidR="005F4B20" w:rsidRPr="00176D46">
        <w:rPr>
          <w:rFonts w:eastAsia="Times New Roman"/>
          <w:b w:val="0"/>
          <w:sz w:val="20"/>
          <w:szCs w:val="20"/>
          <w:lang w:val="en-GB"/>
        </w:rPr>
        <w:t xml:space="preserve"> into consideration.</w:t>
      </w:r>
      <w:r w:rsidR="0099669F" w:rsidRPr="00176D46">
        <w:rPr>
          <w:rFonts w:eastAsia="Times New Roman"/>
          <w:b w:val="0"/>
          <w:sz w:val="20"/>
          <w:szCs w:val="20"/>
          <w:lang w:val="en-GB"/>
        </w:rPr>
        <w:t xml:space="preserve"> </w:t>
      </w:r>
      <w:r w:rsidR="005F4B20" w:rsidRPr="00176D46">
        <w:rPr>
          <w:rFonts w:eastAsia="Times New Roman"/>
          <w:b w:val="0"/>
          <w:sz w:val="20"/>
          <w:szCs w:val="20"/>
          <w:lang w:val="en-GB"/>
        </w:rPr>
        <w:t>I</w:t>
      </w:r>
      <w:r w:rsidR="0099669F" w:rsidRPr="00176D46">
        <w:rPr>
          <w:rFonts w:eastAsia="Times New Roman"/>
          <w:b w:val="0"/>
          <w:sz w:val="20"/>
          <w:szCs w:val="20"/>
          <w:lang w:val="en-GB"/>
        </w:rPr>
        <w:t xml:space="preserve">n 2017 a stand-alone ESA Origin Sites Readiness Model was developed to represent all of the </w:t>
      </w:r>
      <w:r w:rsidR="004D4089" w:rsidRPr="00176D46">
        <w:rPr>
          <w:rFonts w:eastAsia="Times New Roman"/>
          <w:b w:val="0"/>
          <w:sz w:val="20"/>
          <w:szCs w:val="20"/>
          <w:lang w:val="en-GB"/>
        </w:rPr>
        <w:t xml:space="preserve">major </w:t>
      </w:r>
      <w:r w:rsidR="0099669F" w:rsidRPr="00176D46">
        <w:rPr>
          <w:rFonts w:eastAsia="Times New Roman"/>
          <w:b w:val="0"/>
          <w:sz w:val="20"/>
          <w:szCs w:val="20"/>
          <w:lang w:val="en-GB"/>
        </w:rPr>
        <w:t xml:space="preserve">activities and milestones necessary to establish </w:t>
      </w:r>
      <w:r w:rsidR="008914D9" w:rsidRPr="00176D46">
        <w:rPr>
          <w:rFonts w:eastAsia="Times New Roman"/>
          <w:b w:val="0"/>
          <w:sz w:val="20"/>
          <w:szCs w:val="20"/>
          <w:lang w:val="en-GB"/>
        </w:rPr>
        <w:t>on</w:t>
      </w:r>
      <w:r w:rsidR="007D5ACA" w:rsidRPr="00176D46">
        <w:rPr>
          <w:rFonts w:eastAsia="Times New Roman"/>
          <w:b w:val="0"/>
          <w:sz w:val="20"/>
          <w:szCs w:val="20"/>
          <w:lang w:val="en-GB"/>
        </w:rPr>
        <w:t>-</w:t>
      </w:r>
      <w:r w:rsidR="008914D9" w:rsidRPr="00176D46">
        <w:rPr>
          <w:rFonts w:eastAsia="Times New Roman"/>
          <w:b w:val="0"/>
          <w:sz w:val="20"/>
          <w:szCs w:val="20"/>
          <w:lang w:val="en-GB"/>
        </w:rPr>
        <w:t>site</w:t>
      </w:r>
      <w:r w:rsidR="0099669F" w:rsidRPr="00176D46">
        <w:rPr>
          <w:rFonts w:eastAsia="Times New Roman"/>
          <w:b w:val="0"/>
          <w:sz w:val="20"/>
          <w:szCs w:val="20"/>
          <w:lang w:val="en-GB"/>
        </w:rPr>
        <w:t xml:space="preserve"> and near-</w:t>
      </w:r>
      <w:r w:rsidR="008914D9" w:rsidRPr="00176D46">
        <w:rPr>
          <w:rFonts w:eastAsia="Times New Roman"/>
          <w:b w:val="0"/>
          <w:sz w:val="20"/>
          <w:szCs w:val="20"/>
          <w:lang w:val="en-GB"/>
        </w:rPr>
        <w:t>site</w:t>
      </w:r>
      <w:r w:rsidR="0099669F" w:rsidRPr="00176D46">
        <w:rPr>
          <w:rFonts w:eastAsia="Times New Roman"/>
          <w:b w:val="0"/>
          <w:sz w:val="20"/>
          <w:szCs w:val="20"/>
          <w:lang w:val="en-GB"/>
        </w:rPr>
        <w:t xml:space="preserve"> transportation infrastructure at </w:t>
      </w:r>
      <w:r w:rsidR="004D4089" w:rsidRPr="00176D46">
        <w:rPr>
          <w:rFonts w:eastAsia="Times New Roman"/>
          <w:b w:val="0"/>
          <w:sz w:val="20"/>
          <w:szCs w:val="20"/>
          <w:lang w:val="en-GB"/>
        </w:rPr>
        <w:t>individual</w:t>
      </w:r>
      <w:r w:rsidR="00A17B28" w:rsidRPr="00176D46">
        <w:rPr>
          <w:rFonts w:eastAsia="Times New Roman"/>
          <w:b w:val="0"/>
          <w:sz w:val="20"/>
          <w:szCs w:val="20"/>
          <w:lang w:val="en-GB"/>
        </w:rPr>
        <w:t xml:space="preserve"> commercial</w:t>
      </w:r>
      <w:r w:rsidR="004D4089" w:rsidRPr="00176D46">
        <w:rPr>
          <w:rFonts w:eastAsia="Times New Roman"/>
          <w:b w:val="0"/>
          <w:sz w:val="20"/>
          <w:szCs w:val="20"/>
          <w:lang w:val="en-GB"/>
        </w:rPr>
        <w:t xml:space="preserve"> </w:t>
      </w:r>
      <w:r w:rsidR="00A17B28" w:rsidRPr="00176D46">
        <w:rPr>
          <w:rFonts w:eastAsia="Times New Roman"/>
          <w:b w:val="0"/>
          <w:sz w:val="20"/>
          <w:szCs w:val="20"/>
          <w:lang w:val="en-GB"/>
        </w:rPr>
        <w:t xml:space="preserve">reactor </w:t>
      </w:r>
      <w:r w:rsidR="0099669F" w:rsidRPr="00176D46">
        <w:rPr>
          <w:rFonts w:eastAsia="Times New Roman"/>
          <w:b w:val="0"/>
          <w:sz w:val="20"/>
          <w:szCs w:val="20"/>
          <w:lang w:val="en-GB"/>
        </w:rPr>
        <w:t>sites.</w:t>
      </w:r>
      <w:r w:rsidR="00A17B28" w:rsidRPr="00176D46">
        <w:rPr>
          <w:rFonts w:eastAsia="Times New Roman"/>
          <w:b w:val="0"/>
          <w:sz w:val="20"/>
          <w:szCs w:val="20"/>
          <w:lang w:val="en-GB"/>
        </w:rPr>
        <w:t xml:space="preserve"> The initial model focused on shutdown reactor sites. </w:t>
      </w:r>
    </w:p>
    <w:p w14:paraId="30393FC0" w14:textId="4C2C1111" w:rsidR="00A83D22" w:rsidRPr="00176D46" w:rsidRDefault="00A83D22"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Origin Sites Readiness Model was integrated into the most recent version of the main ESA model in 2018.</w:t>
      </w:r>
      <w:r w:rsidR="00771338" w:rsidRPr="00176D46">
        <w:rPr>
          <w:rFonts w:eastAsia="Times New Roman"/>
          <w:b w:val="0"/>
          <w:sz w:val="20"/>
          <w:szCs w:val="20"/>
          <w:lang w:val="en-GB"/>
        </w:rPr>
        <w:t xml:space="preserve"> This paper provides overview of the </w:t>
      </w:r>
      <w:r w:rsidR="00230849" w:rsidRPr="00176D46">
        <w:rPr>
          <w:rFonts w:eastAsia="Times New Roman"/>
          <w:b w:val="0"/>
          <w:sz w:val="20"/>
          <w:szCs w:val="20"/>
          <w:lang w:val="en-GB"/>
        </w:rPr>
        <w:t xml:space="preserve">stand-alone </w:t>
      </w:r>
      <w:r w:rsidR="00771338" w:rsidRPr="00176D46">
        <w:rPr>
          <w:rFonts w:eastAsia="Times New Roman"/>
          <w:b w:val="0"/>
          <w:sz w:val="20"/>
          <w:szCs w:val="20"/>
          <w:lang w:val="en-GB"/>
        </w:rPr>
        <w:t xml:space="preserve">model development and </w:t>
      </w:r>
      <w:r w:rsidR="00230849" w:rsidRPr="00176D46">
        <w:rPr>
          <w:rFonts w:eastAsia="Times New Roman"/>
          <w:b w:val="0"/>
          <w:sz w:val="20"/>
          <w:szCs w:val="20"/>
          <w:lang w:val="en-GB"/>
        </w:rPr>
        <w:t xml:space="preserve">describes some insights gained from the analysis. </w:t>
      </w:r>
    </w:p>
    <w:p w14:paraId="69BF0067" w14:textId="77777777" w:rsidR="00B31E23" w:rsidRPr="003B0446" w:rsidRDefault="00602973" w:rsidP="00176D46">
      <w:pPr>
        <w:pStyle w:val="Heading3"/>
        <w:widowControl w:val="0"/>
        <w:spacing w:before="100" w:beforeAutospacing="1" w:after="100" w:afterAutospacing="1" w:line="280" w:lineRule="atLeast"/>
        <w:ind w:left="360"/>
        <w:rPr>
          <w:b w:val="0"/>
          <w:sz w:val="20"/>
          <w:lang w:val="en-US"/>
        </w:rPr>
      </w:pPr>
      <w:r w:rsidRPr="003B0446">
        <w:rPr>
          <w:b w:val="0"/>
          <w:sz w:val="20"/>
          <w:lang w:val="en-US"/>
        </w:rPr>
        <w:t>ENHANCEMENTS TO THE ESA TOOL SINCE 2015</w:t>
      </w:r>
    </w:p>
    <w:p w14:paraId="5F7F6CC5" w14:textId="640674F3" w:rsidR="0069118D" w:rsidRPr="00176D46" w:rsidRDefault="001D6B8E"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w:t>
      </w:r>
      <w:r w:rsidR="00B171BA" w:rsidRPr="00176D46">
        <w:rPr>
          <w:rFonts w:eastAsia="Times New Roman"/>
          <w:b w:val="0"/>
          <w:sz w:val="20"/>
          <w:szCs w:val="20"/>
          <w:lang w:val="en-GB"/>
        </w:rPr>
        <w:t xml:space="preserve">ESA </w:t>
      </w:r>
      <w:r w:rsidRPr="00176D46">
        <w:rPr>
          <w:rFonts w:eastAsia="Times New Roman"/>
          <w:b w:val="0"/>
          <w:sz w:val="20"/>
          <w:szCs w:val="20"/>
          <w:lang w:val="en-GB"/>
        </w:rPr>
        <w:t>model has completed several iterations since the initial development efforts were described in</w:t>
      </w:r>
      <w:r w:rsidR="001D131A">
        <w:rPr>
          <w:rFonts w:eastAsia="Times New Roman"/>
          <w:b w:val="0"/>
          <w:sz w:val="20"/>
          <w:szCs w:val="20"/>
          <w:lang w:val="en-GB"/>
        </w:rPr>
        <w:t xml:space="preserve"> the</w:t>
      </w:r>
      <w:r w:rsidRPr="00176D46">
        <w:rPr>
          <w:rFonts w:eastAsia="Times New Roman"/>
          <w:b w:val="0"/>
          <w:sz w:val="20"/>
          <w:szCs w:val="20"/>
          <w:lang w:val="en-GB"/>
        </w:rPr>
        <w:t xml:space="preserve"> 2015</w:t>
      </w:r>
      <w:r w:rsidR="0022288B" w:rsidRPr="00176D46">
        <w:rPr>
          <w:rFonts w:eastAsia="Times New Roman"/>
          <w:b w:val="0"/>
          <w:sz w:val="20"/>
          <w:szCs w:val="20"/>
          <w:lang w:val="en-GB"/>
        </w:rPr>
        <w:t xml:space="preserve"> paper</w:t>
      </w:r>
      <w:r w:rsidRPr="00176D46">
        <w:rPr>
          <w:rFonts w:eastAsia="Times New Roman"/>
          <w:b w:val="0"/>
          <w:sz w:val="20"/>
          <w:szCs w:val="20"/>
          <w:lang w:val="en-GB"/>
        </w:rPr>
        <w:t xml:space="preserve"> [1]. </w:t>
      </w:r>
    </w:p>
    <w:p w14:paraId="3F6CC858" w14:textId="11E3AC7A" w:rsidR="00B171BA" w:rsidRDefault="00B171BA"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ESA capability provides information regarding how alternative implementation strategies perform in meeting program objectives. The ESA tool helps to answer the types of questions that are typically asked related to the implementation of an integrated waste management system, including:</w:t>
      </w:r>
    </w:p>
    <w:p w14:paraId="665C843B" w14:textId="77777777" w:rsidR="00043D77" w:rsidRPr="00176D46" w:rsidRDefault="00043D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4B4E9FCA" w14:textId="77777777" w:rsidR="00B171BA" w:rsidRPr="00176D46" w:rsidRDefault="00B171BA" w:rsidP="00176D46">
      <w:pPr>
        <w:pStyle w:val="ListEmdash"/>
        <w:numPr>
          <w:ilvl w:val="0"/>
          <w:numId w:val="23"/>
        </w:numPr>
        <w:ind w:left="709"/>
      </w:pPr>
      <w:r w:rsidRPr="00176D46">
        <w:t>What are the implementation approaches to meet the program goals?</w:t>
      </w:r>
    </w:p>
    <w:p w14:paraId="2254E9F1" w14:textId="77777777" w:rsidR="00B171BA" w:rsidRPr="00176D46" w:rsidRDefault="00B171BA" w:rsidP="00176D46">
      <w:pPr>
        <w:pStyle w:val="ListEmdash"/>
        <w:numPr>
          <w:ilvl w:val="0"/>
          <w:numId w:val="23"/>
        </w:numPr>
        <w:ind w:left="709"/>
      </w:pPr>
      <w:r w:rsidRPr="00176D46">
        <w:t>What are the critical path milestones and activities?</w:t>
      </w:r>
    </w:p>
    <w:p w14:paraId="2E9F890F" w14:textId="77777777" w:rsidR="00B171BA" w:rsidRPr="00176D46" w:rsidRDefault="00B171BA" w:rsidP="00176D46">
      <w:pPr>
        <w:pStyle w:val="ListEmdash"/>
        <w:numPr>
          <w:ilvl w:val="0"/>
          <w:numId w:val="23"/>
        </w:numPr>
        <w:ind w:left="709"/>
      </w:pPr>
      <w:r w:rsidRPr="00176D46">
        <w:t>What are the interdependencies across program elements?</w:t>
      </w:r>
    </w:p>
    <w:p w14:paraId="3959DB5E" w14:textId="77777777" w:rsidR="00B171BA" w:rsidRPr="00176D46" w:rsidRDefault="00B171BA" w:rsidP="00176D46">
      <w:pPr>
        <w:pStyle w:val="ListEmdash"/>
        <w:numPr>
          <w:ilvl w:val="0"/>
          <w:numId w:val="23"/>
        </w:numPr>
        <w:ind w:left="709"/>
      </w:pPr>
      <w:r w:rsidRPr="00176D46">
        <w:t>What are the key program risks and potential mitigation strategies?</w:t>
      </w:r>
    </w:p>
    <w:p w14:paraId="47417399" w14:textId="77777777" w:rsidR="00B171BA" w:rsidRPr="00176D46" w:rsidRDefault="00B171BA" w:rsidP="00176D46">
      <w:pPr>
        <w:pStyle w:val="ListEmdash"/>
        <w:numPr>
          <w:ilvl w:val="0"/>
          <w:numId w:val="23"/>
        </w:numPr>
        <w:ind w:left="709"/>
      </w:pPr>
      <w:r w:rsidRPr="00176D46">
        <w:t>What are the impacts of various policies and potential legislation?</w:t>
      </w:r>
    </w:p>
    <w:p w14:paraId="34FC953E" w14:textId="77777777" w:rsidR="00B171BA" w:rsidRPr="00176D46" w:rsidRDefault="00B171BA" w:rsidP="00176D46">
      <w:pPr>
        <w:pStyle w:val="ListEmdash"/>
        <w:numPr>
          <w:ilvl w:val="0"/>
          <w:numId w:val="23"/>
        </w:numPr>
        <w:ind w:left="709"/>
      </w:pPr>
      <w:r w:rsidRPr="00176D46">
        <w:t>What are the long lead-time activities that must be started now?</w:t>
      </w:r>
    </w:p>
    <w:p w14:paraId="58F62B23" w14:textId="77777777" w:rsidR="00B171BA" w:rsidRPr="00176D46" w:rsidRDefault="00B171BA" w:rsidP="00176D46">
      <w:pPr>
        <w:pStyle w:val="ListEmdash"/>
        <w:numPr>
          <w:ilvl w:val="0"/>
          <w:numId w:val="23"/>
        </w:numPr>
        <w:ind w:left="709"/>
      </w:pPr>
      <w:r w:rsidRPr="00176D46">
        <w:t>What near-term activities could be started to provide schedule benefits and reduce risks?</w:t>
      </w:r>
    </w:p>
    <w:p w14:paraId="19F922DB" w14:textId="77777777" w:rsidR="00B171BA" w:rsidRPr="00176D46" w:rsidRDefault="00B171BA"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367CBD59" w14:textId="4B3CC908" w:rsidR="001D6B8E" w:rsidRDefault="001D6B8E"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ESA process and tool are being used to:</w:t>
      </w:r>
    </w:p>
    <w:p w14:paraId="75F91A49" w14:textId="77777777" w:rsidR="00043D77" w:rsidRPr="00176D46" w:rsidRDefault="00043D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6A78DBDE" w14:textId="77777777" w:rsidR="0093102C" w:rsidRPr="00176D46" w:rsidRDefault="001D6B8E" w:rsidP="00176D46">
      <w:pPr>
        <w:pStyle w:val="ListEmdash"/>
        <w:numPr>
          <w:ilvl w:val="0"/>
          <w:numId w:val="23"/>
        </w:numPr>
        <w:ind w:left="709"/>
      </w:pPr>
      <w:r w:rsidRPr="00176D46">
        <w:t>Characterize the sequence of activities and milestones that must be accomplished in order to arrive at the intended end states characterized by analyses of infrastructure and logistics requirements</w:t>
      </w:r>
      <w:r w:rsidR="00A83D22" w:rsidRPr="00176D46">
        <w:t>;</w:t>
      </w:r>
      <w:r w:rsidRPr="00176D46">
        <w:t xml:space="preserve"> </w:t>
      </w:r>
    </w:p>
    <w:p w14:paraId="3997BA00" w14:textId="77777777" w:rsidR="0093102C" w:rsidRPr="00176D46" w:rsidRDefault="001D6B8E" w:rsidP="00176D46">
      <w:pPr>
        <w:pStyle w:val="ListEmdash"/>
        <w:numPr>
          <w:ilvl w:val="0"/>
          <w:numId w:val="23"/>
        </w:numPr>
        <w:ind w:left="709"/>
      </w:pPr>
      <w:r w:rsidRPr="00176D46">
        <w:t>Quantify the uncertainty in achieving milestones and thus the uncertainty in achieving system end states</w:t>
      </w:r>
      <w:r w:rsidR="00A83D22" w:rsidRPr="00176D46">
        <w:t>;</w:t>
      </w:r>
      <w:r w:rsidRPr="00176D46">
        <w:t xml:space="preserve"> </w:t>
      </w:r>
    </w:p>
    <w:p w14:paraId="0CC7707D" w14:textId="77777777" w:rsidR="0093102C" w:rsidRPr="00176D46" w:rsidRDefault="001D6B8E" w:rsidP="00176D46">
      <w:pPr>
        <w:pStyle w:val="ListEmdash"/>
        <w:numPr>
          <w:ilvl w:val="0"/>
          <w:numId w:val="23"/>
        </w:numPr>
        <w:ind w:left="709"/>
      </w:pPr>
      <w:r w:rsidRPr="00176D46">
        <w:t>Quantify the cost and schedule impacts of these uncertainties</w:t>
      </w:r>
      <w:r w:rsidR="00A83D22" w:rsidRPr="00176D46">
        <w:t>;</w:t>
      </w:r>
      <w:r w:rsidRPr="00176D46">
        <w:t xml:space="preserve"> </w:t>
      </w:r>
    </w:p>
    <w:p w14:paraId="5A3320C2" w14:textId="77777777" w:rsidR="0093102C" w:rsidRPr="00176D46" w:rsidRDefault="001D6B8E" w:rsidP="00176D46">
      <w:pPr>
        <w:pStyle w:val="ListEmdash"/>
        <w:numPr>
          <w:ilvl w:val="0"/>
          <w:numId w:val="23"/>
        </w:numPr>
        <w:ind w:left="709"/>
      </w:pPr>
      <w:r w:rsidRPr="00176D46">
        <w:t>Evaluate risks to the successful implementation of plans</w:t>
      </w:r>
      <w:r w:rsidR="00A83D22" w:rsidRPr="00176D46">
        <w:t>;</w:t>
      </w:r>
      <w:r w:rsidRPr="00176D46">
        <w:t xml:space="preserve"> </w:t>
      </w:r>
    </w:p>
    <w:p w14:paraId="767C98E7" w14:textId="3C032FFC" w:rsidR="0093102C" w:rsidRPr="00176D46" w:rsidRDefault="001D6B8E" w:rsidP="00176D46">
      <w:pPr>
        <w:pStyle w:val="ListEmdash"/>
        <w:numPr>
          <w:ilvl w:val="0"/>
          <w:numId w:val="23"/>
        </w:numPr>
        <w:ind w:left="709"/>
      </w:pPr>
      <w:r w:rsidRPr="00176D46">
        <w:t xml:space="preserve">Identify </w:t>
      </w:r>
      <w:r w:rsidR="00944598" w:rsidRPr="00176D46">
        <w:t xml:space="preserve">potential strategies </w:t>
      </w:r>
      <w:r w:rsidRPr="00176D46">
        <w:t xml:space="preserve">to mitigate </w:t>
      </w:r>
      <w:r w:rsidR="00944598" w:rsidRPr="00176D46">
        <w:t xml:space="preserve">identified </w:t>
      </w:r>
      <w:r w:rsidRPr="00176D46">
        <w:t>risk</w:t>
      </w:r>
      <w:r w:rsidR="00944598" w:rsidRPr="00176D46">
        <w:t>s</w:t>
      </w:r>
      <w:r w:rsidR="009D71BB" w:rsidRPr="00176D46">
        <w:t>.</w:t>
      </w:r>
    </w:p>
    <w:p w14:paraId="6154B1E2" w14:textId="77777777" w:rsidR="00BC0C6E" w:rsidRPr="00176D46" w:rsidRDefault="00BC0C6E" w:rsidP="00176D46">
      <w:pPr>
        <w:pStyle w:val="BodyText"/>
        <w:suppressAutoHyphens w:val="0"/>
        <w:overflowPunct/>
        <w:autoSpaceDE/>
        <w:autoSpaceDN/>
        <w:adjustRightInd/>
        <w:spacing w:after="0" w:line="260" w:lineRule="atLeast"/>
        <w:ind w:left="1287"/>
        <w:contextualSpacing/>
        <w:jc w:val="both"/>
        <w:textAlignment w:val="auto"/>
        <w:rPr>
          <w:rFonts w:eastAsia="Times New Roman"/>
          <w:b w:val="0"/>
          <w:sz w:val="20"/>
          <w:szCs w:val="20"/>
          <w:lang w:val="en-GB"/>
        </w:rPr>
      </w:pPr>
    </w:p>
    <w:p w14:paraId="2502BB5F" w14:textId="59BBD96A" w:rsidR="001D6B8E" w:rsidRPr="00176D46" w:rsidRDefault="001D6B8E"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There are likely to be multiple </w:t>
      </w:r>
      <w:r w:rsidR="00185BC0">
        <w:rPr>
          <w:rFonts w:eastAsia="Times New Roman"/>
          <w:b w:val="0"/>
          <w:sz w:val="20"/>
          <w:szCs w:val="20"/>
          <w:lang w:val="en-GB"/>
        </w:rPr>
        <w:t xml:space="preserve">possible </w:t>
      </w:r>
      <w:r w:rsidR="003B5F30">
        <w:rPr>
          <w:rFonts w:eastAsia="Times New Roman"/>
          <w:b w:val="0"/>
          <w:sz w:val="20"/>
          <w:szCs w:val="20"/>
          <w:lang w:val="en-GB"/>
        </w:rPr>
        <w:t>approaches</w:t>
      </w:r>
      <w:r w:rsidRPr="00176D46">
        <w:rPr>
          <w:rFonts w:eastAsia="Times New Roman"/>
          <w:b w:val="0"/>
          <w:sz w:val="20"/>
          <w:szCs w:val="20"/>
          <w:lang w:val="en-GB"/>
        </w:rPr>
        <w:t xml:space="preserve"> </w:t>
      </w:r>
      <w:r w:rsidR="00185BC0">
        <w:rPr>
          <w:rFonts w:eastAsia="Times New Roman"/>
          <w:b w:val="0"/>
          <w:sz w:val="20"/>
          <w:szCs w:val="20"/>
          <w:lang w:val="en-GB"/>
        </w:rPr>
        <w:t>for</w:t>
      </w:r>
      <w:r w:rsidRPr="00176D46">
        <w:rPr>
          <w:rFonts w:eastAsia="Times New Roman"/>
          <w:b w:val="0"/>
          <w:sz w:val="20"/>
          <w:szCs w:val="20"/>
          <w:lang w:val="en-GB"/>
        </w:rPr>
        <w:t xml:space="preserve"> meet</w:t>
      </w:r>
      <w:r w:rsidR="00185BC0">
        <w:rPr>
          <w:rFonts w:eastAsia="Times New Roman"/>
          <w:b w:val="0"/>
          <w:sz w:val="20"/>
          <w:szCs w:val="20"/>
          <w:lang w:val="en-GB"/>
        </w:rPr>
        <w:t>ing</w:t>
      </w:r>
      <w:r w:rsidRPr="00176D46">
        <w:rPr>
          <w:rFonts w:eastAsia="Times New Roman"/>
          <w:b w:val="0"/>
          <w:sz w:val="20"/>
          <w:szCs w:val="20"/>
          <w:lang w:val="en-GB"/>
        </w:rPr>
        <w:t xml:space="preserve"> the goals </w:t>
      </w:r>
      <w:r w:rsidR="00185BC0">
        <w:rPr>
          <w:rFonts w:eastAsia="Times New Roman"/>
          <w:b w:val="0"/>
          <w:sz w:val="20"/>
          <w:szCs w:val="20"/>
          <w:lang w:val="en-GB"/>
        </w:rPr>
        <w:t>of</w:t>
      </w:r>
      <w:r w:rsidRPr="00176D46">
        <w:rPr>
          <w:rFonts w:eastAsia="Times New Roman"/>
          <w:b w:val="0"/>
          <w:sz w:val="20"/>
          <w:szCs w:val="20"/>
          <w:lang w:val="en-GB"/>
        </w:rPr>
        <w:t xml:space="preserve"> an integrated nuclear waste management system. ESA, in conjunction with </w:t>
      </w:r>
      <w:r w:rsidR="008B6031" w:rsidRPr="00176D46">
        <w:rPr>
          <w:rFonts w:eastAsia="Times New Roman"/>
          <w:b w:val="0"/>
          <w:sz w:val="20"/>
          <w:szCs w:val="20"/>
          <w:lang w:val="en-GB"/>
        </w:rPr>
        <w:t xml:space="preserve">other </w:t>
      </w:r>
      <w:r w:rsidR="00EC625C" w:rsidRPr="00176D46">
        <w:rPr>
          <w:rFonts w:eastAsia="Times New Roman"/>
          <w:b w:val="0"/>
          <w:sz w:val="20"/>
          <w:szCs w:val="20"/>
          <w:lang w:val="en-GB"/>
        </w:rPr>
        <w:t>IWM tools</w:t>
      </w:r>
      <w:r w:rsidR="008B6031" w:rsidRPr="00176D46">
        <w:rPr>
          <w:rFonts w:eastAsia="Times New Roman"/>
          <w:b w:val="0"/>
          <w:sz w:val="20"/>
          <w:szCs w:val="20"/>
          <w:lang w:val="en-GB"/>
        </w:rPr>
        <w:t xml:space="preserve"> (e.g.</w:t>
      </w:r>
      <w:r w:rsidR="001D131A">
        <w:rPr>
          <w:rFonts w:eastAsia="Times New Roman"/>
          <w:b w:val="0"/>
          <w:sz w:val="20"/>
          <w:szCs w:val="20"/>
          <w:lang w:val="en-GB"/>
        </w:rPr>
        <w:t>,</w:t>
      </w:r>
      <w:r w:rsidR="008B6031" w:rsidRPr="00176D46">
        <w:rPr>
          <w:rFonts w:eastAsia="Times New Roman"/>
          <w:b w:val="0"/>
          <w:sz w:val="20"/>
          <w:szCs w:val="20"/>
          <w:lang w:val="en-GB"/>
        </w:rPr>
        <w:t xml:space="preserve"> NGSAM)</w:t>
      </w:r>
      <w:r w:rsidRPr="00176D46">
        <w:rPr>
          <w:rFonts w:eastAsia="Times New Roman"/>
          <w:b w:val="0"/>
          <w:sz w:val="20"/>
          <w:szCs w:val="20"/>
          <w:lang w:val="en-GB"/>
        </w:rPr>
        <w:t xml:space="preserve">, is being used to evaluate a range of potential future </w:t>
      </w:r>
      <w:r w:rsidR="003B5F30">
        <w:rPr>
          <w:rFonts w:eastAsia="Times New Roman"/>
          <w:b w:val="0"/>
          <w:sz w:val="20"/>
          <w:szCs w:val="20"/>
          <w:lang w:val="en-GB"/>
        </w:rPr>
        <w:t>approaches</w:t>
      </w:r>
      <w:r w:rsidRPr="00176D46">
        <w:rPr>
          <w:rFonts w:eastAsia="Times New Roman"/>
          <w:b w:val="0"/>
          <w:sz w:val="20"/>
          <w:szCs w:val="20"/>
          <w:lang w:val="en-GB"/>
        </w:rPr>
        <w:t>. The scenarios and assumptions described in this report should not be viewed as defining DOE policy or a path-forward for implementation, but rather as potential approaches whose performance attributes are being evaluated to inform future decisions regarding implementation.</w:t>
      </w:r>
      <w:r w:rsidR="008B6031" w:rsidRPr="00176D46">
        <w:rPr>
          <w:rFonts w:eastAsia="Times New Roman"/>
          <w:b w:val="0"/>
          <w:sz w:val="20"/>
          <w:szCs w:val="20"/>
          <w:lang w:val="en-GB"/>
        </w:rPr>
        <w:t xml:space="preserve"> </w:t>
      </w:r>
      <w:r w:rsidR="008108DB" w:rsidRPr="008108DB">
        <w:rPr>
          <w:rFonts w:eastAsia="Times New Roman"/>
          <w:b w:val="0"/>
          <w:sz w:val="20"/>
          <w:szCs w:val="20"/>
          <w:lang w:val="en-GB"/>
        </w:rPr>
        <w:t>Results produced by the ESA model for particular scenarios are also assumption-dependent and thus may vary should the set of inputs be altered by another user.</w:t>
      </w:r>
    </w:p>
    <w:p w14:paraId="74DB0340" w14:textId="5ED96804" w:rsidR="003648B5" w:rsidRPr="00176D46" w:rsidRDefault="00EC625C"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first </w:t>
      </w:r>
      <w:r w:rsidR="00E50E0D" w:rsidRPr="00176D46">
        <w:rPr>
          <w:rFonts w:eastAsia="Times New Roman"/>
          <w:b w:val="0"/>
          <w:sz w:val="20"/>
          <w:szCs w:val="20"/>
          <w:lang w:val="en-GB"/>
        </w:rPr>
        <w:t>version of the model (</w:t>
      </w:r>
      <w:r w:rsidRPr="00176D46">
        <w:rPr>
          <w:rFonts w:eastAsia="Times New Roman"/>
          <w:b w:val="0"/>
          <w:sz w:val="20"/>
          <w:szCs w:val="20"/>
          <w:lang w:val="en-GB"/>
        </w:rPr>
        <w:t>2014</w:t>
      </w:r>
      <w:r w:rsidR="00E50E0D" w:rsidRPr="00176D46">
        <w:rPr>
          <w:rFonts w:eastAsia="Times New Roman"/>
          <w:b w:val="0"/>
          <w:sz w:val="20"/>
          <w:szCs w:val="20"/>
          <w:lang w:val="en-GB"/>
        </w:rPr>
        <w:t>)</w:t>
      </w:r>
      <w:r w:rsidRPr="00176D46">
        <w:rPr>
          <w:rFonts w:eastAsia="Times New Roman"/>
          <w:b w:val="0"/>
          <w:sz w:val="20"/>
          <w:szCs w:val="20"/>
          <w:lang w:val="en-GB"/>
        </w:rPr>
        <w:t xml:space="preserve"> was a proof of concept that used a limited number of subject matter experts (SME</w:t>
      </w:r>
      <w:r w:rsidR="009D35E7" w:rsidRPr="00176D46">
        <w:rPr>
          <w:rFonts w:eastAsia="Times New Roman"/>
          <w:b w:val="0"/>
          <w:sz w:val="20"/>
          <w:szCs w:val="20"/>
          <w:lang w:val="en-GB"/>
        </w:rPr>
        <w:t>s</w:t>
      </w:r>
      <w:r w:rsidRPr="00176D46">
        <w:rPr>
          <w:rFonts w:eastAsia="Times New Roman"/>
          <w:b w:val="0"/>
          <w:sz w:val="20"/>
          <w:szCs w:val="20"/>
          <w:lang w:val="en-GB"/>
        </w:rPr>
        <w:t xml:space="preserve">) focused </w:t>
      </w:r>
      <w:r w:rsidR="009D35E7" w:rsidRPr="00176D46">
        <w:rPr>
          <w:rFonts w:eastAsia="Times New Roman"/>
          <w:b w:val="0"/>
          <w:sz w:val="20"/>
          <w:szCs w:val="20"/>
          <w:lang w:val="en-GB"/>
        </w:rPr>
        <w:t xml:space="preserve">on </w:t>
      </w:r>
      <w:r w:rsidRPr="00176D46">
        <w:rPr>
          <w:rFonts w:eastAsia="Times New Roman"/>
          <w:b w:val="0"/>
          <w:sz w:val="20"/>
          <w:szCs w:val="20"/>
          <w:lang w:val="en-GB"/>
        </w:rPr>
        <w:t>questions related to how a consolidated interim storage facility</w:t>
      </w:r>
      <w:r w:rsidR="0069118D" w:rsidRPr="00176D46">
        <w:rPr>
          <w:rFonts w:eastAsia="Times New Roman"/>
          <w:b w:val="0"/>
          <w:sz w:val="20"/>
          <w:szCs w:val="20"/>
          <w:lang w:val="en-GB"/>
        </w:rPr>
        <w:t xml:space="preserve"> (</w:t>
      </w:r>
      <w:r w:rsidR="00E50E0D" w:rsidRPr="00176D46">
        <w:rPr>
          <w:rFonts w:eastAsia="Times New Roman"/>
          <w:b w:val="0"/>
          <w:sz w:val="20"/>
          <w:szCs w:val="20"/>
          <w:lang w:val="en-GB"/>
        </w:rPr>
        <w:t>C</w:t>
      </w:r>
      <w:r w:rsidR="0069118D" w:rsidRPr="00176D46">
        <w:rPr>
          <w:rFonts w:eastAsia="Times New Roman"/>
          <w:b w:val="0"/>
          <w:sz w:val="20"/>
          <w:szCs w:val="20"/>
          <w:lang w:val="en-GB"/>
        </w:rPr>
        <w:t>ISF)</w:t>
      </w:r>
      <w:r w:rsidRPr="00176D46">
        <w:rPr>
          <w:rFonts w:eastAsia="Times New Roman"/>
          <w:b w:val="0"/>
          <w:sz w:val="20"/>
          <w:szCs w:val="20"/>
          <w:lang w:val="en-GB"/>
        </w:rPr>
        <w:t xml:space="preserve"> strategy might unfold.</w:t>
      </w:r>
      <w:r w:rsidR="0069118D" w:rsidRPr="00176D46">
        <w:rPr>
          <w:rFonts w:eastAsia="Times New Roman"/>
          <w:b w:val="0"/>
          <w:sz w:val="20"/>
          <w:szCs w:val="20"/>
          <w:lang w:val="en-GB"/>
        </w:rPr>
        <w:t xml:space="preserve"> </w:t>
      </w:r>
      <w:r w:rsidR="009D35E7" w:rsidRPr="00176D46">
        <w:rPr>
          <w:rFonts w:eastAsia="Times New Roman"/>
          <w:b w:val="0"/>
          <w:sz w:val="20"/>
          <w:szCs w:val="20"/>
          <w:lang w:val="en-GB"/>
        </w:rPr>
        <w:t>I</w:t>
      </w:r>
      <w:r w:rsidR="0069118D" w:rsidRPr="00176D46">
        <w:rPr>
          <w:rFonts w:eastAsia="Times New Roman"/>
          <w:b w:val="0"/>
          <w:sz w:val="20"/>
          <w:szCs w:val="20"/>
          <w:lang w:val="en-GB"/>
        </w:rPr>
        <w:t>n 2015 a larger group of SMEs, including</w:t>
      </w:r>
      <w:r w:rsidR="009D35E7" w:rsidRPr="00176D46">
        <w:rPr>
          <w:rFonts w:eastAsia="Times New Roman"/>
          <w:b w:val="0"/>
          <w:sz w:val="20"/>
          <w:szCs w:val="20"/>
          <w:lang w:val="en-GB"/>
        </w:rPr>
        <w:t xml:space="preserve"> representatives</w:t>
      </w:r>
      <w:r w:rsidR="0069118D" w:rsidRPr="00176D46">
        <w:rPr>
          <w:rFonts w:eastAsia="Times New Roman"/>
          <w:b w:val="0"/>
          <w:sz w:val="20"/>
          <w:szCs w:val="20"/>
          <w:lang w:val="en-GB"/>
        </w:rPr>
        <w:t xml:space="preserve"> from the nuclear industry, </w:t>
      </w:r>
      <w:r w:rsidR="009D35E7" w:rsidRPr="00176D46">
        <w:rPr>
          <w:rFonts w:eastAsia="Times New Roman"/>
          <w:b w:val="0"/>
          <w:sz w:val="20"/>
          <w:szCs w:val="20"/>
          <w:lang w:val="en-GB"/>
        </w:rPr>
        <w:t xml:space="preserve">was involved </w:t>
      </w:r>
      <w:r w:rsidR="0069118D" w:rsidRPr="00176D46">
        <w:rPr>
          <w:rFonts w:eastAsia="Times New Roman"/>
          <w:b w:val="0"/>
          <w:sz w:val="20"/>
          <w:szCs w:val="20"/>
          <w:lang w:val="en-GB"/>
        </w:rPr>
        <w:t xml:space="preserve">to </w:t>
      </w:r>
      <w:r w:rsidR="00E50E0D" w:rsidRPr="00176D46">
        <w:rPr>
          <w:rFonts w:eastAsia="Times New Roman"/>
          <w:b w:val="0"/>
          <w:sz w:val="20"/>
          <w:szCs w:val="20"/>
          <w:lang w:val="en-GB"/>
        </w:rPr>
        <w:t xml:space="preserve">improve </w:t>
      </w:r>
      <w:r w:rsidR="00DD00FD" w:rsidRPr="00176D46">
        <w:rPr>
          <w:rFonts w:eastAsia="Times New Roman"/>
          <w:b w:val="0"/>
          <w:sz w:val="20"/>
          <w:szCs w:val="20"/>
          <w:lang w:val="en-GB"/>
        </w:rPr>
        <w:t xml:space="preserve">the </w:t>
      </w:r>
      <w:r w:rsidR="00E50E0D" w:rsidRPr="00176D46">
        <w:rPr>
          <w:rFonts w:eastAsia="Times New Roman"/>
          <w:b w:val="0"/>
          <w:sz w:val="20"/>
          <w:szCs w:val="20"/>
          <w:lang w:val="en-GB"/>
        </w:rPr>
        <w:t xml:space="preserve">fidelity of </w:t>
      </w:r>
      <w:r w:rsidR="0069118D" w:rsidRPr="00176D46">
        <w:rPr>
          <w:rFonts w:eastAsia="Times New Roman"/>
          <w:b w:val="0"/>
          <w:sz w:val="20"/>
          <w:szCs w:val="20"/>
          <w:lang w:val="en-GB"/>
        </w:rPr>
        <w:t xml:space="preserve">the model’s data inputs and risks. In 2016 the ESA team focused on risk mitigation strategies that could improve overall project performance while also taking into account the potential for constrained funding scenarios. </w:t>
      </w:r>
    </w:p>
    <w:p w14:paraId="79319DBF" w14:textId="053D6C92" w:rsidR="001D6B8E" w:rsidRPr="00176D46" w:rsidRDefault="003648B5"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lastRenderedPageBreak/>
        <w:t xml:space="preserve">In 2017, the ESA team </w:t>
      </w:r>
      <w:r w:rsidR="00BE7361" w:rsidRPr="00176D46">
        <w:rPr>
          <w:rFonts w:eastAsia="Times New Roman"/>
          <w:b w:val="0"/>
          <w:sz w:val="20"/>
          <w:szCs w:val="20"/>
          <w:lang w:val="en-GB"/>
        </w:rPr>
        <w:t xml:space="preserve">worked </w:t>
      </w:r>
      <w:r w:rsidRPr="00176D46">
        <w:rPr>
          <w:rFonts w:eastAsia="Times New Roman"/>
          <w:b w:val="0"/>
          <w:sz w:val="20"/>
          <w:szCs w:val="20"/>
          <w:lang w:val="en-GB"/>
        </w:rPr>
        <w:t xml:space="preserve">with transportation SMEs to improve the model’s fidelity </w:t>
      </w:r>
      <w:r w:rsidR="00A46398" w:rsidRPr="00176D46">
        <w:rPr>
          <w:rFonts w:eastAsia="Times New Roman"/>
          <w:b w:val="0"/>
          <w:sz w:val="20"/>
          <w:szCs w:val="20"/>
          <w:lang w:val="en-GB"/>
        </w:rPr>
        <w:t xml:space="preserve">and </w:t>
      </w:r>
      <w:r w:rsidRPr="00176D46">
        <w:rPr>
          <w:rFonts w:eastAsia="Times New Roman"/>
          <w:b w:val="0"/>
          <w:sz w:val="20"/>
          <w:szCs w:val="20"/>
          <w:lang w:val="en-GB"/>
        </w:rPr>
        <w:t>examine</w:t>
      </w:r>
      <w:r w:rsidR="00A46398" w:rsidRPr="00176D46">
        <w:rPr>
          <w:rFonts w:eastAsia="Times New Roman"/>
          <w:b w:val="0"/>
          <w:sz w:val="20"/>
          <w:szCs w:val="20"/>
          <w:lang w:val="en-GB"/>
        </w:rPr>
        <w:t xml:space="preserve"> alternatives for</w:t>
      </w:r>
      <w:r w:rsidRPr="00176D46">
        <w:rPr>
          <w:rFonts w:eastAsia="Times New Roman"/>
          <w:b w:val="0"/>
          <w:sz w:val="20"/>
          <w:szCs w:val="20"/>
          <w:lang w:val="en-GB"/>
        </w:rPr>
        <w:t xml:space="preserve"> accelerat</w:t>
      </w:r>
      <w:r w:rsidR="00A46398" w:rsidRPr="00176D46">
        <w:rPr>
          <w:rFonts w:eastAsia="Times New Roman"/>
          <w:b w:val="0"/>
          <w:sz w:val="20"/>
          <w:szCs w:val="20"/>
          <w:lang w:val="en-GB"/>
        </w:rPr>
        <w:t>ing</w:t>
      </w:r>
      <w:r w:rsidRPr="00176D46">
        <w:rPr>
          <w:rFonts w:eastAsia="Times New Roman"/>
          <w:b w:val="0"/>
          <w:sz w:val="20"/>
          <w:szCs w:val="20"/>
          <w:lang w:val="en-GB"/>
        </w:rPr>
        <w:t xml:space="preserve"> the development of the transportation system</w:t>
      </w:r>
      <w:r w:rsidR="00A46398" w:rsidRPr="00176D46">
        <w:rPr>
          <w:rFonts w:eastAsia="Times New Roman"/>
          <w:b w:val="0"/>
          <w:sz w:val="20"/>
          <w:szCs w:val="20"/>
          <w:lang w:val="en-GB"/>
        </w:rPr>
        <w:t>.</w:t>
      </w:r>
      <w:r w:rsidRPr="00176D46">
        <w:rPr>
          <w:rFonts w:eastAsia="Times New Roman"/>
          <w:b w:val="0"/>
          <w:sz w:val="20"/>
          <w:szCs w:val="20"/>
          <w:lang w:val="en-GB"/>
        </w:rPr>
        <w:t xml:space="preserve"> </w:t>
      </w:r>
      <w:r w:rsidR="00256EEB" w:rsidRPr="00176D46">
        <w:rPr>
          <w:rFonts w:eastAsia="Times New Roman"/>
          <w:b w:val="0"/>
          <w:sz w:val="20"/>
          <w:szCs w:val="20"/>
          <w:lang w:val="en-GB"/>
        </w:rPr>
        <w:t>T</w:t>
      </w:r>
      <w:r w:rsidRPr="00176D46">
        <w:rPr>
          <w:rFonts w:eastAsia="Times New Roman"/>
          <w:b w:val="0"/>
          <w:sz w:val="20"/>
          <w:szCs w:val="20"/>
          <w:lang w:val="en-GB"/>
        </w:rPr>
        <w:t>his effort</w:t>
      </w:r>
      <w:r w:rsidR="00256EEB" w:rsidRPr="00176D46">
        <w:rPr>
          <w:rFonts w:eastAsia="Times New Roman"/>
          <w:b w:val="0"/>
          <w:sz w:val="20"/>
          <w:szCs w:val="20"/>
          <w:lang w:val="en-GB"/>
        </w:rPr>
        <w:t xml:space="preserve"> </w:t>
      </w:r>
      <w:r w:rsidR="00836F26" w:rsidRPr="00176D46">
        <w:rPr>
          <w:rFonts w:eastAsia="Times New Roman"/>
          <w:b w:val="0"/>
          <w:sz w:val="20"/>
          <w:szCs w:val="20"/>
          <w:lang w:val="en-GB"/>
        </w:rPr>
        <w:t>demonstrated that</w:t>
      </w:r>
      <w:r w:rsidR="00C93B74" w:rsidRPr="00176D46">
        <w:rPr>
          <w:rFonts w:eastAsia="Times New Roman"/>
          <w:b w:val="0"/>
          <w:sz w:val="20"/>
          <w:szCs w:val="20"/>
          <w:lang w:val="en-GB"/>
        </w:rPr>
        <w:t xml:space="preserve"> it is necessary to </w:t>
      </w:r>
      <w:r w:rsidR="00FD2E47" w:rsidRPr="00176D46">
        <w:rPr>
          <w:rFonts w:eastAsia="Times New Roman"/>
          <w:b w:val="0"/>
          <w:sz w:val="20"/>
          <w:szCs w:val="20"/>
          <w:lang w:val="en-GB"/>
        </w:rPr>
        <w:t xml:space="preserve">better </w:t>
      </w:r>
      <w:r w:rsidR="00C93B74" w:rsidRPr="00176D46">
        <w:rPr>
          <w:rFonts w:eastAsia="Times New Roman"/>
          <w:b w:val="0"/>
          <w:sz w:val="20"/>
          <w:szCs w:val="20"/>
          <w:lang w:val="en-GB"/>
        </w:rPr>
        <w:t>understand</w:t>
      </w:r>
      <w:r w:rsidR="00E563DA" w:rsidRPr="00176D46">
        <w:rPr>
          <w:rFonts w:eastAsia="Times New Roman"/>
          <w:b w:val="0"/>
          <w:sz w:val="20"/>
          <w:szCs w:val="20"/>
          <w:lang w:val="en-GB"/>
        </w:rPr>
        <w:t xml:space="preserve"> </w:t>
      </w:r>
      <w:r w:rsidR="00510E1A" w:rsidRPr="00176D46">
        <w:rPr>
          <w:rFonts w:eastAsia="Times New Roman"/>
          <w:b w:val="0"/>
          <w:sz w:val="20"/>
          <w:szCs w:val="20"/>
          <w:lang w:val="en-GB"/>
        </w:rPr>
        <w:t xml:space="preserve">what </w:t>
      </w:r>
      <w:r w:rsidR="00E50E0D" w:rsidRPr="00176D46">
        <w:rPr>
          <w:rFonts w:eastAsia="Times New Roman"/>
          <w:b w:val="0"/>
          <w:sz w:val="20"/>
          <w:szCs w:val="20"/>
          <w:lang w:val="en-GB"/>
        </w:rPr>
        <w:t xml:space="preserve">is </w:t>
      </w:r>
      <w:r w:rsidR="00E563DA" w:rsidRPr="00176D46">
        <w:rPr>
          <w:rFonts w:eastAsia="Times New Roman"/>
          <w:b w:val="0"/>
          <w:sz w:val="20"/>
          <w:szCs w:val="20"/>
          <w:lang w:val="en-GB"/>
        </w:rPr>
        <w:t xml:space="preserve">needed </w:t>
      </w:r>
      <w:r w:rsidR="00E50E0D" w:rsidRPr="00176D46">
        <w:rPr>
          <w:rFonts w:eastAsia="Times New Roman"/>
          <w:b w:val="0"/>
          <w:sz w:val="20"/>
          <w:szCs w:val="20"/>
          <w:lang w:val="en-GB"/>
        </w:rPr>
        <w:t xml:space="preserve">to be done to </w:t>
      </w:r>
      <w:r w:rsidRPr="00176D46">
        <w:rPr>
          <w:rFonts w:eastAsia="Times New Roman"/>
          <w:b w:val="0"/>
          <w:sz w:val="20"/>
          <w:szCs w:val="20"/>
          <w:lang w:val="en-GB"/>
        </w:rPr>
        <w:t>prepare for transportation of SNF and HLW</w:t>
      </w:r>
      <w:r w:rsidR="00E50E0D" w:rsidRPr="00176D46">
        <w:rPr>
          <w:rFonts w:eastAsia="Times New Roman"/>
          <w:b w:val="0"/>
          <w:sz w:val="20"/>
          <w:szCs w:val="20"/>
          <w:lang w:val="en-GB"/>
        </w:rPr>
        <w:t xml:space="preserve"> from commercial origin sites</w:t>
      </w:r>
      <w:r w:rsidR="00060750" w:rsidRPr="00176D46">
        <w:rPr>
          <w:rFonts w:eastAsia="Times New Roman"/>
          <w:b w:val="0"/>
          <w:sz w:val="20"/>
          <w:szCs w:val="20"/>
          <w:lang w:val="en-GB"/>
        </w:rPr>
        <w:t xml:space="preserve">, and to compare different </w:t>
      </w:r>
      <w:r w:rsidR="00DD00FD" w:rsidRPr="00176D46">
        <w:rPr>
          <w:rFonts w:eastAsia="Times New Roman"/>
          <w:b w:val="0"/>
          <w:sz w:val="20"/>
          <w:szCs w:val="20"/>
          <w:lang w:val="en-GB"/>
        </w:rPr>
        <w:t>options</w:t>
      </w:r>
      <w:r w:rsidR="00836F26" w:rsidRPr="00176D46">
        <w:rPr>
          <w:rFonts w:eastAsia="Times New Roman"/>
          <w:b w:val="0"/>
          <w:sz w:val="20"/>
          <w:szCs w:val="20"/>
          <w:lang w:val="en-GB"/>
        </w:rPr>
        <w:t>.</w:t>
      </w:r>
      <w:r w:rsidR="00DD00FD" w:rsidRPr="00176D46">
        <w:rPr>
          <w:rFonts w:eastAsia="Times New Roman"/>
          <w:b w:val="0"/>
          <w:sz w:val="20"/>
          <w:szCs w:val="20"/>
          <w:lang w:val="en-GB"/>
        </w:rPr>
        <w:t xml:space="preserve"> This</w:t>
      </w:r>
      <w:r w:rsidRPr="00176D46">
        <w:rPr>
          <w:rFonts w:eastAsia="Times New Roman"/>
          <w:b w:val="0"/>
          <w:sz w:val="20"/>
          <w:szCs w:val="20"/>
          <w:lang w:val="en-GB"/>
        </w:rPr>
        <w:t xml:space="preserve"> led to the </w:t>
      </w:r>
      <w:r w:rsidR="00043D77">
        <w:rPr>
          <w:rFonts w:eastAsia="Times New Roman"/>
          <w:b w:val="0"/>
          <w:sz w:val="20"/>
          <w:szCs w:val="20"/>
          <w:lang w:val="en-GB"/>
        </w:rPr>
        <w:t xml:space="preserve">successful </w:t>
      </w:r>
      <w:r w:rsidRPr="00176D46">
        <w:rPr>
          <w:rFonts w:eastAsia="Times New Roman"/>
          <w:b w:val="0"/>
          <w:sz w:val="20"/>
          <w:szCs w:val="20"/>
          <w:lang w:val="en-GB"/>
        </w:rPr>
        <w:t>development of a stand-alone Origin Sites Readiness Model</w:t>
      </w:r>
      <w:r w:rsidR="00043D77" w:rsidRPr="00176D46">
        <w:rPr>
          <w:rFonts w:eastAsia="Times New Roman"/>
          <w:b w:val="0"/>
          <w:sz w:val="20"/>
          <w:szCs w:val="20"/>
          <w:lang w:val="en-GB"/>
        </w:rPr>
        <w:t xml:space="preserve"> in 2017.</w:t>
      </w:r>
      <w:r w:rsidR="00E563DA" w:rsidRPr="00176D46">
        <w:rPr>
          <w:rFonts w:eastAsia="Times New Roman"/>
          <w:b w:val="0"/>
          <w:sz w:val="20"/>
          <w:szCs w:val="20"/>
          <w:lang w:val="en-GB"/>
        </w:rPr>
        <w:t xml:space="preserve"> </w:t>
      </w:r>
      <w:r w:rsidR="00944598" w:rsidRPr="00176D46">
        <w:rPr>
          <w:rFonts w:eastAsia="Times New Roman"/>
          <w:b w:val="0"/>
          <w:sz w:val="20"/>
          <w:szCs w:val="20"/>
          <w:lang w:val="en-GB"/>
        </w:rPr>
        <w:t>In 2018, t</w:t>
      </w:r>
      <w:r w:rsidR="009911A5" w:rsidRPr="00176D46">
        <w:rPr>
          <w:rFonts w:eastAsia="Times New Roman"/>
          <w:b w:val="0"/>
          <w:sz w:val="20"/>
          <w:szCs w:val="20"/>
          <w:lang w:val="en-GB"/>
        </w:rPr>
        <w:t>he</w:t>
      </w:r>
      <w:r w:rsidRPr="00176D46">
        <w:rPr>
          <w:rFonts w:eastAsia="Times New Roman"/>
          <w:b w:val="0"/>
          <w:sz w:val="20"/>
          <w:szCs w:val="20"/>
          <w:lang w:val="en-GB"/>
        </w:rPr>
        <w:t xml:space="preserve"> </w:t>
      </w:r>
      <w:r w:rsidR="00A9569E" w:rsidRPr="00176D46">
        <w:rPr>
          <w:rFonts w:eastAsia="Times New Roman"/>
          <w:b w:val="0"/>
          <w:sz w:val="20"/>
          <w:szCs w:val="20"/>
          <w:lang w:val="en-GB"/>
        </w:rPr>
        <w:t xml:space="preserve">main </w:t>
      </w:r>
      <w:r w:rsidRPr="00176D46">
        <w:rPr>
          <w:rFonts w:eastAsia="Times New Roman"/>
          <w:b w:val="0"/>
          <w:sz w:val="20"/>
          <w:szCs w:val="20"/>
          <w:lang w:val="en-GB"/>
        </w:rPr>
        <w:t xml:space="preserve">ESA model </w:t>
      </w:r>
      <w:r w:rsidR="00944598" w:rsidRPr="00176D46">
        <w:rPr>
          <w:rFonts w:eastAsia="Times New Roman"/>
          <w:b w:val="0"/>
          <w:sz w:val="20"/>
          <w:szCs w:val="20"/>
          <w:lang w:val="en-GB"/>
        </w:rPr>
        <w:t>was</w:t>
      </w:r>
      <w:r w:rsidR="009911A5" w:rsidRPr="00176D46">
        <w:rPr>
          <w:rFonts w:eastAsia="Times New Roman"/>
          <w:b w:val="0"/>
          <w:sz w:val="20"/>
          <w:szCs w:val="20"/>
          <w:lang w:val="en-GB"/>
        </w:rPr>
        <w:t xml:space="preserve"> streamlined </w:t>
      </w:r>
      <w:r w:rsidRPr="00176D46">
        <w:rPr>
          <w:rFonts w:eastAsia="Times New Roman"/>
          <w:b w:val="0"/>
          <w:sz w:val="20"/>
          <w:szCs w:val="20"/>
          <w:lang w:val="en-GB"/>
        </w:rPr>
        <w:t>to</w:t>
      </w:r>
      <w:r w:rsidR="0010712C" w:rsidRPr="00176D46">
        <w:rPr>
          <w:rFonts w:eastAsia="Times New Roman"/>
          <w:b w:val="0"/>
          <w:sz w:val="20"/>
          <w:szCs w:val="20"/>
          <w:lang w:val="en-GB"/>
        </w:rPr>
        <w:t xml:space="preserve"> include </w:t>
      </w:r>
      <w:r w:rsidR="00944598" w:rsidRPr="00176D46">
        <w:rPr>
          <w:rFonts w:eastAsia="Times New Roman"/>
          <w:b w:val="0"/>
          <w:sz w:val="20"/>
          <w:szCs w:val="20"/>
          <w:lang w:val="en-GB"/>
        </w:rPr>
        <w:t xml:space="preserve">an abstraction of the </w:t>
      </w:r>
      <w:r w:rsidR="0010712C" w:rsidRPr="00176D46">
        <w:rPr>
          <w:rFonts w:eastAsia="Times New Roman"/>
          <w:b w:val="0"/>
          <w:sz w:val="20"/>
          <w:szCs w:val="20"/>
          <w:lang w:val="en-GB"/>
        </w:rPr>
        <w:t>Origin Sites Readiness Model as well as generic repository options.</w:t>
      </w:r>
      <w:r w:rsidRPr="00176D46">
        <w:rPr>
          <w:rFonts w:eastAsia="Times New Roman"/>
          <w:b w:val="0"/>
          <w:sz w:val="20"/>
          <w:szCs w:val="20"/>
          <w:lang w:val="en-GB"/>
        </w:rPr>
        <w:t xml:space="preserve"> </w:t>
      </w:r>
    </w:p>
    <w:p w14:paraId="7F7DA06B" w14:textId="77777777" w:rsidR="00B31E23" w:rsidRPr="003B0446" w:rsidRDefault="00602973" w:rsidP="00176D46">
      <w:pPr>
        <w:pStyle w:val="Heading3"/>
        <w:widowControl w:val="0"/>
        <w:spacing w:before="100" w:beforeAutospacing="1" w:after="100" w:afterAutospacing="1" w:line="280" w:lineRule="atLeast"/>
        <w:ind w:left="360"/>
        <w:rPr>
          <w:rFonts w:cs="Times New Roman"/>
          <w:b w:val="0"/>
          <w:iCs/>
          <w:sz w:val="20"/>
          <w:szCs w:val="24"/>
          <w:lang w:val="en-US"/>
        </w:rPr>
      </w:pPr>
      <w:r w:rsidRPr="003B0446">
        <w:rPr>
          <w:b w:val="0"/>
          <w:sz w:val="20"/>
          <w:lang w:val="en-US"/>
        </w:rPr>
        <w:t>DEVELOPMENT OF THE ORIGIN SITES READINESS MODEL</w:t>
      </w:r>
    </w:p>
    <w:p w14:paraId="118028C7" w14:textId="4EF73B86" w:rsidR="00B31E23" w:rsidRPr="00176D46" w:rsidRDefault="000B5F46"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Initial versions of</w:t>
      </w:r>
      <w:r w:rsidR="0055461E" w:rsidRPr="00176D46">
        <w:rPr>
          <w:rFonts w:eastAsia="Times New Roman"/>
          <w:b w:val="0"/>
          <w:sz w:val="20"/>
          <w:szCs w:val="20"/>
          <w:lang w:val="en-GB"/>
        </w:rPr>
        <w:t xml:space="preserve"> the ESA model </w:t>
      </w:r>
      <w:r w:rsidR="004F19BC" w:rsidRPr="00176D46">
        <w:rPr>
          <w:rFonts w:eastAsia="Times New Roman"/>
          <w:b w:val="0"/>
          <w:sz w:val="20"/>
          <w:szCs w:val="20"/>
          <w:lang w:val="en-GB"/>
        </w:rPr>
        <w:t xml:space="preserve">supported </w:t>
      </w:r>
      <w:r w:rsidR="0055461E" w:rsidRPr="00176D46">
        <w:rPr>
          <w:rFonts w:eastAsia="Times New Roman"/>
          <w:b w:val="0"/>
          <w:sz w:val="20"/>
          <w:szCs w:val="20"/>
          <w:lang w:val="en-GB"/>
        </w:rPr>
        <w:t>analy</w:t>
      </w:r>
      <w:r w:rsidR="004F19BC" w:rsidRPr="00176D46">
        <w:rPr>
          <w:rFonts w:eastAsia="Times New Roman"/>
          <w:b w:val="0"/>
          <w:sz w:val="20"/>
          <w:szCs w:val="20"/>
          <w:lang w:val="en-GB"/>
        </w:rPr>
        <w:t>sis of</w:t>
      </w:r>
      <w:r w:rsidR="0055461E" w:rsidRPr="00176D46">
        <w:rPr>
          <w:rFonts w:eastAsia="Times New Roman"/>
          <w:b w:val="0"/>
          <w:sz w:val="20"/>
          <w:szCs w:val="20"/>
          <w:lang w:val="en-GB"/>
        </w:rPr>
        <w:t xml:space="preserve"> strategies for initiating operations at one or more </w:t>
      </w:r>
      <w:r w:rsidR="004F19BC" w:rsidRPr="00176D46">
        <w:rPr>
          <w:rFonts w:eastAsia="Times New Roman"/>
          <w:b w:val="0"/>
          <w:sz w:val="20"/>
          <w:szCs w:val="20"/>
          <w:lang w:val="en-GB"/>
        </w:rPr>
        <w:t>C</w:t>
      </w:r>
      <w:r w:rsidR="0055461E" w:rsidRPr="00176D46">
        <w:rPr>
          <w:rFonts w:eastAsia="Times New Roman"/>
          <w:b w:val="0"/>
          <w:sz w:val="20"/>
          <w:szCs w:val="20"/>
          <w:lang w:val="en-GB"/>
        </w:rPr>
        <w:t>ISFs over multiple expansion phases.</w:t>
      </w:r>
      <w:r w:rsidR="008B7A4F" w:rsidRPr="00176D46">
        <w:rPr>
          <w:rFonts w:eastAsia="Times New Roman"/>
          <w:b w:val="0"/>
          <w:sz w:val="20"/>
          <w:szCs w:val="20"/>
          <w:lang w:val="en-GB"/>
        </w:rPr>
        <w:t xml:space="preserve"> </w:t>
      </w:r>
      <w:r w:rsidR="004F19BC" w:rsidRPr="00176D46">
        <w:rPr>
          <w:rFonts w:eastAsia="Times New Roman"/>
          <w:b w:val="0"/>
          <w:sz w:val="20"/>
          <w:szCs w:val="20"/>
          <w:lang w:val="en-GB"/>
        </w:rPr>
        <w:t>The</w:t>
      </w:r>
      <w:r w:rsidR="00836F26" w:rsidRPr="00176D46">
        <w:rPr>
          <w:rFonts w:eastAsia="Times New Roman"/>
          <w:b w:val="0"/>
          <w:sz w:val="20"/>
          <w:szCs w:val="20"/>
          <w:lang w:val="en-GB"/>
        </w:rPr>
        <w:t>se</w:t>
      </w:r>
      <w:r w:rsidR="004F19BC" w:rsidRPr="00176D46">
        <w:rPr>
          <w:rFonts w:eastAsia="Times New Roman"/>
          <w:b w:val="0"/>
          <w:sz w:val="20"/>
          <w:szCs w:val="20"/>
          <w:lang w:val="en-GB"/>
        </w:rPr>
        <w:t xml:space="preserve"> early versions of the model </w:t>
      </w:r>
      <w:r w:rsidR="0085536A" w:rsidRPr="00176D46">
        <w:rPr>
          <w:rFonts w:eastAsia="Times New Roman"/>
          <w:b w:val="0"/>
          <w:sz w:val="20"/>
          <w:szCs w:val="20"/>
          <w:lang w:val="en-GB"/>
        </w:rPr>
        <w:t>included</w:t>
      </w:r>
      <w:r w:rsidR="004F19BC" w:rsidRPr="00176D46">
        <w:rPr>
          <w:rFonts w:eastAsia="Times New Roman"/>
          <w:b w:val="0"/>
          <w:sz w:val="20"/>
          <w:szCs w:val="20"/>
          <w:lang w:val="en-GB"/>
        </w:rPr>
        <w:t xml:space="preserve"> o</w:t>
      </w:r>
      <w:r w:rsidR="00510E1A" w:rsidRPr="00176D46">
        <w:rPr>
          <w:rFonts w:eastAsia="Times New Roman"/>
          <w:b w:val="0"/>
          <w:sz w:val="20"/>
          <w:szCs w:val="20"/>
          <w:lang w:val="en-GB"/>
        </w:rPr>
        <w:t>nly high-level a</w:t>
      </w:r>
      <w:r w:rsidR="008B7A4F" w:rsidRPr="00176D46">
        <w:rPr>
          <w:rFonts w:eastAsia="Times New Roman"/>
          <w:b w:val="0"/>
          <w:sz w:val="20"/>
          <w:szCs w:val="20"/>
          <w:lang w:val="en-GB"/>
        </w:rPr>
        <w:t xml:space="preserve">ctivities and risks </w:t>
      </w:r>
      <w:r w:rsidR="00510E1A" w:rsidRPr="00176D46">
        <w:rPr>
          <w:rFonts w:eastAsia="Times New Roman"/>
          <w:b w:val="0"/>
          <w:sz w:val="20"/>
          <w:szCs w:val="20"/>
          <w:lang w:val="en-GB"/>
        </w:rPr>
        <w:t xml:space="preserve">and </w:t>
      </w:r>
      <w:r w:rsidRPr="00176D46">
        <w:rPr>
          <w:rFonts w:eastAsia="Times New Roman"/>
          <w:b w:val="0"/>
          <w:sz w:val="20"/>
          <w:szCs w:val="20"/>
          <w:lang w:val="en-GB"/>
        </w:rPr>
        <w:t xml:space="preserve">specific characteristics of individual origin sites </w:t>
      </w:r>
      <w:r w:rsidR="00510E1A" w:rsidRPr="00176D46">
        <w:rPr>
          <w:rFonts w:eastAsia="Times New Roman"/>
          <w:b w:val="0"/>
          <w:sz w:val="20"/>
          <w:szCs w:val="20"/>
          <w:lang w:val="en-GB"/>
        </w:rPr>
        <w:t xml:space="preserve">and </w:t>
      </w:r>
      <w:r w:rsidR="00A9569E" w:rsidRPr="00176D46">
        <w:rPr>
          <w:rFonts w:eastAsia="Times New Roman"/>
          <w:b w:val="0"/>
          <w:sz w:val="20"/>
          <w:szCs w:val="20"/>
          <w:lang w:val="en-GB"/>
        </w:rPr>
        <w:t xml:space="preserve">transportation </w:t>
      </w:r>
      <w:r w:rsidRPr="00176D46">
        <w:rPr>
          <w:rFonts w:eastAsia="Times New Roman"/>
          <w:b w:val="0"/>
          <w:sz w:val="20"/>
          <w:szCs w:val="20"/>
          <w:lang w:val="en-GB"/>
        </w:rPr>
        <w:t>cask types</w:t>
      </w:r>
      <w:r w:rsidR="00510E1A" w:rsidRPr="00176D46">
        <w:rPr>
          <w:rFonts w:eastAsia="Times New Roman"/>
          <w:b w:val="0"/>
          <w:sz w:val="20"/>
          <w:szCs w:val="20"/>
          <w:lang w:val="en-GB"/>
        </w:rPr>
        <w:t xml:space="preserve"> were not considered</w:t>
      </w:r>
      <w:r w:rsidR="008B7A4F" w:rsidRPr="00176D46">
        <w:rPr>
          <w:rFonts w:eastAsia="Times New Roman"/>
          <w:b w:val="0"/>
          <w:sz w:val="20"/>
          <w:szCs w:val="20"/>
          <w:lang w:val="en-GB"/>
        </w:rPr>
        <w:t>.</w:t>
      </w:r>
      <w:r w:rsidR="004F19BC" w:rsidRPr="00176D46">
        <w:rPr>
          <w:rFonts w:eastAsia="Times New Roman"/>
          <w:b w:val="0"/>
          <w:sz w:val="20"/>
          <w:szCs w:val="20"/>
          <w:lang w:val="en-GB"/>
        </w:rPr>
        <w:t xml:space="preserve"> While </w:t>
      </w:r>
      <w:proofErr w:type="spellStart"/>
      <w:r w:rsidR="004F19BC" w:rsidRPr="00176D46">
        <w:rPr>
          <w:rFonts w:eastAsia="Times New Roman"/>
          <w:b w:val="0"/>
          <w:sz w:val="20"/>
          <w:szCs w:val="20"/>
          <w:lang w:val="en-GB"/>
        </w:rPr>
        <w:t>analyzing</w:t>
      </w:r>
      <w:proofErr w:type="spellEnd"/>
      <w:r w:rsidR="004F19BC" w:rsidRPr="00176D46">
        <w:rPr>
          <w:rFonts w:eastAsia="Times New Roman"/>
          <w:b w:val="0"/>
          <w:sz w:val="20"/>
          <w:szCs w:val="20"/>
          <w:lang w:val="en-GB"/>
        </w:rPr>
        <w:t xml:space="preserve"> possible strategies to accelerate the development of the transportation system and acquiring transportation hardware, it became clear that activities related to origin site readiness for transportation could potentially constitute the critical path.</w:t>
      </w:r>
    </w:p>
    <w:p w14:paraId="7CA9102A" w14:textId="7928993E" w:rsidR="008B7A4F" w:rsidRPr="00176D46" w:rsidRDefault="000B5F46"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Because of these limitations, a</w:t>
      </w:r>
      <w:r w:rsidR="008B7A4F" w:rsidRPr="00176D46">
        <w:rPr>
          <w:rFonts w:eastAsia="Times New Roman"/>
          <w:b w:val="0"/>
          <w:sz w:val="20"/>
          <w:szCs w:val="20"/>
          <w:lang w:val="en-GB"/>
        </w:rPr>
        <w:t xml:space="preserve"> stand-alone Origin Sites Readiness Model was </w:t>
      </w:r>
      <w:r w:rsidR="00DF3527" w:rsidRPr="00176D46">
        <w:rPr>
          <w:rFonts w:eastAsia="Times New Roman"/>
          <w:b w:val="0"/>
          <w:sz w:val="20"/>
          <w:szCs w:val="20"/>
          <w:lang w:val="en-GB"/>
        </w:rPr>
        <w:t>created</w:t>
      </w:r>
      <w:r w:rsidR="008B7A4F" w:rsidRPr="00176D46">
        <w:rPr>
          <w:rFonts w:eastAsia="Times New Roman"/>
          <w:b w:val="0"/>
          <w:sz w:val="20"/>
          <w:szCs w:val="20"/>
          <w:lang w:val="en-GB"/>
        </w:rPr>
        <w:t xml:space="preserve"> to enhance the ca</w:t>
      </w:r>
      <w:r w:rsidR="00DF3527" w:rsidRPr="00176D46">
        <w:rPr>
          <w:rFonts w:eastAsia="Times New Roman"/>
          <w:b w:val="0"/>
          <w:sz w:val="20"/>
          <w:szCs w:val="20"/>
          <w:lang w:val="en-GB"/>
        </w:rPr>
        <w:t>pabilities of the ESA model. This</w:t>
      </w:r>
      <w:r w:rsidR="008B7A4F" w:rsidRPr="00176D46">
        <w:rPr>
          <w:rFonts w:eastAsia="Times New Roman"/>
          <w:b w:val="0"/>
          <w:sz w:val="20"/>
          <w:szCs w:val="20"/>
          <w:lang w:val="en-GB"/>
        </w:rPr>
        <w:t xml:space="preserve"> new model was </w:t>
      </w:r>
      <w:r w:rsidR="00DF3527" w:rsidRPr="00176D46">
        <w:rPr>
          <w:rFonts w:eastAsia="Times New Roman"/>
          <w:b w:val="0"/>
          <w:sz w:val="20"/>
          <w:szCs w:val="20"/>
          <w:lang w:val="en-GB"/>
        </w:rPr>
        <w:t>developed</w:t>
      </w:r>
      <w:r w:rsidR="008B7A4F" w:rsidRPr="00176D46">
        <w:rPr>
          <w:rFonts w:eastAsia="Times New Roman"/>
          <w:b w:val="0"/>
          <w:sz w:val="20"/>
          <w:szCs w:val="20"/>
          <w:lang w:val="en-GB"/>
        </w:rPr>
        <w:t xml:space="preserve"> to represent all of the activities and milestones necessary to establish at-reactor and near-reactor transportation infrastructure</w:t>
      </w:r>
      <w:r w:rsidR="00DF3527" w:rsidRPr="00176D46">
        <w:rPr>
          <w:rFonts w:eastAsia="Times New Roman"/>
          <w:b w:val="0"/>
          <w:sz w:val="20"/>
          <w:szCs w:val="20"/>
          <w:lang w:val="en-GB"/>
        </w:rPr>
        <w:t xml:space="preserve"> </w:t>
      </w:r>
      <w:r w:rsidR="00CD3786" w:rsidRPr="00176D46">
        <w:rPr>
          <w:rFonts w:eastAsia="Times New Roman"/>
          <w:b w:val="0"/>
          <w:sz w:val="20"/>
          <w:szCs w:val="20"/>
          <w:lang w:val="en-GB"/>
        </w:rPr>
        <w:t xml:space="preserve">needed </w:t>
      </w:r>
      <w:r w:rsidR="00DF3527" w:rsidRPr="00176D46">
        <w:rPr>
          <w:rFonts w:eastAsia="Times New Roman"/>
          <w:b w:val="0"/>
          <w:sz w:val="20"/>
          <w:szCs w:val="20"/>
          <w:lang w:val="en-GB"/>
        </w:rPr>
        <w:t xml:space="preserve">to </w:t>
      </w:r>
      <w:r w:rsidRPr="00176D46">
        <w:rPr>
          <w:rFonts w:eastAsia="Times New Roman"/>
          <w:b w:val="0"/>
          <w:sz w:val="20"/>
          <w:szCs w:val="20"/>
          <w:lang w:val="en-GB"/>
        </w:rPr>
        <w:t xml:space="preserve">support </w:t>
      </w:r>
      <w:r w:rsidR="00DF3527" w:rsidRPr="00176D46">
        <w:rPr>
          <w:rFonts w:eastAsia="Times New Roman"/>
          <w:b w:val="0"/>
          <w:sz w:val="20"/>
          <w:szCs w:val="20"/>
          <w:lang w:val="en-GB"/>
        </w:rPr>
        <w:t xml:space="preserve">the </w:t>
      </w:r>
      <w:r w:rsidRPr="00176D46">
        <w:rPr>
          <w:rFonts w:eastAsia="Times New Roman"/>
          <w:b w:val="0"/>
          <w:sz w:val="20"/>
          <w:szCs w:val="20"/>
          <w:lang w:val="en-GB"/>
        </w:rPr>
        <w:t xml:space="preserve">initial </w:t>
      </w:r>
      <w:r w:rsidR="00DF3527" w:rsidRPr="00176D46">
        <w:rPr>
          <w:rFonts w:eastAsia="Times New Roman"/>
          <w:b w:val="0"/>
          <w:sz w:val="20"/>
          <w:szCs w:val="20"/>
          <w:lang w:val="en-GB"/>
        </w:rPr>
        <w:t xml:space="preserve">shipment </w:t>
      </w:r>
      <w:r w:rsidRPr="00176D46">
        <w:rPr>
          <w:rFonts w:eastAsia="Times New Roman"/>
          <w:b w:val="0"/>
          <w:sz w:val="20"/>
          <w:szCs w:val="20"/>
          <w:lang w:val="en-GB"/>
        </w:rPr>
        <w:t>of SNF to a</w:t>
      </w:r>
      <w:r w:rsidR="00043D77">
        <w:rPr>
          <w:rFonts w:eastAsia="Times New Roman"/>
          <w:b w:val="0"/>
          <w:sz w:val="20"/>
          <w:szCs w:val="20"/>
          <w:lang w:val="en-GB"/>
        </w:rPr>
        <w:t>n IWM facility</w:t>
      </w:r>
      <w:r w:rsidR="00B2210E">
        <w:rPr>
          <w:rFonts w:eastAsia="Times New Roman"/>
          <w:b w:val="0"/>
          <w:sz w:val="20"/>
          <w:szCs w:val="20"/>
          <w:lang w:val="en-GB"/>
        </w:rPr>
        <w:t xml:space="preserve"> such as a</w:t>
      </w:r>
      <w:r w:rsidR="00043D77">
        <w:rPr>
          <w:rFonts w:eastAsia="Times New Roman"/>
          <w:b w:val="0"/>
          <w:sz w:val="20"/>
          <w:szCs w:val="20"/>
          <w:lang w:val="en-GB"/>
        </w:rPr>
        <w:t xml:space="preserve"> </w:t>
      </w:r>
      <w:r w:rsidRPr="00176D46">
        <w:rPr>
          <w:rFonts w:eastAsia="Times New Roman"/>
          <w:b w:val="0"/>
          <w:sz w:val="20"/>
          <w:szCs w:val="20"/>
          <w:lang w:val="en-GB"/>
        </w:rPr>
        <w:t xml:space="preserve">repository or </w:t>
      </w:r>
      <w:r w:rsidR="00B2210E">
        <w:rPr>
          <w:rFonts w:eastAsia="Times New Roman"/>
          <w:b w:val="0"/>
          <w:sz w:val="20"/>
          <w:szCs w:val="20"/>
          <w:lang w:val="en-GB"/>
        </w:rPr>
        <w:t>a CISF</w:t>
      </w:r>
      <w:r w:rsidR="00DF3527" w:rsidRPr="00176D46">
        <w:rPr>
          <w:rFonts w:eastAsia="Times New Roman"/>
          <w:b w:val="0"/>
          <w:sz w:val="20"/>
          <w:szCs w:val="20"/>
          <w:lang w:val="en-GB"/>
        </w:rPr>
        <w:t xml:space="preserve">. </w:t>
      </w:r>
      <w:r w:rsidR="00043D77">
        <w:rPr>
          <w:rFonts w:eastAsia="Times New Roman"/>
          <w:b w:val="0"/>
          <w:sz w:val="20"/>
          <w:szCs w:val="20"/>
          <w:lang w:val="en-GB"/>
        </w:rPr>
        <w:t xml:space="preserve">The original model focused on the shutdown sites. </w:t>
      </w:r>
      <w:r w:rsidR="00DC2F2D" w:rsidRPr="00176D46">
        <w:rPr>
          <w:rFonts w:eastAsia="Times New Roman"/>
          <w:b w:val="0"/>
          <w:sz w:val="20"/>
          <w:szCs w:val="20"/>
          <w:lang w:val="en-GB"/>
        </w:rPr>
        <w:t xml:space="preserve">The team used </w:t>
      </w:r>
      <w:r w:rsidR="00CD3786" w:rsidRPr="00176D46">
        <w:rPr>
          <w:rFonts w:eastAsia="Times New Roman"/>
          <w:b w:val="0"/>
          <w:sz w:val="20"/>
          <w:szCs w:val="20"/>
          <w:lang w:val="en-GB"/>
        </w:rPr>
        <w:t>information on</w:t>
      </w:r>
      <w:r w:rsidR="00DF3527" w:rsidRPr="00176D46">
        <w:rPr>
          <w:rFonts w:eastAsia="Times New Roman"/>
          <w:b w:val="0"/>
          <w:sz w:val="20"/>
          <w:szCs w:val="20"/>
          <w:lang w:val="en-GB"/>
        </w:rPr>
        <w:t xml:space="preserve"> multiple shutdown </w:t>
      </w:r>
      <w:r w:rsidR="00CD3786" w:rsidRPr="00176D46">
        <w:rPr>
          <w:rFonts w:eastAsia="Times New Roman"/>
          <w:b w:val="0"/>
          <w:sz w:val="20"/>
          <w:szCs w:val="20"/>
          <w:lang w:val="en-GB"/>
        </w:rPr>
        <w:t xml:space="preserve">reactor </w:t>
      </w:r>
      <w:r w:rsidR="00DF3527" w:rsidRPr="00176D46">
        <w:rPr>
          <w:rFonts w:eastAsia="Times New Roman"/>
          <w:b w:val="0"/>
          <w:sz w:val="20"/>
          <w:szCs w:val="20"/>
          <w:lang w:val="en-GB"/>
        </w:rPr>
        <w:t>sites</w:t>
      </w:r>
      <w:r w:rsidR="00CD3786" w:rsidRPr="00176D46">
        <w:rPr>
          <w:rFonts w:eastAsia="Times New Roman"/>
          <w:b w:val="0"/>
          <w:sz w:val="20"/>
          <w:szCs w:val="20"/>
          <w:lang w:val="en-GB"/>
        </w:rPr>
        <w:t xml:space="preserve"> </w:t>
      </w:r>
      <w:r w:rsidR="00DC2F2D" w:rsidRPr="00176D46">
        <w:rPr>
          <w:rFonts w:eastAsia="Times New Roman"/>
          <w:b w:val="0"/>
          <w:sz w:val="20"/>
          <w:szCs w:val="20"/>
          <w:lang w:val="en-GB"/>
        </w:rPr>
        <w:t xml:space="preserve">that </w:t>
      </w:r>
      <w:r w:rsidR="00606B5B" w:rsidRPr="00176D46">
        <w:rPr>
          <w:rFonts w:eastAsia="Times New Roman"/>
          <w:b w:val="0"/>
          <w:sz w:val="20"/>
          <w:szCs w:val="20"/>
          <w:lang w:val="en-GB"/>
        </w:rPr>
        <w:t>was</w:t>
      </w:r>
      <w:r w:rsidR="00CD3786" w:rsidRPr="00176D46">
        <w:rPr>
          <w:rFonts w:eastAsia="Times New Roman"/>
          <w:b w:val="0"/>
          <w:sz w:val="20"/>
          <w:szCs w:val="20"/>
          <w:lang w:val="en-GB"/>
        </w:rPr>
        <w:t xml:space="preserve"> </w:t>
      </w:r>
      <w:r w:rsidR="00CC1B34" w:rsidRPr="00176D46">
        <w:rPr>
          <w:rFonts w:eastAsia="Times New Roman"/>
          <w:b w:val="0"/>
          <w:sz w:val="20"/>
          <w:szCs w:val="20"/>
          <w:lang w:val="en-GB"/>
        </w:rPr>
        <w:t>available to the program</w:t>
      </w:r>
      <w:r w:rsidR="00286A18" w:rsidRPr="00176D46">
        <w:rPr>
          <w:rFonts w:eastAsia="Times New Roman"/>
          <w:b w:val="0"/>
          <w:sz w:val="20"/>
          <w:szCs w:val="20"/>
          <w:lang w:val="en-GB"/>
        </w:rPr>
        <w:t xml:space="preserve"> through the sites visits</w:t>
      </w:r>
      <w:r w:rsidR="00CC1B34" w:rsidRPr="00176D46">
        <w:rPr>
          <w:rFonts w:eastAsia="Times New Roman"/>
          <w:b w:val="0"/>
          <w:sz w:val="20"/>
          <w:szCs w:val="20"/>
          <w:lang w:val="en-GB"/>
        </w:rPr>
        <w:t xml:space="preserve"> </w:t>
      </w:r>
      <w:r w:rsidR="00DC2F2D" w:rsidRPr="00176D46">
        <w:rPr>
          <w:rFonts w:eastAsia="Times New Roman"/>
          <w:b w:val="0"/>
          <w:sz w:val="20"/>
          <w:szCs w:val="20"/>
          <w:lang w:val="en-GB"/>
        </w:rPr>
        <w:t>[</w:t>
      </w:r>
      <w:r w:rsidR="008B468A" w:rsidRPr="00176D46">
        <w:rPr>
          <w:rFonts w:eastAsia="Times New Roman"/>
          <w:b w:val="0"/>
          <w:sz w:val="20"/>
          <w:szCs w:val="20"/>
          <w:lang w:val="en-GB"/>
        </w:rPr>
        <w:t>2</w:t>
      </w:r>
      <w:r w:rsidR="00DC2F2D" w:rsidRPr="00176D46">
        <w:rPr>
          <w:rFonts w:eastAsia="Times New Roman"/>
          <w:b w:val="0"/>
          <w:sz w:val="20"/>
          <w:szCs w:val="20"/>
          <w:lang w:val="en-GB"/>
        </w:rPr>
        <w:t>]</w:t>
      </w:r>
      <w:r w:rsidR="00CC1B34" w:rsidRPr="00176D46">
        <w:rPr>
          <w:rFonts w:eastAsia="Times New Roman"/>
          <w:b w:val="0"/>
          <w:sz w:val="20"/>
          <w:szCs w:val="20"/>
          <w:lang w:val="en-GB"/>
        </w:rPr>
        <w:t xml:space="preserve"> </w:t>
      </w:r>
      <w:r w:rsidR="00DC2F2D" w:rsidRPr="00176D46">
        <w:rPr>
          <w:rFonts w:eastAsia="Times New Roman"/>
          <w:b w:val="0"/>
          <w:sz w:val="20"/>
          <w:szCs w:val="20"/>
          <w:lang w:val="en-GB"/>
        </w:rPr>
        <w:t>to review</w:t>
      </w:r>
      <w:r w:rsidRPr="00176D46">
        <w:rPr>
          <w:rFonts w:eastAsia="Times New Roman"/>
          <w:b w:val="0"/>
          <w:sz w:val="20"/>
          <w:szCs w:val="20"/>
          <w:lang w:val="en-GB"/>
        </w:rPr>
        <w:t xml:space="preserve"> the characteristics of these sites and identif</w:t>
      </w:r>
      <w:r w:rsidR="00286A18" w:rsidRPr="00176D46">
        <w:rPr>
          <w:rFonts w:eastAsia="Times New Roman"/>
          <w:b w:val="0"/>
          <w:sz w:val="20"/>
          <w:szCs w:val="20"/>
          <w:lang w:val="en-GB"/>
        </w:rPr>
        <w:t>ied</w:t>
      </w:r>
      <w:r w:rsidRPr="00176D46">
        <w:rPr>
          <w:rFonts w:eastAsia="Times New Roman"/>
          <w:b w:val="0"/>
          <w:sz w:val="20"/>
          <w:szCs w:val="20"/>
          <w:lang w:val="en-GB"/>
        </w:rPr>
        <w:t xml:space="preserve"> a suite of potential transport methods</w:t>
      </w:r>
      <w:r w:rsidR="00DC2F2D" w:rsidRPr="00176D46">
        <w:rPr>
          <w:rFonts w:eastAsia="Times New Roman"/>
          <w:b w:val="0"/>
          <w:sz w:val="20"/>
          <w:szCs w:val="20"/>
          <w:lang w:val="en-GB"/>
        </w:rPr>
        <w:t xml:space="preserve"> (modes)</w:t>
      </w:r>
      <w:r w:rsidRPr="00176D46">
        <w:rPr>
          <w:rFonts w:eastAsia="Times New Roman"/>
          <w:b w:val="0"/>
          <w:sz w:val="20"/>
          <w:szCs w:val="20"/>
          <w:lang w:val="en-GB"/>
        </w:rPr>
        <w:t xml:space="preserve">. It was determined that the </w:t>
      </w:r>
      <w:r w:rsidR="00DF3527" w:rsidRPr="00176D46">
        <w:rPr>
          <w:rFonts w:eastAsia="Times New Roman"/>
          <w:b w:val="0"/>
          <w:sz w:val="20"/>
          <w:szCs w:val="20"/>
          <w:lang w:val="en-GB"/>
        </w:rPr>
        <w:t xml:space="preserve">model </w:t>
      </w:r>
      <w:r w:rsidRPr="00176D46">
        <w:rPr>
          <w:rFonts w:eastAsia="Times New Roman"/>
          <w:b w:val="0"/>
          <w:sz w:val="20"/>
          <w:szCs w:val="20"/>
          <w:lang w:val="en-GB"/>
        </w:rPr>
        <w:t>would need to</w:t>
      </w:r>
      <w:r w:rsidR="00DF3527" w:rsidRPr="00176D46">
        <w:rPr>
          <w:rFonts w:eastAsia="Times New Roman"/>
          <w:b w:val="0"/>
          <w:sz w:val="20"/>
          <w:szCs w:val="20"/>
          <w:lang w:val="en-GB"/>
        </w:rPr>
        <w:t xml:space="preserve"> include multiple transportation mode options as well as the potential </w:t>
      </w:r>
      <w:r w:rsidR="00DC6F4D" w:rsidRPr="00176D46">
        <w:rPr>
          <w:rFonts w:eastAsia="Times New Roman"/>
          <w:b w:val="0"/>
          <w:sz w:val="20"/>
          <w:szCs w:val="20"/>
          <w:lang w:val="en-GB"/>
        </w:rPr>
        <w:t>for changes in transport mode (“</w:t>
      </w:r>
      <w:proofErr w:type="spellStart"/>
      <w:r w:rsidR="00DF3527" w:rsidRPr="00176D46">
        <w:rPr>
          <w:rFonts w:eastAsia="Times New Roman"/>
          <w:b w:val="0"/>
          <w:sz w:val="20"/>
          <w:szCs w:val="20"/>
          <w:lang w:val="en-GB"/>
        </w:rPr>
        <w:t>transload</w:t>
      </w:r>
      <w:r w:rsidR="00E84414" w:rsidRPr="00176D46">
        <w:rPr>
          <w:rFonts w:eastAsia="Times New Roman"/>
          <w:b w:val="0"/>
          <w:sz w:val="20"/>
          <w:szCs w:val="20"/>
          <w:lang w:val="en-GB"/>
        </w:rPr>
        <w:t>s</w:t>
      </w:r>
      <w:proofErr w:type="spellEnd"/>
      <w:r w:rsidR="00DC6F4D" w:rsidRPr="00176D46">
        <w:rPr>
          <w:rFonts w:eastAsia="Times New Roman"/>
          <w:b w:val="0"/>
          <w:sz w:val="20"/>
          <w:szCs w:val="20"/>
          <w:lang w:val="en-GB"/>
        </w:rPr>
        <w:t>”)</w:t>
      </w:r>
      <w:r w:rsidR="00DF3527" w:rsidRPr="00176D46">
        <w:rPr>
          <w:rFonts w:eastAsia="Times New Roman"/>
          <w:b w:val="0"/>
          <w:sz w:val="20"/>
          <w:szCs w:val="20"/>
          <w:lang w:val="en-GB"/>
        </w:rPr>
        <w:t xml:space="preserve"> while the SNF was </w:t>
      </w:r>
      <w:proofErr w:type="spellStart"/>
      <w:r w:rsidR="00DF3527" w:rsidRPr="00176D46">
        <w:rPr>
          <w:rFonts w:eastAsia="Times New Roman"/>
          <w:b w:val="0"/>
          <w:sz w:val="20"/>
          <w:szCs w:val="20"/>
          <w:lang w:val="en-GB"/>
        </w:rPr>
        <w:t>en</w:t>
      </w:r>
      <w:proofErr w:type="spellEnd"/>
      <w:r w:rsidR="007A3EAB" w:rsidRPr="00176D46">
        <w:rPr>
          <w:rFonts w:eastAsia="Times New Roman"/>
          <w:b w:val="0"/>
          <w:sz w:val="20"/>
          <w:szCs w:val="20"/>
          <w:lang w:val="en-GB"/>
        </w:rPr>
        <w:t xml:space="preserve"> </w:t>
      </w:r>
      <w:r w:rsidR="00DF3527" w:rsidRPr="00176D46">
        <w:rPr>
          <w:rFonts w:eastAsia="Times New Roman"/>
          <w:b w:val="0"/>
          <w:sz w:val="20"/>
          <w:szCs w:val="20"/>
          <w:lang w:val="en-GB"/>
        </w:rPr>
        <w:t>route to a</w:t>
      </w:r>
      <w:r w:rsidR="00043D77">
        <w:rPr>
          <w:rFonts w:eastAsia="Times New Roman"/>
          <w:b w:val="0"/>
          <w:sz w:val="20"/>
          <w:szCs w:val="20"/>
          <w:lang w:val="en-GB"/>
        </w:rPr>
        <w:t>n</w:t>
      </w:r>
      <w:r w:rsidR="00DF3527" w:rsidRPr="00176D46">
        <w:rPr>
          <w:rFonts w:eastAsia="Times New Roman"/>
          <w:b w:val="0"/>
          <w:sz w:val="20"/>
          <w:szCs w:val="20"/>
          <w:lang w:val="en-GB"/>
        </w:rPr>
        <w:t xml:space="preserve"> </w:t>
      </w:r>
      <w:r w:rsidR="00C66B4C" w:rsidRPr="00176D46">
        <w:rPr>
          <w:rFonts w:eastAsia="Times New Roman"/>
          <w:b w:val="0"/>
          <w:sz w:val="20"/>
          <w:szCs w:val="20"/>
          <w:lang w:val="en-GB"/>
        </w:rPr>
        <w:t xml:space="preserve">IWM facility. </w:t>
      </w:r>
    </w:p>
    <w:p w14:paraId="7CDE0C19" w14:textId="258BD2EA" w:rsidR="0026266B" w:rsidRPr="00176D46" w:rsidRDefault="00634BE8"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A</w:t>
      </w:r>
      <w:r w:rsidR="008B797E" w:rsidRPr="00176D46">
        <w:rPr>
          <w:rFonts w:eastAsia="Times New Roman"/>
          <w:b w:val="0"/>
          <w:sz w:val="20"/>
          <w:szCs w:val="20"/>
          <w:lang w:val="en-GB"/>
        </w:rPr>
        <w:t xml:space="preserve"> group of SMEs</w:t>
      </w:r>
      <w:r w:rsidRPr="00176D46">
        <w:rPr>
          <w:rFonts w:eastAsia="Times New Roman"/>
          <w:b w:val="0"/>
          <w:sz w:val="20"/>
          <w:szCs w:val="20"/>
          <w:lang w:val="en-GB"/>
        </w:rPr>
        <w:t xml:space="preserve"> followed </w:t>
      </w:r>
      <w:r w:rsidR="007B78E1" w:rsidRPr="00176D46">
        <w:rPr>
          <w:rFonts w:eastAsia="Times New Roman"/>
          <w:b w:val="0"/>
          <w:sz w:val="20"/>
          <w:szCs w:val="20"/>
          <w:lang w:val="en-GB"/>
        </w:rPr>
        <w:t xml:space="preserve">the </w:t>
      </w:r>
      <w:r w:rsidRPr="00176D46">
        <w:rPr>
          <w:rFonts w:eastAsia="Times New Roman"/>
          <w:b w:val="0"/>
          <w:sz w:val="20"/>
          <w:szCs w:val="20"/>
          <w:lang w:val="en-GB"/>
        </w:rPr>
        <w:t xml:space="preserve">ESA process </w:t>
      </w:r>
      <w:r w:rsidR="00563869">
        <w:rPr>
          <w:rFonts w:eastAsia="Times New Roman"/>
          <w:b w:val="0"/>
          <w:sz w:val="20"/>
          <w:szCs w:val="20"/>
          <w:lang w:val="en-GB"/>
        </w:rPr>
        <w:t xml:space="preserve">[1] </w:t>
      </w:r>
      <w:r w:rsidRPr="00176D46">
        <w:rPr>
          <w:rFonts w:eastAsia="Times New Roman"/>
          <w:b w:val="0"/>
          <w:sz w:val="20"/>
          <w:szCs w:val="20"/>
          <w:lang w:val="en-GB"/>
        </w:rPr>
        <w:t>in a series of four workshops. Generic success precedence diagrams were created to reflect the logic for the milestones and activities</w:t>
      </w:r>
      <w:r w:rsidR="00523203" w:rsidRPr="00176D46">
        <w:rPr>
          <w:rFonts w:eastAsia="Times New Roman"/>
          <w:b w:val="0"/>
          <w:sz w:val="20"/>
          <w:szCs w:val="20"/>
          <w:lang w:val="en-GB"/>
        </w:rPr>
        <w:t xml:space="preserve"> needed</w:t>
      </w:r>
      <w:r w:rsidR="006D159D" w:rsidRPr="00176D46">
        <w:rPr>
          <w:rFonts w:eastAsia="Times New Roman"/>
          <w:b w:val="0"/>
          <w:sz w:val="20"/>
          <w:szCs w:val="20"/>
          <w:lang w:val="en-GB"/>
        </w:rPr>
        <w:t xml:space="preserve"> to achieve the “success</w:t>
      </w:r>
      <w:r w:rsidR="007B78E1" w:rsidRPr="00176D46">
        <w:rPr>
          <w:rFonts w:eastAsia="Times New Roman"/>
          <w:b w:val="0"/>
          <w:sz w:val="20"/>
          <w:szCs w:val="20"/>
          <w:lang w:val="en-GB"/>
        </w:rPr>
        <w:t>.</w:t>
      </w:r>
      <w:r w:rsidR="006D159D" w:rsidRPr="00176D46">
        <w:rPr>
          <w:rFonts w:eastAsia="Times New Roman"/>
          <w:b w:val="0"/>
          <w:sz w:val="20"/>
          <w:szCs w:val="20"/>
          <w:lang w:val="en-GB"/>
        </w:rPr>
        <w:t>”</w:t>
      </w:r>
      <w:r w:rsidR="00DC6F4D" w:rsidRPr="00176D46">
        <w:rPr>
          <w:rFonts w:eastAsia="Times New Roman"/>
          <w:b w:val="0"/>
          <w:sz w:val="20"/>
          <w:szCs w:val="20"/>
          <w:lang w:val="en-GB"/>
        </w:rPr>
        <w:t xml:space="preserve"> In this case, success was defined as</w:t>
      </w:r>
      <w:r w:rsidR="006D159D" w:rsidRPr="00176D46">
        <w:rPr>
          <w:rFonts w:eastAsia="Times New Roman"/>
          <w:b w:val="0"/>
          <w:sz w:val="20"/>
          <w:szCs w:val="20"/>
          <w:lang w:val="en-GB"/>
        </w:rPr>
        <w:t xml:space="preserve"> readiness to commence transportation from a</w:t>
      </w:r>
      <w:r w:rsidR="00DC6F4D" w:rsidRPr="00176D46">
        <w:rPr>
          <w:rFonts w:eastAsia="Times New Roman"/>
          <w:b w:val="0"/>
          <w:sz w:val="20"/>
          <w:szCs w:val="20"/>
          <w:lang w:val="en-GB"/>
        </w:rPr>
        <w:t xml:space="preserve"> generic</w:t>
      </w:r>
      <w:r w:rsidR="006D159D" w:rsidRPr="00176D46">
        <w:rPr>
          <w:rFonts w:eastAsia="Times New Roman"/>
          <w:b w:val="0"/>
          <w:sz w:val="20"/>
          <w:szCs w:val="20"/>
          <w:lang w:val="en-GB"/>
        </w:rPr>
        <w:t xml:space="preserve"> origin site, with all on-site infrastructure and all near-site infrastructure in place </w:t>
      </w:r>
      <w:r w:rsidR="00DC6F4D" w:rsidRPr="00176D46">
        <w:rPr>
          <w:rFonts w:eastAsia="Times New Roman"/>
          <w:b w:val="0"/>
          <w:sz w:val="20"/>
          <w:szCs w:val="20"/>
          <w:lang w:val="en-GB"/>
        </w:rPr>
        <w:t xml:space="preserve">and </w:t>
      </w:r>
      <w:r w:rsidR="00FA0204" w:rsidRPr="00176D46">
        <w:rPr>
          <w:rFonts w:eastAsia="Times New Roman"/>
          <w:b w:val="0"/>
          <w:sz w:val="20"/>
          <w:szCs w:val="20"/>
          <w:lang w:val="en-GB"/>
        </w:rPr>
        <w:t>all necessary approvals</w:t>
      </w:r>
      <w:r w:rsidR="00DC2F2D" w:rsidRPr="00176D46">
        <w:rPr>
          <w:rFonts w:eastAsia="Times New Roman"/>
          <w:b w:val="0"/>
          <w:sz w:val="20"/>
          <w:szCs w:val="20"/>
          <w:lang w:val="en-GB"/>
        </w:rPr>
        <w:t xml:space="preserve"> are received</w:t>
      </w:r>
      <w:r w:rsidR="00FA0204" w:rsidRPr="00176D46">
        <w:rPr>
          <w:rFonts w:eastAsia="Times New Roman"/>
          <w:b w:val="0"/>
          <w:sz w:val="20"/>
          <w:szCs w:val="20"/>
          <w:lang w:val="en-GB"/>
        </w:rPr>
        <w:t>.</w:t>
      </w:r>
      <w:r w:rsidRPr="00176D46">
        <w:rPr>
          <w:rFonts w:eastAsia="Times New Roman"/>
          <w:b w:val="0"/>
          <w:sz w:val="20"/>
          <w:szCs w:val="20"/>
          <w:lang w:val="en-GB"/>
        </w:rPr>
        <w:t xml:space="preserve"> </w:t>
      </w:r>
      <w:r w:rsidR="00DC6F4D" w:rsidRPr="00176D46">
        <w:rPr>
          <w:rFonts w:eastAsia="Times New Roman"/>
          <w:b w:val="0"/>
          <w:sz w:val="20"/>
          <w:szCs w:val="20"/>
          <w:lang w:val="en-GB"/>
        </w:rPr>
        <w:t>A</w:t>
      </w:r>
      <w:r w:rsidR="00BC61D1" w:rsidRPr="00176D46">
        <w:rPr>
          <w:rFonts w:eastAsia="Times New Roman"/>
          <w:b w:val="0"/>
          <w:sz w:val="20"/>
          <w:szCs w:val="20"/>
          <w:lang w:val="en-GB"/>
        </w:rPr>
        <w:t xml:space="preserve"> certified</w:t>
      </w:r>
      <w:r w:rsidR="00DC6F4D" w:rsidRPr="00176D46">
        <w:rPr>
          <w:rFonts w:eastAsia="Times New Roman"/>
          <w:b w:val="0"/>
          <w:sz w:val="20"/>
          <w:szCs w:val="20"/>
          <w:lang w:val="en-GB"/>
        </w:rPr>
        <w:t xml:space="preserve"> </w:t>
      </w:r>
      <w:r w:rsidR="00BC61D1" w:rsidRPr="00176D46">
        <w:rPr>
          <w:rFonts w:eastAsia="Times New Roman"/>
          <w:b w:val="0"/>
          <w:sz w:val="20"/>
          <w:szCs w:val="20"/>
          <w:lang w:val="en-GB"/>
        </w:rPr>
        <w:t xml:space="preserve">transportation </w:t>
      </w:r>
      <w:r w:rsidR="00DC6F4D" w:rsidRPr="00176D46">
        <w:rPr>
          <w:rFonts w:eastAsia="Times New Roman"/>
          <w:b w:val="0"/>
          <w:sz w:val="20"/>
          <w:szCs w:val="20"/>
          <w:lang w:val="en-GB"/>
        </w:rPr>
        <w:t xml:space="preserve">cask would also need to be fabricated and transported to the site ready to be loaded. </w:t>
      </w:r>
      <w:r w:rsidR="00523203" w:rsidRPr="00176D46">
        <w:rPr>
          <w:rFonts w:eastAsia="Times New Roman"/>
          <w:b w:val="0"/>
          <w:sz w:val="20"/>
          <w:szCs w:val="20"/>
          <w:lang w:val="en-GB"/>
        </w:rPr>
        <w:t xml:space="preserve">A modular approach in the model’s structure was developed to accommodate site-specific inputs. This was done to allow </w:t>
      </w:r>
      <w:r w:rsidR="0026266B" w:rsidRPr="00176D46">
        <w:rPr>
          <w:rFonts w:eastAsia="Times New Roman"/>
          <w:b w:val="0"/>
          <w:sz w:val="20"/>
          <w:szCs w:val="20"/>
          <w:lang w:val="en-GB"/>
        </w:rPr>
        <w:t>the</w:t>
      </w:r>
      <w:r w:rsidR="00523203" w:rsidRPr="00176D46">
        <w:rPr>
          <w:rFonts w:eastAsia="Times New Roman"/>
          <w:b w:val="0"/>
          <w:sz w:val="20"/>
          <w:szCs w:val="20"/>
          <w:lang w:val="en-GB"/>
        </w:rPr>
        <w:t xml:space="preserve"> 2017 version of the</w:t>
      </w:r>
      <w:r w:rsidR="0026266B" w:rsidRPr="00176D46">
        <w:rPr>
          <w:rFonts w:eastAsia="Times New Roman"/>
          <w:b w:val="0"/>
          <w:sz w:val="20"/>
          <w:szCs w:val="20"/>
          <w:lang w:val="en-GB"/>
        </w:rPr>
        <w:t xml:space="preserve"> model</w:t>
      </w:r>
      <w:r w:rsidR="00523203" w:rsidRPr="00176D46">
        <w:rPr>
          <w:rFonts w:eastAsia="Times New Roman"/>
          <w:b w:val="0"/>
          <w:sz w:val="20"/>
          <w:szCs w:val="20"/>
          <w:lang w:val="en-GB"/>
        </w:rPr>
        <w:t xml:space="preserve"> to be expanded to </w:t>
      </w:r>
      <w:r w:rsidR="00043D77" w:rsidRPr="00176D46">
        <w:rPr>
          <w:rFonts w:eastAsia="Times New Roman"/>
          <w:b w:val="0"/>
          <w:sz w:val="20"/>
          <w:szCs w:val="20"/>
          <w:lang w:val="en-GB"/>
        </w:rPr>
        <w:t>include</w:t>
      </w:r>
      <w:r w:rsidR="00523203" w:rsidRPr="00176D46">
        <w:rPr>
          <w:rFonts w:eastAsia="Times New Roman"/>
          <w:b w:val="0"/>
          <w:sz w:val="20"/>
          <w:szCs w:val="20"/>
          <w:lang w:val="en-GB"/>
        </w:rPr>
        <w:t xml:space="preserve"> operati</w:t>
      </w:r>
      <w:r w:rsidR="00B2210E">
        <w:rPr>
          <w:rFonts w:eastAsia="Times New Roman"/>
          <w:b w:val="0"/>
          <w:sz w:val="20"/>
          <w:szCs w:val="20"/>
          <w:lang w:val="en-GB"/>
        </w:rPr>
        <w:t>ng</w:t>
      </w:r>
      <w:r w:rsidR="00523203" w:rsidRPr="00176D46">
        <w:rPr>
          <w:rFonts w:eastAsia="Times New Roman"/>
          <w:b w:val="0"/>
          <w:sz w:val="20"/>
          <w:szCs w:val="20"/>
          <w:lang w:val="en-GB"/>
        </w:rPr>
        <w:t xml:space="preserve"> sites, and </w:t>
      </w:r>
      <w:r w:rsidR="00DC6F4D" w:rsidRPr="00176D46">
        <w:rPr>
          <w:rFonts w:eastAsia="Times New Roman"/>
          <w:b w:val="0"/>
          <w:sz w:val="20"/>
          <w:szCs w:val="20"/>
          <w:lang w:val="en-GB"/>
        </w:rPr>
        <w:t xml:space="preserve">acknowledge </w:t>
      </w:r>
      <w:r w:rsidR="0026266B" w:rsidRPr="00176D46">
        <w:rPr>
          <w:rFonts w:eastAsia="Times New Roman"/>
          <w:b w:val="0"/>
          <w:sz w:val="20"/>
          <w:szCs w:val="20"/>
          <w:lang w:val="en-GB"/>
        </w:rPr>
        <w:t xml:space="preserve">the potential that the first shipment could </w:t>
      </w:r>
      <w:r w:rsidR="00523203" w:rsidRPr="00176D46">
        <w:rPr>
          <w:rFonts w:eastAsia="Times New Roman"/>
          <w:b w:val="0"/>
          <w:sz w:val="20"/>
          <w:szCs w:val="20"/>
          <w:lang w:val="en-GB"/>
        </w:rPr>
        <w:t xml:space="preserve">occur </w:t>
      </w:r>
      <w:r w:rsidR="0026266B" w:rsidRPr="00176D46">
        <w:rPr>
          <w:rFonts w:eastAsia="Times New Roman"/>
          <w:b w:val="0"/>
          <w:sz w:val="20"/>
          <w:szCs w:val="20"/>
          <w:lang w:val="en-GB"/>
        </w:rPr>
        <w:t>from a</w:t>
      </w:r>
      <w:r w:rsidR="00DC6F4D" w:rsidRPr="00176D46">
        <w:rPr>
          <w:rFonts w:eastAsia="Times New Roman"/>
          <w:b w:val="0"/>
          <w:sz w:val="20"/>
          <w:szCs w:val="20"/>
          <w:lang w:val="en-GB"/>
        </w:rPr>
        <w:t xml:space="preserve"> currently-</w:t>
      </w:r>
      <w:r w:rsidR="0026266B" w:rsidRPr="00176D46">
        <w:rPr>
          <w:rFonts w:eastAsia="Times New Roman"/>
          <w:b w:val="0"/>
          <w:sz w:val="20"/>
          <w:szCs w:val="20"/>
          <w:lang w:val="en-GB"/>
        </w:rPr>
        <w:t>operating site</w:t>
      </w:r>
      <w:r w:rsidR="00523203" w:rsidRPr="00176D46">
        <w:rPr>
          <w:rFonts w:eastAsia="Times New Roman"/>
          <w:b w:val="0"/>
          <w:sz w:val="20"/>
          <w:szCs w:val="20"/>
          <w:lang w:val="en-GB"/>
        </w:rPr>
        <w:t>.</w:t>
      </w:r>
      <w:r w:rsidR="0026266B" w:rsidRPr="00176D46">
        <w:rPr>
          <w:rFonts w:eastAsia="Times New Roman"/>
          <w:b w:val="0"/>
          <w:sz w:val="20"/>
          <w:szCs w:val="20"/>
          <w:lang w:val="en-GB"/>
        </w:rPr>
        <w:t xml:space="preserve"> </w:t>
      </w:r>
    </w:p>
    <w:p w14:paraId="6D830A33" w14:textId="77013750" w:rsidR="00FA0204" w:rsidRPr="00176D46" w:rsidRDefault="006D159D"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Spreadsheet templates were developed for</w:t>
      </w:r>
      <w:r w:rsidR="00D537AC" w:rsidRPr="00176D46">
        <w:rPr>
          <w:rFonts w:eastAsia="Times New Roman"/>
          <w:b w:val="0"/>
          <w:sz w:val="20"/>
          <w:szCs w:val="20"/>
          <w:lang w:val="en-GB"/>
        </w:rPr>
        <w:t xml:space="preserve"> </w:t>
      </w:r>
      <w:r w:rsidRPr="00176D46">
        <w:rPr>
          <w:rFonts w:eastAsia="Times New Roman"/>
          <w:b w:val="0"/>
          <w:sz w:val="20"/>
          <w:szCs w:val="20"/>
          <w:lang w:val="en-GB"/>
        </w:rPr>
        <w:t>data inputs</w:t>
      </w:r>
      <w:r w:rsidR="00D537AC" w:rsidRPr="00176D46">
        <w:rPr>
          <w:rFonts w:eastAsia="Times New Roman"/>
          <w:b w:val="0"/>
          <w:sz w:val="20"/>
          <w:szCs w:val="20"/>
          <w:lang w:val="en-GB"/>
        </w:rPr>
        <w:t xml:space="preserve"> and</w:t>
      </w:r>
      <w:r w:rsidRPr="00176D46">
        <w:rPr>
          <w:rFonts w:eastAsia="Times New Roman"/>
          <w:b w:val="0"/>
          <w:sz w:val="20"/>
          <w:szCs w:val="20"/>
          <w:lang w:val="en-GB"/>
        </w:rPr>
        <w:t xml:space="preserve"> </w:t>
      </w:r>
      <w:r w:rsidR="00D537AC" w:rsidRPr="00176D46">
        <w:rPr>
          <w:rFonts w:eastAsia="Times New Roman"/>
          <w:b w:val="0"/>
          <w:sz w:val="20"/>
          <w:szCs w:val="20"/>
          <w:lang w:val="en-GB"/>
        </w:rPr>
        <w:t xml:space="preserve">included </w:t>
      </w:r>
      <w:r w:rsidRPr="00176D46">
        <w:rPr>
          <w:rFonts w:eastAsia="Times New Roman"/>
          <w:b w:val="0"/>
          <w:sz w:val="20"/>
          <w:szCs w:val="20"/>
          <w:lang w:val="en-GB"/>
        </w:rPr>
        <w:t>separate data sheets for each origin site</w:t>
      </w:r>
      <w:r w:rsidR="00D537AC" w:rsidRPr="00176D46">
        <w:rPr>
          <w:rFonts w:eastAsia="Times New Roman"/>
          <w:b w:val="0"/>
          <w:sz w:val="20"/>
          <w:szCs w:val="20"/>
          <w:lang w:val="en-GB"/>
        </w:rPr>
        <w:t>.</w:t>
      </w:r>
      <w:r w:rsidRPr="00176D46">
        <w:rPr>
          <w:rFonts w:eastAsia="Times New Roman"/>
          <w:b w:val="0"/>
          <w:sz w:val="20"/>
          <w:szCs w:val="20"/>
          <w:lang w:val="en-GB"/>
        </w:rPr>
        <w:t xml:space="preserve"> </w:t>
      </w:r>
      <w:r w:rsidR="00634BE8" w:rsidRPr="00176D46">
        <w:rPr>
          <w:rFonts w:eastAsia="Times New Roman"/>
          <w:b w:val="0"/>
          <w:sz w:val="20"/>
          <w:szCs w:val="20"/>
          <w:lang w:val="en-GB"/>
        </w:rPr>
        <w:t>There was an addit</w:t>
      </w:r>
      <w:r w:rsidRPr="00176D46">
        <w:rPr>
          <w:rFonts w:eastAsia="Times New Roman"/>
          <w:b w:val="0"/>
          <w:sz w:val="20"/>
          <w:szCs w:val="20"/>
          <w:lang w:val="en-GB"/>
        </w:rPr>
        <w:t>i</w:t>
      </w:r>
      <w:r w:rsidR="00634BE8" w:rsidRPr="00176D46">
        <w:rPr>
          <w:rFonts w:eastAsia="Times New Roman"/>
          <w:b w:val="0"/>
          <w:sz w:val="20"/>
          <w:szCs w:val="20"/>
          <w:lang w:val="en-GB"/>
        </w:rPr>
        <w:t xml:space="preserve">onal need </w:t>
      </w:r>
      <w:r w:rsidR="008B468A" w:rsidRPr="00176D46">
        <w:rPr>
          <w:rFonts w:eastAsia="Times New Roman"/>
          <w:b w:val="0"/>
          <w:sz w:val="20"/>
          <w:szCs w:val="20"/>
          <w:lang w:val="en-GB"/>
        </w:rPr>
        <w:t>to model</w:t>
      </w:r>
      <w:r w:rsidR="00634BE8" w:rsidRPr="00176D46">
        <w:rPr>
          <w:rFonts w:eastAsia="Times New Roman"/>
          <w:b w:val="0"/>
          <w:sz w:val="20"/>
          <w:szCs w:val="20"/>
          <w:lang w:val="en-GB"/>
        </w:rPr>
        <w:t xml:space="preserve"> the use of transportation casks </w:t>
      </w:r>
      <w:r w:rsidR="00D537AC" w:rsidRPr="00176D46">
        <w:rPr>
          <w:rFonts w:eastAsia="Times New Roman"/>
          <w:b w:val="0"/>
          <w:sz w:val="20"/>
          <w:szCs w:val="20"/>
          <w:lang w:val="en-GB"/>
        </w:rPr>
        <w:t xml:space="preserve">to reflect an assumption </w:t>
      </w:r>
      <w:r w:rsidR="00634BE8" w:rsidRPr="00176D46">
        <w:rPr>
          <w:rFonts w:eastAsia="Times New Roman"/>
          <w:b w:val="0"/>
          <w:sz w:val="20"/>
          <w:szCs w:val="20"/>
          <w:lang w:val="en-GB"/>
        </w:rPr>
        <w:t>that the same cask might be used at multiple sites.</w:t>
      </w:r>
      <w:r w:rsidR="00424C42" w:rsidRPr="00176D46">
        <w:rPr>
          <w:rFonts w:eastAsia="Times New Roman"/>
          <w:b w:val="0"/>
          <w:sz w:val="20"/>
          <w:szCs w:val="20"/>
          <w:lang w:val="en-GB"/>
        </w:rPr>
        <w:t xml:space="preserve"> </w:t>
      </w:r>
      <w:r w:rsidR="00FA0204" w:rsidRPr="00176D46">
        <w:rPr>
          <w:rFonts w:eastAsia="Times New Roman"/>
          <w:b w:val="0"/>
          <w:sz w:val="20"/>
          <w:szCs w:val="20"/>
          <w:lang w:val="en-GB"/>
        </w:rPr>
        <w:t xml:space="preserve">Initial </w:t>
      </w:r>
      <w:r w:rsidR="0061414A" w:rsidRPr="00176D46">
        <w:rPr>
          <w:rFonts w:eastAsia="Times New Roman"/>
          <w:b w:val="0"/>
          <w:sz w:val="20"/>
          <w:szCs w:val="20"/>
          <w:lang w:val="en-GB"/>
        </w:rPr>
        <w:t>modelling</w:t>
      </w:r>
      <w:r w:rsidR="00D537AC" w:rsidRPr="00176D46">
        <w:rPr>
          <w:rFonts w:eastAsia="Times New Roman"/>
          <w:b w:val="0"/>
          <w:sz w:val="20"/>
          <w:szCs w:val="20"/>
          <w:lang w:val="en-GB"/>
        </w:rPr>
        <w:t xml:space="preserve"> </w:t>
      </w:r>
      <w:r w:rsidR="00FA0204" w:rsidRPr="00176D46">
        <w:rPr>
          <w:rFonts w:eastAsia="Times New Roman"/>
          <w:b w:val="0"/>
          <w:sz w:val="20"/>
          <w:szCs w:val="20"/>
          <w:lang w:val="en-GB"/>
        </w:rPr>
        <w:t>efforts focused on developing activity inputs (duration</w:t>
      </w:r>
      <w:r w:rsidR="00D537AC" w:rsidRPr="00176D46">
        <w:rPr>
          <w:rFonts w:eastAsia="Times New Roman"/>
          <w:b w:val="0"/>
          <w:sz w:val="20"/>
          <w:szCs w:val="20"/>
          <w:lang w:val="en-GB"/>
        </w:rPr>
        <w:t>s and</w:t>
      </w:r>
      <w:r w:rsidR="00FA0204" w:rsidRPr="00176D46">
        <w:rPr>
          <w:rFonts w:eastAsia="Times New Roman"/>
          <w:b w:val="0"/>
          <w:sz w:val="20"/>
          <w:szCs w:val="20"/>
          <w:lang w:val="en-GB"/>
        </w:rPr>
        <w:t xml:space="preserve"> costs) for </w:t>
      </w:r>
      <w:r w:rsidR="00365C59" w:rsidRPr="00176D46">
        <w:rPr>
          <w:rFonts w:eastAsia="Times New Roman"/>
          <w:b w:val="0"/>
          <w:sz w:val="20"/>
          <w:szCs w:val="20"/>
          <w:lang w:val="en-GB"/>
        </w:rPr>
        <w:t xml:space="preserve">two </w:t>
      </w:r>
      <w:r w:rsidR="00FA0204" w:rsidRPr="00176D46">
        <w:rPr>
          <w:rFonts w:eastAsia="Times New Roman"/>
          <w:b w:val="0"/>
          <w:sz w:val="20"/>
          <w:szCs w:val="20"/>
          <w:lang w:val="en-GB"/>
        </w:rPr>
        <w:t>selected shutdown origin sites (Maine Yankee and Trojan)</w:t>
      </w:r>
      <w:r w:rsidR="001D131A">
        <w:rPr>
          <w:rFonts w:eastAsia="Times New Roman"/>
          <w:b w:val="0"/>
          <w:sz w:val="20"/>
          <w:szCs w:val="20"/>
          <w:lang w:val="en-GB"/>
        </w:rPr>
        <w:t>. The</w:t>
      </w:r>
      <w:r w:rsidR="001D131A" w:rsidRPr="00176D46">
        <w:rPr>
          <w:rFonts w:eastAsia="Times New Roman"/>
          <w:b w:val="0"/>
          <w:sz w:val="20"/>
          <w:szCs w:val="20"/>
          <w:lang w:val="en-GB"/>
        </w:rPr>
        <w:t>se</w:t>
      </w:r>
      <w:r w:rsidR="00222AED" w:rsidRPr="00176D46">
        <w:rPr>
          <w:rFonts w:eastAsia="Times New Roman"/>
          <w:b w:val="0"/>
          <w:sz w:val="20"/>
          <w:szCs w:val="20"/>
          <w:lang w:val="en-GB"/>
        </w:rPr>
        <w:t xml:space="preserve"> sites were selected</w:t>
      </w:r>
      <w:r w:rsidR="00FA0204" w:rsidRPr="00176D46">
        <w:rPr>
          <w:rFonts w:eastAsia="Times New Roman"/>
          <w:b w:val="0"/>
          <w:sz w:val="20"/>
          <w:szCs w:val="20"/>
          <w:lang w:val="en-GB"/>
        </w:rPr>
        <w:t xml:space="preserve"> because </w:t>
      </w:r>
      <w:r w:rsidR="00222AED" w:rsidRPr="00176D46">
        <w:rPr>
          <w:rFonts w:eastAsia="Times New Roman"/>
          <w:b w:val="0"/>
          <w:sz w:val="20"/>
          <w:szCs w:val="20"/>
          <w:lang w:val="en-GB"/>
        </w:rPr>
        <w:t xml:space="preserve">their </w:t>
      </w:r>
      <w:r w:rsidR="00703042" w:rsidRPr="00176D46">
        <w:rPr>
          <w:rFonts w:eastAsia="Times New Roman"/>
          <w:b w:val="0"/>
          <w:sz w:val="20"/>
          <w:szCs w:val="20"/>
          <w:lang w:val="en-GB"/>
        </w:rPr>
        <w:t xml:space="preserve">detailed </w:t>
      </w:r>
      <w:r w:rsidR="00FA0204" w:rsidRPr="00176D46">
        <w:rPr>
          <w:rFonts w:eastAsia="Times New Roman"/>
          <w:b w:val="0"/>
          <w:sz w:val="20"/>
          <w:szCs w:val="20"/>
          <w:lang w:val="en-GB"/>
        </w:rPr>
        <w:t>information was available</w:t>
      </w:r>
      <w:r w:rsidR="00703042" w:rsidRPr="00176D46">
        <w:rPr>
          <w:rFonts w:eastAsia="Times New Roman"/>
          <w:b w:val="0"/>
          <w:sz w:val="20"/>
          <w:szCs w:val="20"/>
          <w:lang w:val="en-GB"/>
        </w:rPr>
        <w:t xml:space="preserve"> in </w:t>
      </w:r>
      <w:r w:rsidR="00FA0204" w:rsidRPr="00176D46">
        <w:rPr>
          <w:rFonts w:eastAsia="Times New Roman"/>
          <w:b w:val="0"/>
          <w:sz w:val="20"/>
          <w:szCs w:val="20"/>
          <w:lang w:val="en-GB"/>
        </w:rPr>
        <w:t>the DOE-developed shutdown sites report [2] and de-inventory reports [3</w:t>
      </w:r>
      <w:r w:rsidR="003061B6" w:rsidRPr="00176D46">
        <w:rPr>
          <w:rFonts w:eastAsia="Times New Roman"/>
          <w:b w:val="0"/>
          <w:sz w:val="20"/>
          <w:szCs w:val="20"/>
          <w:lang w:val="en-GB"/>
        </w:rPr>
        <w:t xml:space="preserve">, </w:t>
      </w:r>
      <w:r w:rsidR="0026266B" w:rsidRPr="00176D46">
        <w:rPr>
          <w:rFonts w:eastAsia="Times New Roman"/>
          <w:b w:val="0"/>
          <w:sz w:val="20"/>
          <w:szCs w:val="20"/>
          <w:lang w:val="en-GB"/>
        </w:rPr>
        <w:t>4]</w:t>
      </w:r>
      <w:r w:rsidR="00FA0204" w:rsidRPr="00176D46">
        <w:rPr>
          <w:rFonts w:eastAsia="Times New Roman"/>
          <w:b w:val="0"/>
          <w:sz w:val="20"/>
          <w:szCs w:val="20"/>
          <w:lang w:val="en-GB"/>
        </w:rPr>
        <w:t>.</w:t>
      </w:r>
    </w:p>
    <w:p w14:paraId="572B2EC0" w14:textId="4BA7098A" w:rsidR="00424C42" w:rsidRPr="00176D46" w:rsidRDefault="008B468A"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Initially t</w:t>
      </w:r>
      <w:r w:rsidR="00F6480A" w:rsidRPr="00176D46">
        <w:rPr>
          <w:rFonts w:eastAsia="Times New Roman"/>
          <w:b w:val="0"/>
          <w:sz w:val="20"/>
          <w:szCs w:val="20"/>
          <w:lang w:val="en-GB"/>
        </w:rPr>
        <w:t>he</w:t>
      </w:r>
      <w:r w:rsidR="00424C42" w:rsidRPr="00176D46">
        <w:rPr>
          <w:rFonts w:eastAsia="Times New Roman"/>
          <w:b w:val="0"/>
          <w:sz w:val="20"/>
          <w:szCs w:val="20"/>
          <w:lang w:val="en-GB"/>
        </w:rPr>
        <w:t xml:space="preserve"> model for a single generic origin site </w:t>
      </w:r>
      <w:r w:rsidR="00F6480A" w:rsidRPr="00176D46">
        <w:rPr>
          <w:rFonts w:eastAsia="Times New Roman"/>
          <w:b w:val="0"/>
          <w:sz w:val="20"/>
          <w:szCs w:val="20"/>
          <w:lang w:val="en-GB"/>
        </w:rPr>
        <w:t xml:space="preserve">was </w:t>
      </w:r>
      <w:r w:rsidRPr="00176D46">
        <w:rPr>
          <w:rFonts w:eastAsia="Times New Roman"/>
          <w:b w:val="0"/>
          <w:sz w:val="20"/>
          <w:szCs w:val="20"/>
          <w:lang w:val="en-GB"/>
        </w:rPr>
        <w:t xml:space="preserve">created and </w:t>
      </w:r>
      <w:r w:rsidR="00F6480A" w:rsidRPr="00176D46">
        <w:rPr>
          <w:rFonts w:eastAsia="Times New Roman"/>
          <w:b w:val="0"/>
          <w:sz w:val="20"/>
          <w:szCs w:val="20"/>
          <w:lang w:val="en-GB"/>
        </w:rPr>
        <w:t xml:space="preserve">demonstrated </w:t>
      </w:r>
      <w:r w:rsidR="00424C42" w:rsidRPr="00176D46">
        <w:rPr>
          <w:rFonts w:eastAsia="Times New Roman"/>
          <w:b w:val="0"/>
          <w:sz w:val="20"/>
          <w:szCs w:val="20"/>
          <w:lang w:val="en-GB"/>
        </w:rPr>
        <w:t>for a larger group of SMEs</w:t>
      </w:r>
      <w:r w:rsidR="00F2038A" w:rsidRPr="00176D46">
        <w:rPr>
          <w:rFonts w:eastAsia="Times New Roman"/>
          <w:b w:val="0"/>
          <w:sz w:val="20"/>
          <w:szCs w:val="20"/>
          <w:lang w:val="en-GB"/>
        </w:rPr>
        <w:t xml:space="preserve">. </w:t>
      </w:r>
      <w:r w:rsidR="00424C42" w:rsidRPr="00176D46">
        <w:rPr>
          <w:rFonts w:eastAsia="Times New Roman"/>
          <w:b w:val="0"/>
          <w:sz w:val="20"/>
          <w:szCs w:val="20"/>
          <w:lang w:val="en-GB"/>
        </w:rPr>
        <w:t xml:space="preserve">Ultimately, 14 shutdown origin sites and 9 different transportation cask types were included in the model to </w:t>
      </w:r>
      <w:r w:rsidR="00B164AA" w:rsidRPr="00176D46">
        <w:rPr>
          <w:rFonts w:eastAsia="Times New Roman"/>
          <w:b w:val="0"/>
          <w:sz w:val="20"/>
          <w:szCs w:val="20"/>
          <w:lang w:val="en-GB"/>
        </w:rPr>
        <w:t xml:space="preserve">allow for </w:t>
      </w:r>
      <w:r w:rsidR="00606B5B" w:rsidRPr="00176D46">
        <w:rPr>
          <w:rFonts w:eastAsia="Times New Roman"/>
          <w:b w:val="0"/>
          <w:sz w:val="20"/>
          <w:szCs w:val="20"/>
          <w:lang w:val="en-GB"/>
        </w:rPr>
        <w:t>analysis of</w:t>
      </w:r>
      <w:r w:rsidR="00B164AA" w:rsidRPr="00176D46">
        <w:rPr>
          <w:rFonts w:eastAsia="Times New Roman"/>
          <w:b w:val="0"/>
          <w:sz w:val="20"/>
          <w:szCs w:val="20"/>
          <w:lang w:val="en-GB"/>
        </w:rPr>
        <w:t xml:space="preserve"> broader sets of </w:t>
      </w:r>
      <w:r w:rsidR="00424C42" w:rsidRPr="00176D46">
        <w:rPr>
          <w:rFonts w:eastAsia="Times New Roman"/>
          <w:b w:val="0"/>
          <w:sz w:val="20"/>
          <w:szCs w:val="20"/>
          <w:lang w:val="en-GB"/>
        </w:rPr>
        <w:t>scenarios</w:t>
      </w:r>
      <w:r w:rsidR="00B164AA" w:rsidRPr="00176D46">
        <w:rPr>
          <w:rFonts w:eastAsia="Times New Roman"/>
          <w:b w:val="0"/>
          <w:sz w:val="20"/>
          <w:szCs w:val="20"/>
          <w:lang w:val="en-GB"/>
        </w:rPr>
        <w:t>.</w:t>
      </w:r>
      <w:r w:rsidR="00F2038A" w:rsidRPr="00176D46">
        <w:rPr>
          <w:rFonts w:eastAsia="Times New Roman"/>
          <w:b w:val="0"/>
          <w:sz w:val="20"/>
          <w:szCs w:val="20"/>
          <w:lang w:val="en-GB"/>
        </w:rPr>
        <w:t xml:space="preserve"> During initial analysis, several k</w:t>
      </w:r>
      <w:r w:rsidRPr="00176D46">
        <w:rPr>
          <w:rFonts w:eastAsia="Times New Roman"/>
          <w:b w:val="0"/>
          <w:sz w:val="20"/>
          <w:szCs w:val="20"/>
          <w:lang w:val="en-GB"/>
        </w:rPr>
        <w:t xml:space="preserve">ey issues </w:t>
      </w:r>
      <w:r w:rsidR="00F2038A" w:rsidRPr="00176D46">
        <w:rPr>
          <w:rFonts w:eastAsia="Times New Roman"/>
          <w:b w:val="0"/>
          <w:sz w:val="20"/>
          <w:szCs w:val="20"/>
          <w:lang w:val="en-GB"/>
        </w:rPr>
        <w:t xml:space="preserve">were identified </w:t>
      </w:r>
      <w:r w:rsidR="00AD4291" w:rsidRPr="00176D46">
        <w:rPr>
          <w:rFonts w:eastAsia="Times New Roman"/>
          <w:b w:val="0"/>
          <w:sz w:val="20"/>
          <w:szCs w:val="20"/>
          <w:lang w:val="en-GB"/>
        </w:rPr>
        <w:t>including</w:t>
      </w:r>
      <w:r w:rsidRPr="00176D46">
        <w:rPr>
          <w:rFonts w:eastAsia="Times New Roman"/>
          <w:b w:val="0"/>
          <w:sz w:val="20"/>
          <w:szCs w:val="20"/>
          <w:lang w:val="en-GB"/>
        </w:rPr>
        <w:t xml:space="preserve"> potential ways to accelerate the procurement of transportation casks, the importance of consultations with States and Tribes, and the need for traceability of costs between ESA models and other IWM tools</w:t>
      </w:r>
      <w:r w:rsidR="00F2038A" w:rsidRPr="00176D46">
        <w:rPr>
          <w:rFonts w:eastAsia="Times New Roman"/>
          <w:b w:val="0"/>
          <w:sz w:val="20"/>
          <w:szCs w:val="20"/>
          <w:lang w:val="en-GB"/>
        </w:rPr>
        <w:t xml:space="preserve"> for extended analysis</w:t>
      </w:r>
      <w:r w:rsidRPr="00176D46">
        <w:rPr>
          <w:rFonts w:eastAsia="Times New Roman"/>
          <w:b w:val="0"/>
          <w:sz w:val="20"/>
          <w:szCs w:val="20"/>
          <w:lang w:val="en-GB"/>
        </w:rPr>
        <w:t xml:space="preserve">. </w:t>
      </w:r>
    </w:p>
    <w:p w14:paraId="4E8AA78E" w14:textId="3DD8448E" w:rsidR="00424C42" w:rsidRPr="00176D46" w:rsidRDefault="00602973" w:rsidP="00176D46">
      <w:pPr>
        <w:pStyle w:val="Heading3"/>
        <w:widowControl w:val="0"/>
        <w:spacing w:before="100" w:beforeAutospacing="1" w:after="100" w:afterAutospacing="1" w:line="280" w:lineRule="atLeast"/>
        <w:ind w:left="360"/>
        <w:rPr>
          <w:b w:val="0"/>
          <w:sz w:val="20"/>
          <w:lang w:val="en-US"/>
        </w:rPr>
      </w:pPr>
      <w:r w:rsidRPr="00176D46">
        <w:rPr>
          <w:b w:val="0"/>
          <w:sz w:val="20"/>
          <w:lang w:val="en-US"/>
        </w:rPr>
        <w:t>DEVELOPMENT OF THE ORIGIN SITES READINESS MODEL SCENARIOS</w:t>
      </w:r>
    </w:p>
    <w:p w14:paraId="384ADE42" w14:textId="6FDBD5E9" w:rsidR="00424C42" w:rsidRPr="00176D46" w:rsidRDefault="007D0D56"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model’s logic was specifically developed to represent activities for on-site and </w:t>
      </w:r>
      <w:r w:rsidR="001D131A">
        <w:rPr>
          <w:rFonts w:eastAsia="Times New Roman"/>
          <w:b w:val="0"/>
          <w:sz w:val="20"/>
          <w:szCs w:val="20"/>
          <w:lang w:val="en-GB"/>
        </w:rPr>
        <w:t>near</w:t>
      </w:r>
      <w:r w:rsidRPr="00176D46">
        <w:rPr>
          <w:rFonts w:eastAsia="Times New Roman"/>
          <w:b w:val="0"/>
          <w:sz w:val="20"/>
          <w:szCs w:val="20"/>
          <w:lang w:val="en-GB"/>
        </w:rPr>
        <w:t>-site readiness</w:t>
      </w:r>
      <w:r w:rsidR="00B164AA" w:rsidRPr="00176D46">
        <w:rPr>
          <w:rFonts w:eastAsia="Times New Roman"/>
          <w:b w:val="0"/>
          <w:sz w:val="20"/>
          <w:szCs w:val="20"/>
          <w:lang w:val="en-GB"/>
        </w:rPr>
        <w:t xml:space="preserve"> of the origin sites</w:t>
      </w:r>
      <w:r w:rsidRPr="00176D46">
        <w:rPr>
          <w:rFonts w:eastAsia="Times New Roman"/>
          <w:b w:val="0"/>
          <w:sz w:val="20"/>
          <w:szCs w:val="20"/>
          <w:lang w:val="en-GB"/>
        </w:rPr>
        <w:t>. Potential modes of tran</w:t>
      </w:r>
      <w:r w:rsidR="00662E2F" w:rsidRPr="00176D46">
        <w:rPr>
          <w:rFonts w:eastAsia="Times New Roman"/>
          <w:b w:val="0"/>
          <w:sz w:val="20"/>
          <w:szCs w:val="20"/>
          <w:lang w:val="en-GB"/>
        </w:rPr>
        <w:t>s</w:t>
      </w:r>
      <w:r w:rsidRPr="00176D46">
        <w:rPr>
          <w:rFonts w:eastAsia="Times New Roman"/>
          <w:b w:val="0"/>
          <w:sz w:val="20"/>
          <w:szCs w:val="20"/>
          <w:lang w:val="en-GB"/>
        </w:rPr>
        <w:t>portation across the boundary of the</w:t>
      </w:r>
      <w:r w:rsidR="00B164AA" w:rsidRPr="00176D46">
        <w:rPr>
          <w:rFonts w:eastAsia="Times New Roman"/>
          <w:b w:val="0"/>
          <w:sz w:val="20"/>
          <w:szCs w:val="20"/>
          <w:lang w:val="en-GB"/>
        </w:rPr>
        <w:t xml:space="preserve">se </w:t>
      </w:r>
      <w:r w:rsidRPr="00176D46">
        <w:rPr>
          <w:rFonts w:eastAsia="Times New Roman"/>
          <w:b w:val="0"/>
          <w:sz w:val="20"/>
          <w:szCs w:val="20"/>
          <w:lang w:val="en-GB"/>
        </w:rPr>
        <w:t>site</w:t>
      </w:r>
      <w:r w:rsidR="00B164AA" w:rsidRPr="00176D46">
        <w:rPr>
          <w:rFonts w:eastAsia="Times New Roman"/>
          <w:b w:val="0"/>
          <w:sz w:val="20"/>
          <w:szCs w:val="20"/>
          <w:lang w:val="en-GB"/>
        </w:rPr>
        <w:t>s</w:t>
      </w:r>
      <w:r w:rsidRPr="00176D46">
        <w:rPr>
          <w:rFonts w:eastAsia="Times New Roman"/>
          <w:b w:val="0"/>
          <w:sz w:val="20"/>
          <w:szCs w:val="20"/>
          <w:lang w:val="en-GB"/>
        </w:rPr>
        <w:t xml:space="preserve"> included:</w:t>
      </w:r>
    </w:p>
    <w:p w14:paraId="1FF64C80" w14:textId="77777777" w:rsidR="00043D77" w:rsidRPr="00176D46" w:rsidRDefault="00043D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2B3D647E" w14:textId="77777777" w:rsidR="007D0D56" w:rsidRPr="00176D46" w:rsidRDefault="007D0D56"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Direct rail</w:t>
      </w:r>
      <w:r w:rsidR="005C63AB" w:rsidRPr="00176D46">
        <w:rPr>
          <w:rFonts w:eastAsia="Times New Roman"/>
          <w:b w:val="0"/>
          <w:sz w:val="20"/>
          <w:szCs w:val="20"/>
          <w:lang w:val="en-GB"/>
        </w:rPr>
        <w:t>;</w:t>
      </w:r>
    </w:p>
    <w:p w14:paraId="6D44F96E" w14:textId="77777777" w:rsidR="007D0D56" w:rsidRPr="00176D46" w:rsidRDefault="007D0D56"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Barge</w:t>
      </w:r>
      <w:r w:rsidR="005C63AB" w:rsidRPr="00176D46">
        <w:rPr>
          <w:rFonts w:eastAsia="Times New Roman"/>
          <w:b w:val="0"/>
          <w:sz w:val="20"/>
          <w:szCs w:val="20"/>
          <w:lang w:val="en-GB"/>
        </w:rPr>
        <w:t>;</w:t>
      </w:r>
    </w:p>
    <w:p w14:paraId="0A21F1FE" w14:textId="42D2D34F" w:rsidR="007D0D56" w:rsidRPr="00176D46" w:rsidRDefault="007D0D56"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Heavy-haul truck (HHT)</w:t>
      </w:r>
      <w:r w:rsidR="005C63AB" w:rsidRPr="00176D46">
        <w:rPr>
          <w:rFonts w:eastAsia="Times New Roman"/>
          <w:b w:val="0"/>
          <w:sz w:val="20"/>
          <w:szCs w:val="20"/>
          <w:lang w:val="en-GB"/>
        </w:rPr>
        <w:t>.</w:t>
      </w:r>
    </w:p>
    <w:p w14:paraId="2D015A03" w14:textId="77777777" w:rsidR="00AD4291" w:rsidRPr="00176D46" w:rsidRDefault="00AD4291"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56E93563" w14:textId="21374BAE" w:rsidR="0026266B" w:rsidRDefault="007D0D56"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lastRenderedPageBreak/>
        <w:t xml:space="preserve">Two </w:t>
      </w:r>
      <w:proofErr w:type="spellStart"/>
      <w:r w:rsidRPr="00176D46">
        <w:rPr>
          <w:rFonts w:eastAsia="Times New Roman"/>
          <w:b w:val="0"/>
          <w:sz w:val="20"/>
          <w:szCs w:val="20"/>
          <w:lang w:val="en-GB"/>
        </w:rPr>
        <w:t>transload</w:t>
      </w:r>
      <w:proofErr w:type="spellEnd"/>
      <w:r w:rsidRPr="00176D46">
        <w:rPr>
          <w:rFonts w:eastAsia="Times New Roman"/>
          <w:b w:val="0"/>
          <w:sz w:val="20"/>
          <w:szCs w:val="20"/>
          <w:lang w:val="en-GB"/>
        </w:rPr>
        <w:t xml:space="preserve"> options were created for each origin site to accommodate the potential for a change of mode during transportation</w:t>
      </w:r>
      <w:r w:rsidR="00662E2F" w:rsidRPr="00176D46">
        <w:rPr>
          <w:rFonts w:eastAsia="Times New Roman"/>
          <w:b w:val="0"/>
          <w:sz w:val="20"/>
          <w:szCs w:val="20"/>
          <w:lang w:val="en-GB"/>
        </w:rPr>
        <w:t xml:space="preserve">. The near-origin </w:t>
      </w:r>
      <w:proofErr w:type="spellStart"/>
      <w:r w:rsidR="00662E2F" w:rsidRPr="00176D46">
        <w:rPr>
          <w:rFonts w:eastAsia="Times New Roman"/>
          <w:b w:val="0"/>
          <w:sz w:val="20"/>
          <w:szCs w:val="20"/>
          <w:lang w:val="en-GB"/>
        </w:rPr>
        <w:t>transload</w:t>
      </w:r>
      <w:proofErr w:type="spellEnd"/>
      <w:r w:rsidR="00662E2F" w:rsidRPr="00176D46">
        <w:rPr>
          <w:rFonts w:eastAsia="Times New Roman"/>
          <w:b w:val="0"/>
          <w:sz w:val="20"/>
          <w:szCs w:val="20"/>
          <w:lang w:val="en-GB"/>
        </w:rPr>
        <w:t xml:space="preserve"> combinations included:</w:t>
      </w:r>
    </w:p>
    <w:p w14:paraId="615F14F8" w14:textId="77777777" w:rsidR="00043D77" w:rsidRPr="00176D46" w:rsidRDefault="00043D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4BB2076F"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HHT to rail</w:t>
      </w:r>
      <w:r w:rsidR="005C63AB" w:rsidRPr="00176D46">
        <w:rPr>
          <w:rFonts w:eastAsia="Times New Roman"/>
          <w:b w:val="0"/>
          <w:sz w:val="20"/>
          <w:szCs w:val="20"/>
          <w:lang w:val="en-GB"/>
        </w:rPr>
        <w:t>;</w:t>
      </w:r>
    </w:p>
    <w:p w14:paraId="07D3F975"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Barge to rail</w:t>
      </w:r>
      <w:r w:rsidR="005C63AB" w:rsidRPr="00176D46">
        <w:rPr>
          <w:rFonts w:eastAsia="Times New Roman"/>
          <w:b w:val="0"/>
          <w:sz w:val="20"/>
          <w:szCs w:val="20"/>
          <w:lang w:val="en-GB"/>
        </w:rPr>
        <w:t>;</w:t>
      </w:r>
    </w:p>
    <w:p w14:paraId="6A159F98"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Barge to HHT</w:t>
      </w:r>
      <w:r w:rsidR="005C63AB" w:rsidRPr="00176D46">
        <w:rPr>
          <w:rFonts w:eastAsia="Times New Roman"/>
          <w:b w:val="0"/>
          <w:sz w:val="20"/>
          <w:szCs w:val="20"/>
          <w:lang w:val="en-GB"/>
        </w:rPr>
        <w:t>;</w:t>
      </w:r>
    </w:p>
    <w:p w14:paraId="5A987CDC"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ind w:left="0"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HHT to barge</w:t>
      </w:r>
      <w:r w:rsidR="005C63AB" w:rsidRPr="00176D46">
        <w:rPr>
          <w:rFonts w:eastAsia="Times New Roman"/>
          <w:b w:val="0"/>
          <w:sz w:val="20"/>
          <w:szCs w:val="20"/>
          <w:lang w:val="en-GB"/>
        </w:rPr>
        <w:t>.</w:t>
      </w:r>
    </w:p>
    <w:p w14:paraId="26FADA51" w14:textId="77777777" w:rsidR="0026035C" w:rsidRPr="00176D46" w:rsidRDefault="0026035C"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00961977" w14:textId="55FACAA1" w:rsidR="00662E2F" w:rsidRPr="00176D46" w:rsidRDefault="00662E2F"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Intermediate location </w:t>
      </w:r>
      <w:proofErr w:type="spellStart"/>
      <w:r w:rsidRPr="00176D46">
        <w:rPr>
          <w:rFonts w:eastAsia="Times New Roman"/>
          <w:b w:val="0"/>
          <w:sz w:val="20"/>
          <w:szCs w:val="20"/>
          <w:lang w:val="en-GB"/>
        </w:rPr>
        <w:t>transload</w:t>
      </w:r>
      <w:proofErr w:type="spellEnd"/>
      <w:r w:rsidRPr="00176D46">
        <w:rPr>
          <w:rFonts w:eastAsia="Times New Roman"/>
          <w:b w:val="0"/>
          <w:sz w:val="20"/>
          <w:szCs w:val="20"/>
          <w:lang w:val="en-GB"/>
        </w:rPr>
        <w:t xml:space="preserve"> options (such as a port) included</w:t>
      </w:r>
      <w:r w:rsidR="00B164AA" w:rsidRPr="00176D46">
        <w:rPr>
          <w:rFonts w:eastAsia="Times New Roman"/>
          <w:b w:val="0"/>
          <w:sz w:val="20"/>
          <w:szCs w:val="20"/>
          <w:lang w:val="en-GB"/>
        </w:rPr>
        <w:t>:</w:t>
      </w:r>
    </w:p>
    <w:p w14:paraId="195B9B03"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Barge to rail</w:t>
      </w:r>
      <w:r w:rsidR="005C63AB" w:rsidRPr="00176D46">
        <w:rPr>
          <w:rFonts w:eastAsia="Times New Roman"/>
          <w:b w:val="0"/>
          <w:sz w:val="20"/>
          <w:szCs w:val="20"/>
          <w:lang w:val="en-GB"/>
        </w:rPr>
        <w:t>;</w:t>
      </w:r>
    </w:p>
    <w:p w14:paraId="6A567F15"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Barge to HHT</w:t>
      </w:r>
      <w:r w:rsidR="005C63AB" w:rsidRPr="00176D46">
        <w:rPr>
          <w:rFonts w:eastAsia="Times New Roman"/>
          <w:b w:val="0"/>
          <w:sz w:val="20"/>
          <w:szCs w:val="20"/>
          <w:lang w:val="en-GB"/>
        </w:rPr>
        <w:t>.</w:t>
      </w:r>
    </w:p>
    <w:p w14:paraId="1356286E" w14:textId="77777777" w:rsidR="0026035C" w:rsidRPr="00176D46" w:rsidRDefault="0026035C"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6B59AD05" w14:textId="191C8DAB" w:rsidR="00840E5B" w:rsidRPr="00176D46" w:rsidRDefault="006311C4"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Transportation c</w:t>
      </w:r>
      <w:r w:rsidR="00662E2F" w:rsidRPr="00176D46">
        <w:rPr>
          <w:rFonts w:eastAsia="Times New Roman"/>
          <w:b w:val="0"/>
          <w:sz w:val="20"/>
          <w:szCs w:val="20"/>
          <w:lang w:val="en-GB"/>
        </w:rPr>
        <w:t xml:space="preserve">ask acquisition was simulated for the licensing and fabrication activities associated with the </w:t>
      </w:r>
      <w:proofErr w:type="spellStart"/>
      <w:r w:rsidR="00070662" w:rsidRPr="00176D46">
        <w:rPr>
          <w:rFonts w:eastAsia="Times New Roman"/>
          <w:b w:val="0"/>
          <w:sz w:val="20"/>
          <w:szCs w:val="20"/>
          <w:lang w:val="en-GB"/>
        </w:rPr>
        <w:t>overpacks</w:t>
      </w:r>
      <w:proofErr w:type="spellEnd"/>
      <w:r w:rsidR="00070662" w:rsidRPr="00176D46">
        <w:rPr>
          <w:rFonts w:eastAsia="Times New Roman"/>
          <w:b w:val="0"/>
          <w:sz w:val="20"/>
          <w:szCs w:val="20"/>
          <w:lang w:val="en-GB"/>
        </w:rPr>
        <w:t xml:space="preserve"> </w:t>
      </w:r>
      <w:r w:rsidR="00662E2F" w:rsidRPr="00176D46">
        <w:rPr>
          <w:rFonts w:eastAsia="Times New Roman"/>
          <w:b w:val="0"/>
          <w:sz w:val="20"/>
          <w:szCs w:val="20"/>
          <w:lang w:val="en-GB"/>
        </w:rPr>
        <w:t xml:space="preserve">and </w:t>
      </w:r>
      <w:r w:rsidR="00070662" w:rsidRPr="00176D46">
        <w:rPr>
          <w:rFonts w:eastAsia="Times New Roman"/>
          <w:b w:val="0"/>
          <w:sz w:val="20"/>
          <w:szCs w:val="20"/>
          <w:lang w:val="en-GB"/>
        </w:rPr>
        <w:t xml:space="preserve">associated </w:t>
      </w:r>
      <w:r w:rsidR="00662E2F" w:rsidRPr="00176D46">
        <w:rPr>
          <w:rFonts w:eastAsia="Times New Roman"/>
          <w:b w:val="0"/>
          <w:sz w:val="20"/>
          <w:szCs w:val="20"/>
          <w:lang w:val="en-GB"/>
        </w:rPr>
        <w:t>hardware</w:t>
      </w:r>
      <w:r w:rsidR="00070662" w:rsidRPr="00176D46">
        <w:rPr>
          <w:rFonts w:eastAsia="Times New Roman"/>
          <w:b w:val="0"/>
          <w:sz w:val="20"/>
          <w:szCs w:val="20"/>
          <w:lang w:val="en-GB"/>
        </w:rPr>
        <w:t>,</w:t>
      </w:r>
      <w:r w:rsidR="00662E2F" w:rsidRPr="00176D46">
        <w:rPr>
          <w:rFonts w:eastAsia="Times New Roman"/>
          <w:b w:val="0"/>
          <w:sz w:val="20"/>
          <w:szCs w:val="20"/>
          <w:lang w:val="en-GB"/>
        </w:rPr>
        <w:t xml:space="preserve"> and then the casks</w:t>
      </w:r>
      <w:r w:rsidR="00B9281C">
        <w:rPr>
          <w:rStyle w:val="FootnoteReference"/>
          <w:rFonts w:eastAsia="Times New Roman"/>
          <w:b w:val="0"/>
          <w:sz w:val="20"/>
          <w:szCs w:val="20"/>
          <w:lang w:val="en-GB"/>
        </w:rPr>
        <w:footnoteReference w:id="2"/>
      </w:r>
      <w:r w:rsidR="00662E2F" w:rsidRPr="00176D46">
        <w:rPr>
          <w:rFonts w:eastAsia="Times New Roman"/>
          <w:b w:val="0"/>
          <w:sz w:val="20"/>
          <w:szCs w:val="20"/>
          <w:lang w:val="en-GB"/>
        </w:rPr>
        <w:t xml:space="preserve"> were matched to the origin sites.</w:t>
      </w:r>
      <w:r w:rsidR="00A420CF">
        <w:rPr>
          <w:rFonts w:eastAsia="Times New Roman"/>
          <w:b w:val="0"/>
          <w:sz w:val="20"/>
          <w:szCs w:val="20"/>
          <w:lang w:val="en-GB"/>
        </w:rPr>
        <w:t xml:space="preserve"> </w:t>
      </w:r>
      <w:r w:rsidR="00043D77">
        <w:rPr>
          <w:rFonts w:eastAsia="Times New Roman"/>
          <w:b w:val="0"/>
          <w:sz w:val="20"/>
          <w:szCs w:val="20"/>
          <w:lang w:val="en-GB"/>
        </w:rPr>
        <w:t>For modelling purposes it was assumed that a</w:t>
      </w:r>
      <w:r w:rsidR="00662E2F" w:rsidRPr="00176D46">
        <w:rPr>
          <w:rFonts w:eastAsia="Times New Roman"/>
          <w:b w:val="0"/>
          <w:sz w:val="20"/>
          <w:szCs w:val="20"/>
          <w:lang w:val="en-GB"/>
        </w:rPr>
        <w:t xml:space="preserve">t least one </w:t>
      </w:r>
      <w:r w:rsidRPr="00176D46">
        <w:rPr>
          <w:rFonts w:eastAsia="Times New Roman"/>
          <w:b w:val="0"/>
          <w:sz w:val="20"/>
          <w:szCs w:val="20"/>
          <w:lang w:val="en-GB"/>
        </w:rPr>
        <w:t xml:space="preserve">transportation </w:t>
      </w:r>
      <w:r w:rsidR="00662E2F" w:rsidRPr="00176D46">
        <w:rPr>
          <w:rFonts w:eastAsia="Times New Roman"/>
          <w:b w:val="0"/>
          <w:sz w:val="20"/>
          <w:szCs w:val="20"/>
          <w:lang w:val="en-GB"/>
        </w:rPr>
        <w:t>cask of the required type must be manufactured</w:t>
      </w:r>
      <w:r w:rsidR="00ED3E2E" w:rsidRPr="00176D46">
        <w:rPr>
          <w:rFonts w:eastAsia="Times New Roman"/>
          <w:b w:val="0"/>
          <w:sz w:val="20"/>
          <w:szCs w:val="20"/>
          <w:lang w:val="en-GB"/>
        </w:rPr>
        <w:t xml:space="preserve"> and present on-site</w:t>
      </w:r>
      <w:r w:rsidR="00662E2F" w:rsidRPr="00176D46">
        <w:rPr>
          <w:rFonts w:eastAsia="Times New Roman"/>
          <w:b w:val="0"/>
          <w:sz w:val="20"/>
          <w:szCs w:val="20"/>
          <w:lang w:val="en-GB"/>
        </w:rPr>
        <w:t xml:space="preserve"> before an origin site can be ready to transport.</w:t>
      </w:r>
    </w:p>
    <w:p w14:paraId="6A4F8755" w14:textId="09BDA64B" w:rsidR="00662E2F" w:rsidRDefault="00662E2F"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user can configure each selected origin site to evaluate a wide variety of start dates, transportation modes, and cask types. Configuration options include:</w:t>
      </w:r>
    </w:p>
    <w:p w14:paraId="4BA14E6B" w14:textId="77777777" w:rsidR="00043D77" w:rsidRPr="00176D46" w:rsidRDefault="00043D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0807C516"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Date to begin on-site work</w:t>
      </w:r>
      <w:r w:rsidR="00ED3E2E" w:rsidRPr="00176D46">
        <w:rPr>
          <w:rFonts w:eastAsia="Times New Roman"/>
          <w:b w:val="0"/>
          <w:sz w:val="20"/>
          <w:szCs w:val="20"/>
          <w:lang w:val="en-GB"/>
        </w:rPr>
        <w:t>;</w:t>
      </w:r>
    </w:p>
    <w:p w14:paraId="2D20A47A" w14:textId="77777777" w:rsidR="00662E2F" w:rsidRPr="00176D46" w:rsidRDefault="00662E2F"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Date to begin offsite work</w:t>
      </w:r>
      <w:r w:rsidR="00ED3E2E" w:rsidRPr="00176D46">
        <w:rPr>
          <w:rFonts w:eastAsia="Times New Roman"/>
          <w:b w:val="0"/>
          <w:sz w:val="20"/>
          <w:szCs w:val="20"/>
          <w:lang w:val="en-GB"/>
        </w:rPr>
        <w:t>;</w:t>
      </w:r>
    </w:p>
    <w:p w14:paraId="58529ABC" w14:textId="77777777" w:rsidR="00662E2F" w:rsidRPr="00176D46" w:rsidRDefault="003F03A2"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Primary transportation model on-site</w:t>
      </w:r>
      <w:r w:rsidR="00ED3E2E" w:rsidRPr="00176D46">
        <w:rPr>
          <w:rFonts w:eastAsia="Times New Roman"/>
          <w:b w:val="0"/>
          <w:sz w:val="20"/>
          <w:szCs w:val="20"/>
          <w:lang w:val="en-GB"/>
        </w:rPr>
        <w:t>;</w:t>
      </w:r>
    </w:p>
    <w:p w14:paraId="740703E6" w14:textId="77777777" w:rsidR="003F03A2" w:rsidRPr="00176D46" w:rsidRDefault="003F03A2"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proofErr w:type="spellStart"/>
      <w:r w:rsidRPr="00176D46">
        <w:rPr>
          <w:rFonts w:eastAsia="Times New Roman"/>
          <w:b w:val="0"/>
          <w:sz w:val="20"/>
          <w:szCs w:val="20"/>
          <w:lang w:val="en-GB"/>
        </w:rPr>
        <w:t>Transload</w:t>
      </w:r>
      <w:proofErr w:type="spellEnd"/>
      <w:r w:rsidRPr="00176D46">
        <w:rPr>
          <w:rFonts w:eastAsia="Times New Roman"/>
          <w:b w:val="0"/>
          <w:sz w:val="20"/>
          <w:szCs w:val="20"/>
          <w:lang w:val="en-GB"/>
        </w:rPr>
        <w:t xml:space="preserve"> required near the origin site</w:t>
      </w:r>
      <w:r w:rsidR="00ED3E2E" w:rsidRPr="00176D46">
        <w:rPr>
          <w:rFonts w:eastAsia="Times New Roman"/>
          <w:b w:val="0"/>
          <w:sz w:val="20"/>
          <w:szCs w:val="20"/>
          <w:lang w:val="en-GB"/>
        </w:rPr>
        <w:t>;</w:t>
      </w:r>
    </w:p>
    <w:p w14:paraId="4C2D7415" w14:textId="77777777" w:rsidR="003F03A2" w:rsidRPr="00176D46" w:rsidRDefault="003F03A2"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proofErr w:type="spellStart"/>
      <w:r w:rsidRPr="00176D46">
        <w:rPr>
          <w:rFonts w:eastAsia="Times New Roman"/>
          <w:b w:val="0"/>
          <w:sz w:val="20"/>
          <w:szCs w:val="20"/>
          <w:lang w:val="en-GB"/>
        </w:rPr>
        <w:t>Transload</w:t>
      </w:r>
      <w:proofErr w:type="spellEnd"/>
      <w:r w:rsidRPr="00176D46">
        <w:rPr>
          <w:rFonts w:eastAsia="Times New Roman"/>
          <w:b w:val="0"/>
          <w:sz w:val="20"/>
          <w:szCs w:val="20"/>
          <w:lang w:val="en-GB"/>
        </w:rPr>
        <w:t xml:space="preserve"> required at an intermediate locat</w:t>
      </w:r>
      <w:r w:rsidR="006311C4" w:rsidRPr="00176D46">
        <w:rPr>
          <w:rFonts w:eastAsia="Times New Roman"/>
          <w:b w:val="0"/>
          <w:sz w:val="20"/>
          <w:szCs w:val="20"/>
          <w:lang w:val="en-GB"/>
        </w:rPr>
        <w:t>i</w:t>
      </w:r>
      <w:r w:rsidRPr="00176D46">
        <w:rPr>
          <w:rFonts w:eastAsia="Times New Roman"/>
          <w:b w:val="0"/>
          <w:sz w:val="20"/>
          <w:szCs w:val="20"/>
          <w:lang w:val="en-GB"/>
        </w:rPr>
        <w:t>on</w:t>
      </w:r>
      <w:r w:rsidR="00ED3E2E" w:rsidRPr="00176D46">
        <w:rPr>
          <w:rFonts w:eastAsia="Times New Roman"/>
          <w:b w:val="0"/>
          <w:sz w:val="20"/>
          <w:szCs w:val="20"/>
          <w:lang w:val="en-GB"/>
        </w:rPr>
        <w:t>;</w:t>
      </w:r>
    </w:p>
    <w:p w14:paraId="06CB2844" w14:textId="77777777" w:rsidR="003F03A2" w:rsidRPr="00176D46" w:rsidRDefault="003F03A2"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Date to begin transportation cask acquisition activities</w:t>
      </w:r>
      <w:r w:rsidR="00ED3E2E" w:rsidRPr="00176D46">
        <w:rPr>
          <w:rFonts w:eastAsia="Times New Roman"/>
          <w:b w:val="0"/>
          <w:sz w:val="20"/>
          <w:szCs w:val="20"/>
          <w:lang w:val="en-GB"/>
        </w:rPr>
        <w:t>;</w:t>
      </w:r>
    </w:p>
    <w:p w14:paraId="3AD47BFD" w14:textId="77777777" w:rsidR="003F03A2" w:rsidRPr="00176D46" w:rsidRDefault="003F03A2"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Primary transportation cask for the origin site.</w:t>
      </w:r>
    </w:p>
    <w:p w14:paraId="04A57719" w14:textId="77777777" w:rsidR="00840E5B" w:rsidRPr="00176D46" w:rsidRDefault="00840E5B"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211F7EFF" w14:textId="7BD63D8B" w:rsidR="00476AB2" w:rsidRDefault="003F03A2"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At the conclusion of the ESA process, 45 risks</w:t>
      </w:r>
      <w:r w:rsidR="00B5203E" w:rsidRPr="00176D46">
        <w:rPr>
          <w:rFonts w:eastAsia="Times New Roman"/>
          <w:b w:val="0"/>
          <w:sz w:val="20"/>
          <w:szCs w:val="20"/>
          <w:lang w:val="en-GB"/>
        </w:rPr>
        <w:t xml:space="preserve"> were</w:t>
      </w:r>
      <w:r w:rsidRPr="00176D46">
        <w:rPr>
          <w:rFonts w:eastAsia="Times New Roman"/>
          <w:b w:val="0"/>
          <w:sz w:val="20"/>
          <w:szCs w:val="20"/>
          <w:lang w:val="en-GB"/>
        </w:rPr>
        <w:t xml:space="preserve"> identified and documented in a risk register; 24 of them were individually quantified and included in the model for their potential to impact program costs and/or schedule and their associated probability of occurring. </w:t>
      </w:r>
      <w:r w:rsidR="00AD4291" w:rsidRPr="00176D46">
        <w:rPr>
          <w:rFonts w:eastAsia="Times New Roman"/>
          <w:b w:val="0"/>
          <w:sz w:val="20"/>
          <w:szCs w:val="20"/>
          <w:lang w:val="en-GB"/>
        </w:rPr>
        <w:t xml:space="preserve">Ten </w:t>
      </w:r>
      <w:r w:rsidRPr="00176D46">
        <w:rPr>
          <w:rFonts w:eastAsia="Times New Roman"/>
          <w:b w:val="0"/>
          <w:sz w:val="20"/>
          <w:szCs w:val="20"/>
          <w:lang w:val="en-GB"/>
        </w:rPr>
        <w:t>risks were considered adequately addressed in the base uncertainty ranges or other risks, and the remaining risks were excluded from or outside the scope of this model.</w:t>
      </w:r>
      <w:r w:rsidR="00476AB2">
        <w:rPr>
          <w:rFonts w:eastAsia="Times New Roman"/>
          <w:b w:val="0"/>
          <w:sz w:val="20"/>
          <w:szCs w:val="20"/>
          <w:lang w:val="en-GB"/>
        </w:rPr>
        <w:t xml:space="preserve"> </w:t>
      </w:r>
    </w:p>
    <w:p w14:paraId="0298A51D" w14:textId="28FB793E" w:rsidR="00840E5B" w:rsidRPr="00176D46" w:rsidRDefault="00602973" w:rsidP="00176D46">
      <w:pPr>
        <w:pStyle w:val="Heading3"/>
        <w:widowControl w:val="0"/>
        <w:spacing w:before="100" w:beforeAutospacing="1" w:after="100" w:afterAutospacing="1" w:line="280" w:lineRule="atLeast"/>
        <w:ind w:left="360"/>
        <w:rPr>
          <w:b w:val="0"/>
          <w:sz w:val="20"/>
          <w:lang w:val="en-US"/>
        </w:rPr>
      </w:pPr>
      <w:r w:rsidRPr="00176D46">
        <w:rPr>
          <w:b w:val="0"/>
          <w:sz w:val="20"/>
          <w:lang w:val="en-US"/>
        </w:rPr>
        <w:t>ORIGIN SITES READINESS MODEL SCENARIO ANALYSIS</w:t>
      </w:r>
      <w:r w:rsidR="003F03A2" w:rsidRPr="00176D46">
        <w:rPr>
          <w:b w:val="0"/>
          <w:sz w:val="20"/>
          <w:lang w:val="en-US"/>
        </w:rPr>
        <w:t xml:space="preserve"> </w:t>
      </w:r>
    </w:p>
    <w:p w14:paraId="507D1912" w14:textId="19EAADF9" w:rsidR="001E19C6" w:rsidRPr="00176D46" w:rsidRDefault="00E7138A"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ESA tool produces probability distributions of </w:t>
      </w:r>
      <w:r w:rsidR="007B41B9" w:rsidRPr="00176D46">
        <w:rPr>
          <w:rFonts w:eastAsia="Times New Roman"/>
          <w:b w:val="0"/>
          <w:sz w:val="20"/>
          <w:szCs w:val="20"/>
          <w:lang w:val="en-GB"/>
        </w:rPr>
        <w:t xml:space="preserve">selected </w:t>
      </w:r>
      <w:r w:rsidRPr="00176D46">
        <w:rPr>
          <w:rFonts w:eastAsia="Times New Roman"/>
          <w:b w:val="0"/>
          <w:sz w:val="20"/>
          <w:szCs w:val="20"/>
          <w:lang w:val="en-GB"/>
        </w:rPr>
        <w:t>performance metrics, which can be used to identify critical uncertainties and risks that could impact key objectives.</w:t>
      </w:r>
    </w:p>
    <w:p w14:paraId="6C048A0C" w14:textId="12B14B97" w:rsidR="00054CDE" w:rsidRDefault="007B41B9"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Table 1 sums up two primary scenarios that were selected for the analysis</w:t>
      </w:r>
      <w:r w:rsidR="00E06A56" w:rsidRPr="00176D46">
        <w:rPr>
          <w:rFonts w:eastAsia="Times New Roman"/>
          <w:b w:val="0"/>
          <w:sz w:val="20"/>
          <w:szCs w:val="20"/>
          <w:lang w:val="en-GB"/>
        </w:rPr>
        <w:t xml:space="preserve"> [5]</w:t>
      </w:r>
      <w:r w:rsidRPr="00176D46">
        <w:rPr>
          <w:rFonts w:eastAsia="Times New Roman"/>
          <w:b w:val="0"/>
          <w:sz w:val="20"/>
          <w:szCs w:val="20"/>
          <w:lang w:val="en-GB"/>
        </w:rPr>
        <w:t xml:space="preserve">. </w:t>
      </w:r>
      <w:r w:rsidR="003C2E2E" w:rsidRPr="00176D46">
        <w:rPr>
          <w:rFonts w:eastAsia="Times New Roman"/>
          <w:b w:val="0"/>
          <w:sz w:val="20"/>
          <w:szCs w:val="20"/>
          <w:lang w:val="en-GB"/>
        </w:rPr>
        <w:t>A number of</w:t>
      </w:r>
      <w:r w:rsidR="006B2B93" w:rsidRPr="00176D46">
        <w:rPr>
          <w:rFonts w:eastAsia="Times New Roman"/>
          <w:b w:val="0"/>
          <w:sz w:val="20"/>
          <w:szCs w:val="20"/>
          <w:lang w:val="en-GB"/>
        </w:rPr>
        <w:t xml:space="preserve"> enabling</w:t>
      </w:r>
      <w:r w:rsidR="003C2E2E" w:rsidRPr="00176D46">
        <w:rPr>
          <w:rFonts w:eastAsia="Times New Roman"/>
          <w:b w:val="0"/>
          <w:sz w:val="20"/>
          <w:szCs w:val="20"/>
          <w:lang w:val="en-GB"/>
        </w:rPr>
        <w:t xml:space="preserve"> assumptions were made for the </w:t>
      </w:r>
      <w:r w:rsidR="00606B5B" w:rsidRPr="00176D46">
        <w:rPr>
          <w:rFonts w:eastAsia="Times New Roman"/>
          <w:b w:val="0"/>
          <w:sz w:val="20"/>
          <w:szCs w:val="20"/>
          <w:lang w:val="en-GB"/>
        </w:rPr>
        <w:t>purpose</w:t>
      </w:r>
      <w:r w:rsidR="006B2B93" w:rsidRPr="00176D46">
        <w:rPr>
          <w:rFonts w:eastAsia="Times New Roman"/>
          <w:b w:val="0"/>
          <w:sz w:val="20"/>
          <w:szCs w:val="20"/>
          <w:lang w:val="en-GB"/>
        </w:rPr>
        <w:t xml:space="preserve"> of </w:t>
      </w:r>
      <w:r w:rsidR="00E676F3" w:rsidRPr="00176D46">
        <w:rPr>
          <w:rFonts w:eastAsia="Times New Roman"/>
          <w:b w:val="0"/>
          <w:sz w:val="20"/>
          <w:szCs w:val="20"/>
          <w:lang w:val="en-GB"/>
        </w:rPr>
        <w:t>modelling</w:t>
      </w:r>
      <w:r w:rsidR="006B2B93" w:rsidRPr="00176D46">
        <w:rPr>
          <w:rFonts w:eastAsia="Times New Roman"/>
          <w:b w:val="0"/>
          <w:sz w:val="20"/>
          <w:szCs w:val="20"/>
          <w:lang w:val="en-GB"/>
        </w:rPr>
        <w:t xml:space="preserve">, </w:t>
      </w:r>
      <w:r w:rsidR="00E06A56" w:rsidRPr="00176D46">
        <w:rPr>
          <w:rFonts w:eastAsia="Times New Roman"/>
          <w:b w:val="0"/>
          <w:sz w:val="20"/>
          <w:szCs w:val="20"/>
          <w:lang w:val="en-GB"/>
        </w:rPr>
        <w:t>including</w:t>
      </w:r>
      <w:r w:rsidR="006B2B93" w:rsidRPr="00176D46">
        <w:rPr>
          <w:rFonts w:eastAsia="Times New Roman"/>
          <w:b w:val="0"/>
          <w:sz w:val="20"/>
          <w:szCs w:val="20"/>
          <w:lang w:val="en-GB"/>
        </w:rPr>
        <w:t xml:space="preserve"> the following:</w:t>
      </w:r>
    </w:p>
    <w:p w14:paraId="21394EEB" w14:textId="77777777" w:rsidR="00E676F3" w:rsidRPr="00176D46" w:rsidRDefault="00E676F3"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75841D65" w14:textId="77777777" w:rsidR="003A2B67" w:rsidRPr="00176D46" w:rsidRDefault="00E7138A"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start dates for work to begin at origin sites are based upon generic assumptions; </w:t>
      </w:r>
    </w:p>
    <w:p w14:paraId="6868AA9E" w14:textId="3C6A1082" w:rsidR="0026035C" w:rsidRPr="00176D46" w:rsidRDefault="00E7138A"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Work at all origin sites </w:t>
      </w:r>
      <w:r w:rsidR="007B41B9" w:rsidRPr="00176D46">
        <w:rPr>
          <w:rFonts w:eastAsia="Times New Roman"/>
          <w:b w:val="0"/>
          <w:sz w:val="20"/>
          <w:szCs w:val="20"/>
          <w:lang w:val="en-GB"/>
        </w:rPr>
        <w:t xml:space="preserve">included in the model (14 total) </w:t>
      </w:r>
      <w:r w:rsidRPr="00176D46">
        <w:rPr>
          <w:rFonts w:eastAsia="Times New Roman"/>
          <w:b w:val="0"/>
          <w:sz w:val="20"/>
          <w:szCs w:val="20"/>
          <w:lang w:val="en-GB"/>
        </w:rPr>
        <w:t>begins simultaneously;</w:t>
      </w:r>
    </w:p>
    <w:p w14:paraId="12666437" w14:textId="0EACE527" w:rsidR="003A2B67" w:rsidRPr="00176D46" w:rsidRDefault="00E7138A"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A </w:t>
      </w:r>
      <w:r w:rsidR="00866F7D">
        <w:rPr>
          <w:rFonts w:eastAsia="Times New Roman"/>
          <w:b w:val="0"/>
          <w:sz w:val="20"/>
          <w:szCs w:val="20"/>
          <w:lang w:val="en-GB"/>
        </w:rPr>
        <w:t>C</w:t>
      </w:r>
      <w:r w:rsidRPr="00176D46">
        <w:rPr>
          <w:rFonts w:eastAsia="Times New Roman"/>
          <w:b w:val="0"/>
          <w:sz w:val="20"/>
          <w:szCs w:val="20"/>
          <w:lang w:val="en-GB"/>
        </w:rPr>
        <w:t>ISF is constructed and ready to receive SNF when the first origin site is ready to transport;</w:t>
      </w:r>
    </w:p>
    <w:p w14:paraId="7D1F4C45" w14:textId="77777777" w:rsidR="003A2B67" w:rsidRPr="00176D46" w:rsidRDefault="00E7138A"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Risks associated with legislative authorization or funding delays are not included;</w:t>
      </w:r>
    </w:p>
    <w:p w14:paraId="34BDFF68" w14:textId="77777777" w:rsidR="003B0446" w:rsidRPr="00176D46" w:rsidRDefault="00E7138A" w:rsidP="00176D46">
      <w:pPr>
        <w:pStyle w:val="BodyText"/>
        <w:numPr>
          <w:ilvl w:val="0"/>
          <w:numId w:val="27"/>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Risks associated with transportation operations during movements are not included.</w:t>
      </w:r>
    </w:p>
    <w:p w14:paraId="77FC1ADC" w14:textId="635451F1" w:rsidR="0057450E" w:rsidRDefault="0057450E">
      <w:pPr>
        <w:suppressAutoHyphens w:val="0"/>
        <w:overflowPunct/>
        <w:autoSpaceDE/>
        <w:autoSpaceDN/>
        <w:adjustRightInd/>
        <w:spacing w:after="0"/>
        <w:jc w:val="left"/>
        <w:textAlignment w:val="auto"/>
        <w:rPr>
          <w:rFonts w:ascii="Times New Roman" w:eastAsia="Times New Roman" w:hAnsi="Times New Roman"/>
          <w:sz w:val="20"/>
          <w:szCs w:val="20"/>
        </w:rPr>
      </w:pPr>
      <w:r>
        <w:rPr>
          <w:rFonts w:eastAsia="Times New Roman"/>
          <w:b/>
          <w:sz w:val="20"/>
          <w:szCs w:val="20"/>
        </w:rPr>
        <w:br w:type="page"/>
      </w:r>
    </w:p>
    <w:p w14:paraId="1D9F6136" w14:textId="77777777" w:rsidR="001E61E2" w:rsidRPr="00165322" w:rsidRDefault="00757363">
      <w:pPr>
        <w:pStyle w:val="BodyTextFlush"/>
        <w:keepNext/>
        <w:spacing w:before="0" w:after="0"/>
        <w:rPr>
          <w:sz w:val="20"/>
        </w:rPr>
      </w:pPr>
      <w:r w:rsidRPr="00165322">
        <w:rPr>
          <w:sz w:val="20"/>
        </w:rPr>
        <w:lastRenderedPageBreak/>
        <w:t xml:space="preserve">TABLE </w:t>
      </w:r>
      <w:r w:rsidR="0026295D" w:rsidRPr="00165322">
        <w:rPr>
          <w:sz w:val="20"/>
        </w:rPr>
        <w:t>1</w:t>
      </w:r>
      <w:r w:rsidRPr="00165322">
        <w:rPr>
          <w:sz w:val="20"/>
        </w:rPr>
        <w:t xml:space="preserve">. </w:t>
      </w:r>
      <w:r w:rsidR="0026295D" w:rsidRPr="00165322">
        <w:rPr>
          <w:sz w:val="20"/>
        </w:rPr>
        <w:t>SUMMARY OF SCENARIOS ANALYZED IN ORIGIN SITES READINESS MODEL</w:t>
      </w:r>
    </w:p>
    <w:p w14:paraId="06610EB1" w14:textId="77777777" w:rsidR="00757363" w:rsidRPr="0026295D" w:rsidRDefault="00757363" w:rsidP="00757363">
      <w:pPr>
        <w:pStyle w:val="BodyTextFlush"/>
        <w:spacing w:before="0" w:after="0"/>
      </w:pPr>
    </w:p>
    <w:tbl>
      <w:tblPr>
        <w:tblStyle w:val="TableGrid"/>
        <w:tblW w:w="9355" w:type="dxa"/>
        <w:tblLayout w:type="fixed"/>
        <w:tblLook w:val="04A0" w:firstRow="1" w:lastRow="0" w:firstColumn="1" w:lastColumn="0" w:noHBand="0" w:noVBand="1"/>
      </w:tblPr>
      <w:tblGrid>
        <w:gridCol w:w="2785"/>
        <w:gridCol w:w="2790"/>
        <w:gridCol w:w="3780"/>
      </w:tblGrid>
      <w:tr w:rsidR="00757363" w:rsidRPr="00A55EBE" w14:paraId="3268B5EA" w14:textId="77777777" w:rsidTr="00F94E92">
        <w:tc>
          <w:tcPr>
            <w:tcW w:w="2785" w:type="dxa"/>
            <w:vMerge w:val="restart"/>
            <w:tcBorders>
              <w:top w:val="single" w:sz="4" w:space="0" w:color="auto"/>
              <w:left w:val="nil"/>
              <w:bottom w:val="nil"/>
              <w:right w:val="nil"/>
            </w:tcBorders>
          </w:tcPr>
          <w:p w14:paraId="142DDAC9" w14:textId="77777777" w:rsidR="00F94E92" w:rsidRDefault="00F94E92" w:rsidP="00176D46">
            <w:pPr>
              <w:keepNext/>
              <w:keepLines/>
              <w:jc w:val="left"/>
              <w:rPr>
                <w:rFonts w:eastAsia="MS Mincho"/>
                <w:b/>
                <w:color w:val="000000"/>
                <w:sz w:val="18"/>
                <w:szCs w:val="24"/>
              </w:rPr>
            </w:pPr>
          </w:p>
          <w:p w14:paraId="547D4702" w14:textId="15485D3E" w:rsidR="00757363" w:rsidRPr="00F94E92" w:rsidRDefault="00E7138A" w:rsidP="00176D46">
            <w:pPr>
              <w:keepNext/>
              <w:keepLines/>
              <w:jc w:val="left"/>
              <w:rPr>
                <w:rFonts w:eastAsia="MS Mincho"/>
                <w:color w:val="000000"/>
                <w:sz w:val="18"/>
                <w:szCs w:val="24"/>
              </w:rPr>
            </w:pPr>
            <w:r w:rsidRPr="00F94E92">
              <w:rPr>
                <w:rFonts w:eastAsia="MS Mincho"/>
                <w:color w:val="000000"/>
                <w:sz w:val="18"/>
                <w:szCs w:val="24"/>
              </w:rPr>
              <w:t>Site</w:t>
            </w:r>
          </w:p>
        </w:tc>
        <w:tc>
          <w:tcPr>
            <w:tcW w:w="6570" w:type="dxa"/>
            <w:gridSpan w:val="2"/>
            <w:tcBorders>
              <w:top w:val="single" w:sz="4" w:space="0" w:color="auto"/>
              <w:left w:val="nil"/>
              <w:bottom w:val="nil"/>
              <w:right w:val="nil"/>
            </w:tcBorders>
          </w:tcPr>
          <w:p w14:paraId="651A0618" w14:textId="77777777" w:rsidR="00757363" w:rsidRPr="00F94E92" w:rsidRDefault="00E7138A" w:rsidP="00757363">
            <w:pPr>
              <w:keepNext/>
              <w:keepLines/>
              <w:jc w:val="center"/>
              <w:rPr>
                <w:sz w:val="18"/>
              </w:rPr>
            </w:pPr>
            <w:r w:rsidRPr="00F94E92">
              <w:rPr>
                <w:rFonts w:eastAsia="MS Mincho"/>
                <w:sz w:val="18"/>
                <w:szCs w:val="24"/>
              </w:rPr>
              <w:t>Transport Mode Option</w:t>
            </w:r>
          </w:p>
        </w:tc>
      </w:tr>
      <w:tr w:rsidR="00757363" w:rsidRPr="00A55EBE" w14:paraId="02CE705B" w14:textId="77777777" w:rsidTr="00F94E92">
        <w:tc>
          <w:tcPr>
            <w:tcW w:w="2785" w:type="dxa"/>
            <w:vMerge/>
            <w:tcBorders>
              <w:top w:val="nil"/>
              <w:left w:val="nil"/>
              <w:bottom w:val="single" w:sz="4" w:space="0" w:color="auto"/>
              <w:right w:val="nil"/>
            </w:tcBorders>
          </w:tcPr>
          <w:p w14:paraId="76179AC3" w14:textId="77777777" w:rsidR="00757363" w:rsidRPr="00176D46" w:rsidRDefault="00757363" w:rsidP="00176D46">
            <w:pPr>
              <w:keepNext/>
              <w:keepLines/>
              <w:jc w:val="left"/>
              <w:rPr>
                <w:rFonts w:eastAsia="MS Mincho"/>
                <w:color w:val="000000"/>
                <w:sz w:val="18"/>
                <w:szCs w:val="24"/>
              </w:rPr>
            </w:pPr>
          </w:p>
        </w:tc>
        <w:tc>
          <w:tcPr>
            <w:tcW w:w="2790" w:type="dxa"/>
            <w:tcBorders>
              <w:top w:val="nil"/>
              <w:left w:val="nil"/>
              <w:bottom w:val="single" w:sz="4" w:space="0" w:color="auto"/>
              <w:right w:val="nil"/>
            </w:tcBorders>
          </w:tcPr>
          <w:p w14:paraId="029912FF" w14:textId="77777777" w:rsidR="00757363" w:rsidRPr="00F94E92" w:rsidRDefault="00E7138A" w:rsidP="00602973">
            <w:pPr>
              <w:keepNext/>
              <w:keepLines/>
              <w:jc w:val="center"/>
              <w:rPr>
                <w:sz w:val="18"/>
              </w:rPr>
            </w:pPr>
            <w:r w:rsidRPr="00F94E92">
              <w:rPr>
                <w:rFonts w:eastAsia="MS Mincho"/>
                <w:sz w:val="18"/>
                <w:szCs w:val="24"/>
              </w:rPr>
              <w:t>Scenario 1</w:t>
            </w:r>
          </w:p>
        </w:tc>
        <w:tc>
          <w:tcPr>
            <w:tcW w:w="3780" w:type="dxa"/>
            <w:tcBorders>
              <w:top w:val="nil"/>
              <w:left w:val="nil"/>
              <w:bottom w:val="single" w:sz="4" w:space="0" w:color="auto"/>
              <w:right w:val="nil"/>
            </w:tcBorders>
          </w:tcPr>
          <w:p w14:paraId="457A6055" w14:textId="77777777" w:rsidR="00757363" w:rsidRPr="00F94E92" w:rsidRDefault="00E7138A" w:rsidP="00602973">
            <w:pPr>
              <w:keepNext/>
              <w:keepLines/>
              <w:jc w:val="center"/>
              <w:rPr>
                <w:sz w:val="18"/>
              </w:rPr>
            </w:pPr>
            <w:r w:rsidRPr="00F94E92">
              <w:rPr>
                <w:rFonts w:eastAsia="MS Mincho"/>
                <w:sz w:val="18"/>
                <w:szCs w:val="24"/>
              </w:rPr>
              <w:t>Scenario 2</w:t>
            </w:r>
          </w:p>
        </w:tc>
      </w:tr>
      <w:tr w:rsidR="00757363" w:rsidRPr="00A55EBE" w14:paraId="34366719" w14:textId="77777777" w:rsidTr="00F94E92">
        <w:tc>
          <w:tcPr>
            <w:tcW w:w="2785" w:type="dxa"/>
            <w:tcBorders>
              <w:top w:val="single" w:sz="4" w:space="0" w:color="auto"/>
              <w:left w:val="nil"/>
              <w:bottom w:val="nil"/>
              <w:right w:val="nil"/>
            </w:tcBorders>
          </w:tcPr>
          <w:p w14:paraId="44B90483"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Big Rock Point</w:t>
            </w:r>
          </w:p>
        </w:tc>
        <w:tc>
          <w:tcPr>
            <w:tcW w:w="2790" w:type="dxa"/>
            <w:tcBorders>
              <w:top w:val="single" w:sz="4" w:space="0" w:color="auto"/>
              <w:left w:val="nil"/>
              <w:bottom w:val="nil"/>
              <w:right w:val="nil"/>
            </w:tcBorders>
            <w:vAlign w:val="bottom"/>
          </w:tcPr>
          <w:p w14:paraId="08EEEAF0" w14:textId="77777777" w:rsidR="00757363" w:rsidRPr="00165322" w:rsidRDefault="00E7138A" w:rsidP="00602973">
            <w:pPr>
              <w:keepNext/>
              <w:keepLines/>
              <w:jc w:val="center"/>
              <w:rPr>
                <w:sz w:val="18"/>
              </w:rPr>
            </w:pPr>
            <w:r w:rsidRPr="00165322">
              <w:rPr>
                <w:rFonts w:eastAsia="MS Mincho"/>
                <w:color w:val="000000"/>
                <w:sz w:val="18"/>
                <w:szCs w:val="24"/>
              </w:rPr>
              <w:t>HHT to Rail</w:t>
            </w:r>
          </w:p>
        </w:tc>
        <w:tc>
          <w:tcPr>
            <w:tcW w:w="3780" w:type="dxa"/>
            <w:tcBorders>
              <w:top w:val="single" w:sz="4" w:space="0" w:color="auto"/>
              <w:left w:val="nil"/>
              <w:bottom w:val="nil"/>
              <w:right w:val="nil"/>
            </w:tcBorders>
          </w:tcPr>
          <w:p w14:paraId="50B7BF65" w14:textId="77777777" w:rsidR="00757363" w:rsidRPr="00165322" w:rsidRDefault="00E7138A" w:rsidP="00602973">
            <w:pPr>
              <w:keepNext/>
              <w:keepLines/>
              <w:jc w:val="center"/>
              <w:rPr>
                <w:color w:val="000000"/>
                <w:sz w:val="18"/>
              </w:rPr>
            </w:pPr>
            <w:r w:rsidRPr="00165322">
              <w:rPr>
                <w:rFonts w:eastAsia="MS Mincho"/>
                <w:color w:val="000000"/>
                <w:sz w:val="18"/>
                <w:szCs w:val="24"/>
              </w:rPr>
              <w:t>Barge to Rail</w:t>
            </w:r>
          </w:p>
        </w:tc>
      </w:tr>
      <w:tr w:rsidR="00757363" w:rsidRPr="00A55EBE" w14:paraId="339CFD00" w14:textId="77777777" w:rsidTr="00F94E92">
        <w:tc>
          <w:tcPr>
            <w:tcW w:w="2785" w:type="dxa"/>
            <w:tcBorders>
              <w:top w:val="nil"/>
              <w:left w:val="nil"/>
              <w:bottom w:val="nil"/>
              <w:right w:val="nil"/>
            </w:tcBorders>
          </w:tcPr>
          <w:p w14:paraId="261E0905"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Crystal River</w:t>
            </w:r>
          </w:p>
        </w:tc>
        <w:tc>
          <w:tcPr>
            <w:tcW w:w="2790" w:type="dxa"/>
            <w:tcBorders>
              <w:top w:val="nil"/>
              <w:left w:val="nil"/>
              <w:bottom w:val="nil"/>
              <w:right w:val="nil"/>
            </w:tcBorders>
            <w:vAlign w:val="bottom"/>
          </w:tcPr>
          <w:p w14:paraId="694CBD9C" w14:textId="77777777" w:rsidR="00757363" w:rsidRPr="00165322" w:rsidRDefault="00E7138A" w:rsidP="00602973">
            <w:pPr>
              <w:keepNext/>
              <w:keepLines/>
              <w:jc w:val="center"/>
              <w:rPr>
                <w:sz w:val="18"/>
              </w:rPr>
            </w:pPr>
            <w:r w:rsidRPr="00165322">
              <w:rPr>
                <w:rFonts w:eastAsia="MS Mincho"/>
                <w:color w:val="000000"/>
                <w:sz w:val="18"/>
                <w:szCs w:val="24"/>
              </w:rPr>
              <w:t>Direct Rail</w:t>
            </w:r>
          </w:p>
        </w:tc>
        <w:tc>
          <w:tcPr>
            <w:tcW w:w="3780" w:type="dxa"/>
            <w:tcBorders>
              <w:top w:val="nil"/>
              <w:left w:val="nil"/>
              <w:bottom w:val="nil"/>
              <w:right w:val="nil"/>
            </w:tcBorders>
          </w:tcPr>
          <w:p w14:paraId="4012FDBC" w14:textId="77777777" w:rsidR="00757363" w:rsidRPr="00165322" w:rsidRDefault="00E7138A" w:rsidP="00602973">
            <w:pPr>
              <w:keepNext/>
              <w:keepLines/>
              <w:jc w:val="center"/>
              <w:rPr>
                <w:color w:val="000000"/>
                <w:sz w:val="18"/>
              </w:rPr>
            </w:pPr>
            <w:r w:rsidRPr="00165322">
              <w:rPr>
                <w:rFonts w:eastAsia="MS Mincho"/>
                <w:color w:val="000000"/>
                <w:sz w:val="18"/>
                <w:szCs w:val="24"/>
              </w:rPr>
              <w:t>Barge to Rail</w:t>
            </w:r>
          </w:p>
        </w:tc>
      </w:tr>
      <w:tr w:rsidR="00757363" w:rsidRPr="00A55EBE" w14:paraId="6FC64289" w14:textId="77777777" w:rsidTr="00F94E92">
        <w:tc>
          <w:tcPr>
            <w:tcW w:w="2785" w:type="dxa"/>
            <w:tcBorders>
              <w:top w:val="nil"/>
              <w:left w:val="nil"/>
              <w:bottom w:val="nil"/>
              <w:right w:val="nil"/>
            </w:tcBorders>
          </w:tcPr>
          <w:p w14:paraId="28A2AB77"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Connecticut Yankee</w:t>
            </w:r>
          </w:p>
        </w:tc>
        <w:tc>
          <w:tcPr>
            <w:tcW w:w="2790" w:type="dxa"/>
            <w:tcBorders>
              <w:top w:val="nil"/>
              <w:left w:val="nil"/>
              <w:bottom w:val="nil"/>
              <w:right w:val="nil"/>
            </w:tcBorders>
            <w:vAlign w:val="bottom"/>
          </w:tcPr>
          <w:p w14:paraId="0398AC22" w14:textId="77777777" w:rsidR="00757363" w:rsidRPr="00165322" w:rsidRDefault="00E7138A" w:rsidP="00602973">
            <w:pPr>
              <w:keepNext/>
              <w:keepLines/>
              <w:jc w:val="center"/>
              <w:rPr>
                <w:sz w:val="18"/>
              </w:rPr>
            </w:pPr>
            <w:r w:rsidRPr="00165322">
              <w:rPr>
                <w:rFonts w:eastAsia="MS Mincho"/>
                <w:color w:val="000000"/>
                <w:sz w:val="18"/>
                <w:szCs w:val="24"/>
              </w:rPr>
              <w:t>Barge to Rail</w:t>
            </w:r>
          </w:p>
        </w:tc>
        <w:tc>
          <w:tcPr>
            <w:tcW w:w="3780" w:type="dxa"/>
            <w:tcBorders>
              <w:top w:val="nil"/>
              <w:left w:val="nil"/>
              <w:bottom w:val="nil"/>
              <w:right w:val="nil"/>
            </w:tcBorders>
          </w:tcPr>
          <w:p w14:paraId="131034CC" w14:textId="77777777" w:rsidR="00757363" w:rsidRPr="00165322" w:rsidRDefault="00E7138A" w:rsidP="00602973">
            <w:pPr>
              <w:keepNext/>
              <w:keepLines/>
              <w:jc w:val="center"/>
              <w:rPr>
                <w:color w:val="000000"/>
                <w:sz w:val="18"/>
              </w:rPr>
            </w:pPr>
            <w:r w:rsidRPr="00165322">
              <w:rPr>
                <w:rFonts w:eastAsia="MS Mincho"/>
                <w:color w:val="000000"/>
                <w:sz w:val="18"/>
                <w:szCs w:val="24"/>
              </w:rPr>
              <w:t>HHT to Rail</w:t>
            </w:r>
          </w:p>
        </w:tc>
      </w:tr>
      <w:tr w:rsidR="00757363" w:rsidRPr="00A55EBE" w14:paraId="37162BED" w14:textId="77777777" w:rsidTr="00F94E92">
        <w:tc>
          <w:tcPr>
            <w:tcW w:w="2785" w:type="dxa"/>
            <w:tcBorders>
              <w:top w:val="nil"/>
              <w:left w:val="nil"/>
              <w:bottom w:val="nil"/>
              <w:right w:val="nil"/>
            </w:tcBorders>
          </w:tcPr>
          <w:p w14:paraId="23F3661A"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Fort Calhoun</w:t>
            </w:r>
          </w:p>
        </w:tc>
        <w:tc>
          <w:tcPr>
            <w:tcW w:w="2790" w:type="dxa"/>
            <w:tcBorders>
              <w:top w:val="nil"/>
              <w:left w:val="nil"/>
              <w:bottom w:val="nil"/>
              <w:right w:val="nil"/>
            </w:tcBorders>
            <w:vAlign w:val="bottom"/>
          </w:tcPr>
          <w:p w14:paraId="4BA0AF50" w14:textId="77777777" w:rsidR="00757363" w:rsidRPr="00165322" w:rsidRDefault="00E7138A" w:rsidP="00602973">
            <w:pPr>
              <w:keepLines/>
              <w:jc w:val="center"/>
              <w:rPr>
                <w:sz w:val="18"/>
              </w:rPr>
            </w:pPr>
            <w:r w:rsidRPr="00165322">
              <w:rPr>
                <w:rFonts w:eastAsia="MS Mincho"/>
                <w:color w:val="000000"/>
                <w:sz w:val="18"/>
                <w:szCs w:val="24"/>
              </w:rPr>
              <w:t>Direct Rail</w:t>
            </w:r>
          </w:p>
        </w:tc>
        <w:tc>
          <w:tcPr>
            <w:tcW w:w="3780" w:type="dxa"/>
            <w:tcBorders>
              <w:top w:val="nil"/>
              <w:left w:val="nil"/>
              <w:bottom w:val="nil"/>
              <w:right w:val="nil"/>
            </w:tcBorders>
          </w:tcPr>
          <w:p w14:paraId="6E726EEB" w14:textId="77777777" w:rsidR="00757363" w:rsidRPr="00165322" w:rsidRDefault="00E7138A" w:rsidP="00602973">
            <w:pPr>
              <w:keepLines/>
              <w:jc w:val="center"/>
              <w:rPr>
                <w:color w:val="000000"/>
                <w:sz w:val="18"/>
              </w:rPr>
            </w:pPr>
            <w:r w:rsidRPr="00165322">
              <w:rPr>
                <w:rFonts w:eastAsia="MS Mincho"/>
                <w:color w:val="000000"/>
                <w:sz w:val="18"/>
                <w:szCs w:val="24"/>
              </w:rPr>
              <w:t>Barge to Rail</w:t>
            </w:r>
          </w:p>
        </w:tc>
      </w:tr>
      <w:tr w:rsidR="00757363" w:rsidRPr="00A55EBE" w14:paraId="3B1F76CC" w14:textId="77777777" w:rsidTr="00F94E92">
        <w:tc>
          <w:tcPr>
            <w:tcW w:w="2785" w:type="dxa"/>
            <w:tcBorders>
              <w:top w:val="nil"/>
              <w:left w:val="nil"/>
              <w:bottom w:val="nil"/>
              <w:right w:val="nil"/>
            </w:tcBorders>
          </w:tcPr>
          <w:p w14:paraId="689FF4FE"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Humboldt Bay</w:t>
            </w:r>
          </w:p>
        </w:tc>
        <w:tc>
          <w:tcPr>
            <w:tcW w:w="2790" w:type="dxa"/>
            <w:tcBorders>
              <w:top w:val="nil"/>
              <w:left w:val="nil"/>
              <w:bottom w:val="nil"/>
              <w:right w:val="nil"/>
            </w:tcBorders>
            <w:vAlign w:val="bottom"/>
          </w:tcPr>
          <w:p w14:paraId="5B86A291"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c>
          <w:tcPr>
            <w:tcW w:w="3780" w:type="dxa"/>
            <w:tcBorders>
              <w:top w:val="nil"/>
              <w:left w:val="nil"/>
              <w:bottom w:val="nil"/>
              <w:right w:val="nil"/>
            </w:tcBorders>
          </w:tcPr>
          <w:p w14:paraId="57177CE6" w14:textId="77777777" w:rsidR="00757363" w:rsidRPr="00165322" w:rsidRDefault="00E7138A" w:rsidP="00602973">
            <w:pPr>
              <w:keepLines/>
              <w:jc w:val="center"/>
              <w:rPr>
                <w:color w:val="000000"/>
                <w:sz w:val="18"/>
              </w:rPr>
            </w:pPr>
            <w:r w:rsidRPr="00165322">
              <w:rPr>
                <w:rFonts w:eastAsia="MS Mincho"/>
                <w:color w:val="000000"/>
                <w:sz w:val="18"/>
                <w:szCs w:val="24"/>
              </w:rPr>
              <w:t>HHT to Barge to Rail</w:t>
            </w:r>
          </w:p>
        </w:tc>
      </w:tr>
      <w:tr w:rsidR="00757363" w:rsidRPr="00A55EBE" w14:paraId="21A0633F" w14:textId="77777777" w:rsidTr="00F94E92">
        <w:tc>
          <w:tcPr>
            <w:tcW w:w="2785" w:type="dxa"/>
            <w:tcBorders>
              <w:top w:val="nil"/>
              <w:left w:val="nil"/>
              <w:bottom w:val="nil"/>
              <w:right w:val="nil"/>
            </w:tcBorders>
          </w:tcPr>
          <w:p w14:paraId="411D3186"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Kewaunee</w:t>
            </w:r>
          </w:p>
        </w:tc>
        <w:tc>
          <w:tcPr>
            <w:tcW w:w="2790" w:type="dxa"/>
            <w:tcBorders>
              <w:top w:val="nil"/>
              <w:left w:val="nil"/>
              <w:bottom w:val="nil"/>
              <w:right w:val="nil"/>
            </w:tcBorders>
            <w:vAlign w:val="bottom"/>
          </w:tcPr>
          <w:p w14:paraId="1801AB1D"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c>
          <w:tcPr>
            <w:tcW w:w="3780" w:type="dxa"/>
            <w:tcBorders>
              <w:top w:val="nil"/>
              <w:left w:val="nil"/>
              <w:bottom w:val="nil"/>
              <w:right w:val="nil"/>
            </w:tcBorders>
          </w:tcPr>
          <w:p w14:paraId="130E2B50" w14:textId="77777777" w:rsidR="00757363" w:rsidRPr="00165322" w:rsidRDefault="00E7138A" w:rsidP="00602973">
            <w:pPr>
              <w:keepLines/>
              <w:jc w:val="center"/>
              <w:rPr>
                <w:color w:val="000000"/>
                <w:sz w:val="18"/>
              </w:rPr>
            </w:pPr>
            <w:r w:rsidRPr="00165322">
              <w:rPr>
                <w:rFonts w:eastAsia="MS Mincho"/>
                <w:color w:val="000000"/>
                <w:sz w:val="18"/>
                <w:szCs w:val="24"/>
              </w:rPr>
              <w:t>HHT to Barge to Rail</w:t>
            </w:r>
          </w:p>
        </w:tc>
      </w:tr>
      <w:tr w:rsidR="00757363" w:rsidRPr="00A55EBE" w14:paraId="09B3067C" w14:textId="77777777" w:rsidTr="00F94E92">
        <w:tc>
          <w:tcPr>
            <w:tcW w:w="2785" w:type="dxa"/>
            <w:tcBorders>
              <w:top w:val="nil"/>
              <w:left w:val="nil"/>
              <w:bottom w:val="nil"/>
              <w:right w:val="nil"/>
            </w:tcBorders>
          </w:tcPr>
          <w:p w14:paraId="210C30CB"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La Crosse</w:t>
            </w:r>
          </w:p>
        </w:tc>
        <w:tc>
          <w:tcPr>
            <w:tcW w:w="2790" w:type="dxa"/>
            <w:tcBorders>
              <w:top w:val="nil"/>
              <w:left w:val="nil"/>
              <w:bottom w:val="nil"/>
              <w:right w:val="nil"/>
            </w:tcBorders>
            <w:vAlign w:val="bottom"/>
          </w:tcPr>
          <w:p w14:paraId="6BB8AB78"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nil"/>
              <w:right w:val="nil"/>
            </w:tcBorders>
          </w:tcPr>
          <w:p w14:paraId="2696FEA0" w14:textId="77777777" w:rsidR="00757363" w:rsidRPr="00165322" w:rsidRDefault="00E7138A" w:rsidP="00602973">
            <w:pPr>
              <w:keepLines/>
              <w:jc w:val="center"/>
              <w:rPr>
                <w:color w:val="000000"/>
                <w:sz w:val="18"/>
              </w:rPr>
            </w:pPr>
            <w:r w:rsidRPr="00165322">
              <w:rPr>
                <w:rFonts w:eastAsia="MS Mincho"/>
                <w:color w:val="000000"/>
                <w:sz w:val="18"/>
                <w:szCs w:val="24"/>
              </w:rPr>
              <w:t>Barge to Rail</w:t>
            </w:r>
          </w:p>
        </w:tc>
      </w:tr>
      <w:tr w:rsidR="00757363" w:rsidRPr="00A55EBE" w14:paraId="42042669" w14:textId="77777777" w:rsidTr="00F94E92">
        <w:tc>
          <w:tcPr>
            <w:tcW w:w="2785" w:type="dxa"/>
            <w:tcBorders>
              <w:top w:val="nil"/>
              <w:left w:val="nil"/>
              <w:bottom w:val="nil"/>
              <w:right w:val="nil"/>
            </w:tcBorders>
          </w:tcPr>
          <w:p w14:paraId="340C8C07"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Maine Yankee</w:t>
            </w:r>
          </w:p>
        </w:tc>
        <w:tc>
          <w:tcPr>
            <w:tcW w:w="2790" w:type="dxa"/>
            <w:tcBorders>
              <w:top w:val="nil"/>
              <w:left w:val="nil"/>
              <w:bottom w:val="nil"/>
              <w:right w:val="nil"/>
            </w:tcBorders>
            <w:vAlign w:val="bottom"/>
          </w:tcPr>
          <w:p w14:paraId="6064BF3C"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nil"/>
              <w:right w:val="nil"/>
            </w:tcBorders>
          </w:tcPr>
          <w:p w14:paraId="140940B5" w14:textId="77777777" w:rsidR="00757363" w:rsidRPr="00165322" w:rsidRDefault="00E7138A" w:rsidP="00602973">
            <w:pPr>
              <w:keepLines/>
              <w:jc w:val="center"/>
              <w:rPr>
                <w:color w:val="000000"/>
                <w:sz w:val="18"/>
              </w:rPr>
            </w:pPr>
            <w:r w:rsidRPr="00165322">
              <w:rPr>
                <w:rFonts w:eastAsia="MS Mincho"/>
                <w:color w:val="000000"/>
                <w:sz w:val="18"/>
                <w:szCs w:val="24"/>
              </w:rPr>
              <w:t>Barge to Rail</w:t>
            </w:r>
          </w:p>
        </w:tc>
      </w:tr>
      <w:tr w:rsidR="00757363" w:rsidRPr="00A55EBE" w14:paraId="571C1D54" w14:textId="77777777" w:rsidTr="00F94E92">
        <w:tc>
          <w:tcPr>
            <w:tcW w:w="2785" w:type="dxa"/>
            <w:tcBorders>
              <w:top w:val="nil"/>
              <w:left w:val="nil"/>
              <w:bottom w:val="nil"/>
              <w:right w:val="nil"/>
            </w:tcBorders>
          </w:tcPr>
          <w:p w14:paraId="34426F00"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 xml:space="preserve">Rancho </w:t>
            </w:r>
            <w:proofErr w:type="spellStart"/>
            <w:r w:rsidRPr="00176D46">
              <w:rPr>
                <w:rFonts w:eastAsia="MS Mincho"/>
                <w:color w:val="000000"/>
                <w:sz w:val="18"/>
                <w:szCs w:val="24"/>
              </w:rPr>
              <w:t>Seco</w:t>
            </w:r>
            <w:proofErr w:type="spellEnd"/>
          </w:p>
        </w:tc>
        <w:tc>
          <w:tcPr>
            <w:tcW w:w="2790" w:type="dxa"/>
            <w:tcBorders>
              <w:top w:val="nil"/>
              <w:left w:val="nil"/>
              <w:bottom w:val="nil"/>
              <w:right w:val="nil"/>
            </w:tcBorders>
            <w:vAlign w:val="bottom"/>
          </w:tcPr>
          <w:p w14:paraId="73A91934"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nil"/>
              <w:right w:val="nil"/>
            </w:tcBorders>
          </w:tcPr>
          <w:p w14:paraId="3938E7A9"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r>
      <w:tr w:rsidR="00757363" w:rsidRPr="00A55EBE" w14:paraId="144050A6" w14:textId="77777777" w:rsidTr="00F94E92">
        <w:tc>
          <w:tcPr>
            <w:tcW w:w="2785" w:type="dxa"/>
            <w:tcBorders>
              <w:top w:val="nil"/>
              <w:left w:val="nil"/>
              <w:bottom w:val="nil"/>
              <w:right w:val="nil"/>
            </w:tcBorders>
          </w:tcPr>
          <w:p w14:paraId="6C9DFEAC"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 xml:space="preserve">San </w:t>
            </w:r>
            <w:proofErr w:type="spellStart"/>
            <w:r w:rsidRPr="00176D46">
              <w:rPr>
                <w:rFonts w:eastAsia="MS Mincho"/>
                <w:color w:val="000000"/>
                <w:sz w:val="18"/>
                <w:szCs w:val="24"/>
              </w:rPr>
              <w:t>Onofre</w:t>
            </w:r>
            <w:proofErr w:type="spellEnd"/>
          </w:p>
        </w:tc>
        <w:tc>
          <w:tcPr>
            <w:tcW w:w="2790" w:type="dxa"/>
            <w:tcBorders>
              <w:top w:val="nil"/>
              <w:left w:val="nil"/>
              <w:bottom w:val="nil"/>
              <w:right w:val="nil"/>
            </w:tcBorders>
            <w:vAlign w:val="bottom"/>
          </w:tcPr>
          <w:p w14:paraId="0440008D"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nil"/>
              <w:right w:val="nil"/>
            </w:tcBorders>
          </w:tcPr>
          <w:p w14:paraId="2661E2A3" w14:textId="77777777" w:rsidR="00757363" w:rsidRPr="00165322" w:rsidRDefault="00E7138A" w:rsidP="00602973">
            <w:pPr>
              <w:keepLines/>
              <w:jc w:val="center"/>
              <w:rPr>
                <w:color w:val="000000"/>
                <w:sz w:val="18"/>
              </w:rPr>
            </w:pPr>
            <w:r w:rsidRPr="00165322">
              <w:rPr>
                <w:rFonts w:eastAsia="MS Mincho"/>
                <w:color w:val="000000"/>
                <w:sz w:val="18"/>
                <w:szCs w:val="24"/>
              </w:rPr>
              <w:t>HHT to Barge to Rail</w:t>
            </w:r>
          </w:p>
        </w:tc>
      </w:tr>
      <w:tr w:rsidR="00757363" w:rsidRPr="00A55EBE" w14:paraId="5D180652" w14:textId="77777777" w:rsidTr="00F94E92">
        <w:tc>
          <w:tcPr>
            <w:tcW w:w="2785" w:type="dxa"/>
            <w:tcBorders>
              <w:top w:val="nil"/>
              <w:left w:val="nil"/>
              <w:bottom w:val="nil"/>
              <w:right w:val="nil"/>
            </w:tcBorders>
          </w:tcPr>
          <w:p w14:paraId="0262A416"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Trojan</w:t>
            </w:r>
          </w:p>
        </w:tc>
        <w:tc>
          <w:tcPr>
            <w:tcW w:w="2790" w:type="dxa"/>
            <w:tcBorders>
              <w:top w:val="nil"/>
              <w:left w:val="nil"/>
              <w:bottom w:val="nil"/>
              <w:right w:val="nil"/>
            </w:tcBorders>
            <w:vAlign w:val="bottom"/>
          </w:tcPr>
          <w:p w14:paraId="1D3D80D0"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nil"/>
              <w:right w:val="nil"/>
            </w:tcBorders>
          </w:tcPr>
          <w:p w14:paraId="5B837478" w14:textId="77777777" w:rsidR="00757363" w:rsidRPr="00165322" w:rsidRDefault="00E7138A" w:rsidP="00602973">
            <w:pPr>
              <w:keepLines/>
              <w:jc w:val="center"/>
              <w:rPr>
                <w:color w:val="000000"/>
                <w:sz w:val="18"/>
              </w:rPr>
            </w:pPr>
            <w:r w:rsidRPr="00165322">
              <w:rPr>
                <w:rFonts w:eastAsia="MS Mincho"/>
                <w:color w:val="000000"/>
                <w:sz w:val="18"/>
                <w:szCs w:val="24"/>
              </w:rPr>
              <w:t>Barge to Rail</w:t>
            </w:r>
          </w:p>
        </w:tc>
      </w:tr>
      <w:tr w:rsidR="00757363" w:rsidRPr="00A55EBE" w14:paraId="07B62EBC" w14:textId="77777777" w:rsidTr="00F94E92">
        <w:tc>
          <w:tcPr>
            <w:tcW w:w="2785" w:type="dxa"/>
            <w:tcBorders>
              <w:top w:val="nil"/>
              <w:left w:val="nil"/>
              <w:bottom w:val="nil"/>
              <w:right w:val="nil"/>
            </w:tcBorders>
          </w:tcPr>
          <w:p w14:paraId="7DB752C0"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Vermont Yankee</w:t>
            </w:r>
          </w:p>
        </w:tc>
        <w:tc>
          <w:tcPr>
            <w:tcW w:w="2790" w:type="dxa"/>
            <w:tcBorders>
              <w:top w:val="nil"/>
              <w:left w:val="nil"/>
              <w:bottom w:val="nil"/>
              <w:right w:val="nil"/>
            </w:tcBorders>
            <w:vAlign w:val="bottom"/>
          </w:tcPr>
          <w:p w14:paraId="7CEE7D38"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c>
          <w:tcPr>
            <w:tcW w:w="3780" w:type="dxa"/>
            <w:tcBorders>
              <w:top w:val="nil"/>
              <w:left w:val="nil"/>
              <w:bottom w:val="nil"/>
              <w:right w:val="nil"/>
            </w:tcBorders>
          </w:tcPr>
          <w:p w14:paraId="6446B5B8"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r>
      <w:tr w:rsidR="00757363" w:rsidRPr="00A55EBE" w14:paraId="0A9FAAAF" w14:textId="77777777" w:rsidTr="00F94E92">
        <w:tc>
          <w:tcPr>
            <w:tcW w:w="2785" w:type="dxa"/>
            <w:tcBorders>
              <w:top w:val="nil"/>
              <w:left w:val="nil"/>
              <w:bottom w:val="nil"/>
              <w:right w:val="nil"/>
            </w:tcBorders>
          </w:tcPr>
          <w:p w14:paraId="732BA26F"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Yankee Rowe</w:t>
            </w:r>
          </w:p>
        </w:tc>
        <w:tc>
          <w:tcPr>
            <w:tcW w:w="2790" w:type="dxa"/>
            <w:tcBorders>
              <w:top w:val="nil"/>
              <w:left w:val="nil"/>
              <w:bottom w:val="nil"/>
              <w:right w:val="nil"/>
            </w:tcBorders>
            <w:vAlign w:val="bottom"/>
          </w:tcPr>
          <w:p w14:paraId="6C0368BE"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c>
          <w:tcPr>
            <w:tcW w:w="3780" w:type="dxa"/>
            <w:tcBorders>
              <w:top w:val="nil"/>
              <w:left w:val="nil"/>
              <w:bottom w:val="nil"/>
              <w:right w:val="nil"/>
            </w:tcBorders>
          </w:tcPr>
          <w:p w14:paraId="59D63AEE" w14:textId="77777777" w:rsidR="00757363" w:rsidRPr="00165322" w:rsidRDefault="00E7138A" w:rsidP="00602973">
            <w:pPr>
              <w:keepLines/>
              <w:jc w:val="center"/>
              <w:rPr>
                <w:color w:val="000000"/>
                <w:sz w:val="18"/>
              </w:rPr>
            </w:pPr>
            <w:r w:rsidRPr="00165322">
              <w:rPr>
                <w:rFonts w:eastAsia="MS Mincho"/>
                <w:color w:val="000000"/>
                <w:sz w:val="18"/>
                <w:szCs w:val="24"/>
              </w:rPr>
              <w:t>HHT to Rail</w:t>
            </w:r>
          </w:p>
        </w:tc>
      </w:tr>
      <w:tr w:rsidR="00757363" w:rsidRPr="00A55EBE" w14:paraId="351BD2EE" w14:textId="77777777" w:rsidTr="00F94E92">
        <w:tc>
          <w:tcPr>
            <w:tcW w:w="2785" w:type="dxa"/>
            <w:tcBorders>
              <w:top w:val="nil"/>
              <w:left w:val="nil"/>
              <w:bottom w:val="single" w:sz="4" w:space="0" w:color="auto"/>
              <w:right w:val="nil"/>
            </w:tcBorders>
          </w:tcPr>
          <w:p w14:paraId="2A63B678" w14:textId="77777777" w:rsidR="00757363" w:rsidRPr="00176D46" w:rsidRDefault="00E7138A" w:rsidP="00176D46">
            <w:pPr>
              <w:keepNext/>
              <w:keepLines/>
              <w:jc w:val="left"/>
              <w:rPr>
                <w:rFonts w:eastAsia="MS Mincho"/>
                <w:color w:val="000000"/>
                <w:sz w:val="18"/>
                <w:szCs w:val="24"/>
              </w:rPr>
            </w:pPr>
            <w:r w:rsidRPr="00176D46">
              <w:rPr>
                <w:rFonts w:eastAsia="MS Mincho"/>
                <w:color w:val="000000"/>
                <w:sz w:val="18"/>
                <w:szCs w:val="24"/>
              </w:rPr>
              <w:t>Zion</w:t>
            </w:r>
          </w:p>
        </w:tc>
        <w:tc>
          <w:tcPr>
            <w:tcW w:w="2790" w:type="dxa"/>
            <w:tcBorders>
              <w:top w:val="nil"/>
              <w:left w:val="nil"/>
              <w:bottom w:val="single" w:sz="4" w:space="0" w:color="auto"/>
              <w:right w:val="nil"/>
            </w:tcBorders>
            <w:vAlign w:val="bottom"/>
          </w:tcPr>
          <w:p w14:paraId="4E5BEA97" w14:textId="77777777" w:rsidR="00757363" w:rsidRPr="00165322" w:rsidRDefault="00E7138A" w:rsidP="00602973">
            <w:pPr>
              <w:keepLines/>
              <w:jc w:val="center"/>
              <w:rPr>
                <w:color w:val="000000"/>
                <w:sz w:val="18"/>
              </w:rPr>
            </w:pPr>
            <w:r w:rsidRPr="00165322">
              <w:rPr>
                <w:rFonts w:eastAsia="MS Mincho"/>
                <w:color w:val="000000"/>
                <w:sz w:val="18"/>
                <w:szCs w:val="24"/>
              </w:rPr>
              <w:t>Direct Rail</w:t>
            </w:r>
          </w:p>
        </w:tc>
        <w:tc>
          <w:tcPr>
            <w:tcW w:w="3780" w:type="dxa"/>
            <w:tcBorders>
              <w:top w:val="nil"/>
              <w:left w:val="nil"/>
              <w:bottom w:val="single" w:sz="4" w:space="0" w:color="auto"/>
              <w:right w:val="nil"/>
            </w:tcBorders>
          </w:tcPr>
          <w:p w14:paraId="37438A42" w14:textId="77777777" w:rsidR="00757363" w:rsidRPr="00165322" w:rsidRDefault="00E7138A" w:rsidP="00602973">
            <w:pPr>
              <w:keepLines/>
              <w:jc w:val="center"/>
              <w:rPr>
                <w:color w:val="000000"/>
                <w:sz w:val="18"/>
              </w:rPr>
            </w:pPr>
            <w:r w:rsidRPr="00165322">
              <w:rPr>
                <w:rFonts w:eastAsia="MS Mincho"/>
                <w:color w:val="000000"/>
                <w:sz w:val="18"/>
                <w:szCs w:val="24"/>
              </w:rPr>
              <w:t>Barge to Rail</w:t>
            </w:r>
          </w:p>
        </w:tc>
      </w:tr>
    </w:tbl>
    <w:p w14:paraId="0777BCD8" w14:textId="77777777" w:rsidR="00152A19" w:rsidRDefault="00152A19" w:rsidP="00152A19">
      <w:pPr>
        <w:widowControl w:val="0"/>
        <w:rPr>
          <w:rFonts w:ascii="Times New Roman" w:hAnsi="Times New Roman"/>
          <w:iCs/>
        </w:rPr>
      </w:pPr>
    </w:p>
    <w:p w14:paraId="17946FC8" w14:textId="29F1997C" w:rsidR="00757363" w:rsidRPr="00176D46" w:rsidRDefault="00757363"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Fig</w:t>
      </w:r>
      <w:r w:rsidR="004A445F" w:rsidRPr="00176D46">
        <w:rPr>
          <w:rFonts w:eastAsia="Times New Roman"/>
          <w:b w:val="0"/>
          <w:sz w:val="20"/>
          <w:szCs w:val="20"/>
          <w:lang w:val="en-GB"/>
        </w:rPr>
        <w:t>.</w:t>
      </w:r>
      <w:r w:rsidRPr="00176D46">
        <w:rPr>
          <w:rFonts w:eastAsia="Times New Roman"/>
          <w:b w:val="0"/>
          <w:sz w:val="20"/>
          <w:szCs w:val="20"/>
          <w:lang w:val="en-GB"/>
        </w:rPr>
        <w:t xml:space="preserve"> 1 depicts the probability of completing an initial transportation milestone for </w:t>
      </w:r>
      <w:r w:rsidR="00C651B1" w:rsidRPr="00176D46">
        <w:rPr>
          <w:rFonts w:eastAsia="Times New Roman"/>
          <w:b w:val="0"/>
          <w:sz w:val="20"/>
          <w:szCs w:val="20"/>
          <w:lang w:val="en-GB"/>
        </w:rPr>
        <w:t xml:space="preserve">a single site for </w:t>
      </w:r>
      <w:r w:rsidRPr="00176D46">
        <w:rPr>
          <w:rFonts w:eastAsia="Times New Roman"/>
          <w:b w:val="0"/>
          <w:sz w:val="20"/>
          <w:szCs w:val="20"/>
          <w:lang w:val="en-GB"/>
        </w:rPr>
        <w:t xml:space="preserve">the two </w:t>
      </w:r>
      <w:r w:rsidR="00C651B1" w:rsidRPr="00176D46">
        <w:rPr>
          <w:rFonts w:eastAsia="Times New Roman"/>
          <w:b w:val="0"/>
          <w:sz w:val="20"/>
          <w:szCs w:val="20"/>
          <w:lang w:val="en-GB"/>
        </w:rPr>
        <w:t xml:space="preserve">transport mode </w:t>
      </w:r>
      <w:r w:rsidRPr="00176D46">
        <w:rPr>
          <w:rFonts w:eastAsia="Times New Roman"/>
          <w:b w:val="0"/>
          <w:sz w:val="20"/>
          <w:szCs w:val="20"/>
          <w:lang w:val="en-GB"/>
        </w:rPr>
        <w:t xml:space="preserve">scenarios. </w:t>
      </w:r>
      <w:r w:rsidR="00955BFC" w:rsidRPr="00176D46">
        <w:rPr>
          <w:rFonts w:eastAsia="Times New Roman"/>
          <w:b w:val="0"/>
          <w:sz w:val="20"/>
          <w:szCs w:val="20"/>
          <w:lang w:val="en-GB"/>
        </w:rPr>
        <w:t>As the figure shows, t</w:t>
      </w:r>
      <w:r w:rsidRPr="00176D46">
        <w:rPr>
          <w:rFonts w:eastAsia="Times New Roman"/>
          <w:b w:val="0"/>
          <w:sz w:val="20"/>
          <w:szCs w:val="20"/>
          <w:lang w:val="en-GB"/>
        </w:rPr>
        <w:t xml:space="preserve">he </w:t>
      </w:r>
      <w:r w:rsidR="0015039E" w:rsidRPr="00176D46">
        <w:rPr>
          <w:rFonts w:eastAsia="Times New Roman"/>
          <w:b w:val="0"/>
          <w:sz w:val="20"/>
          <w:szCs w:val="20"/>
          <w:lang w:val="en-GB"/>
        </w:rPr>
        <w:t xml:space="preserve">on-site readiness milestone will be achieved earlier with the </w:t>
      </w:r>
      <w:r w:rsidRPr="00176D46">
        <w:rPr>
          <w:rFonts w:eastAsia="Times New Roman"/>
          <w:b w:val="0"/>
          <w:sz w:val="20"/>
          <w:szCs w:val="20"/>
          <w:lang w:val="en-GB"/>
        </w:rPr>
        <w:t xml:space="preserve">assumed transportation mode options in Scenario 1 </w:t>
      </w:r>
      <w:r w:rsidR="0015039E" w:rsidRPr="00176D46">
        <w:rPr>
          <w:rFonts w:eastAsia="Times New Roman"/>
          <w:b w:val="0"/>
          <w:sz w:val="20"/>
          <w:szCs w:val="20"/>
          <w:lang w:val="en-GB"/>
        </w:rPr>
        <w:t>compared</w:t>
      </w:r>
      <w:r w:rsidRPr="00176D46">
        <w:rPr>
          <w:rFonts w:eastAsia="Times New Roman"/>
          <w:b w:val="0"/>
          <w:sz w:val="20"/>
          <w:szCs w:val="20"/>
          <w:lang w:val="en-GB"/>
        </w:rPr>
        <w:t xml:space="preserve"> </w:t>
      </w:r>
      <w:r w:rsidR="00CC2940" w:rsidRPr="00176D46">
        <w:rPr>
          <w:rFonts w:eastAsia="Times New Roman"/>
          <w:b w:val="0"/>
          <w:sz w:val="20"/>
          <w:szCs w:val="20"/>
          <w:lang w:val="en-GB"/>
        </w:rPr>
        <w:t xml:space="preserve">with different transportation mode options </w:t>
      </w:r>
      <w:r w:rsidRPr="00176D46">
        <w:rPr>
          <w:rFonts w:eastAsia="Times New Roman"/>
          <w:b w:val="0"/>
          <w:sz w:val="20"/>
          <w:szCs w:val="20"/>
          <w:lang w:val="en-GB"/>
        </w:rPr>
        <w:t>in Scenario 2</w:t>
      </w:r>
      <w:r w:rsidR="00CC2940" w:rsidRPr="00176D46">
        <w:rPr>
          <w:rFonts w:eastAsia="Times New Roman"/>
          <w:b w:val="0"/>
          <w:sz w:val="20"/>
          <w:szCs w:val="20"/>
          <w:lang w:val="en-GB"/>
        </w:rPr>
        <w:t>.</w:t>
      </w:r>
    </w:p>
    <w:p w14:paraId="39B26BDC" w14:textId="77777777" w:rsidR="00CC2940" w:rsidRDefault="00CC2940" w:rsidP="00152A19">
      <w:pPr>
        <w:widowControl w:val="0"/>
        <w:rPr>
          <w:rFonts w:ascii="Times New Roman" w:hAnsi="Times New Roman"/>
          <w:iCs/>
        </w:rPr>
      </w:pPr>
    </w:p>
    <w:p w14:paraId="7A3ED11D" w14:textId="779CE6D1" w:rsidR="006159D2" w:rsidRDefault="008C5A5C" w:rsidP="006159D2">
      <w:pPr>
        <w:pStyle w:val="FigureCaption"/>
        <w:spacing w:after="0"/>
        <w:rPr>
          <w:bCs w:val="0"/>
          <w:i/>
          <w:color w:val="000000" w:themeColor="text1"/>
          <w:sz w:val="18"/>
        </w:rPr>
      </w:pPr>
      <w:r>
        <w:rPr>
          <w:b w:val="0"/>
          <w:i/>
          <w:noProof/>
          <w:sz w:val="18"/>
        </w:rPr>
        <w:drawing>
          <wp:inline distT="0" distB="0" distL="0" distR="0" wp14:anchorId="29DB85C4" wp14:editId="58E417F9">
            <wp:extent cx="5654650" cy="3782633"/>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 Mode Scenario Comparison.PNG"/>
                    <pic:cNvPicPr/>
                  </pic:nvPicPr>
                  <pic:blipFill>
                    <a:blip r:embed="rId11">
                      <a:extLst>
                        <a:ext uri="{28A0092B-C50C-407E-A947-70E740481C1C}">
                          <a14:useLocalDpi xmlns:a14="http://schemas.microsoft.com/office/drawing/2010/main" val="0"/>
                        </a:ext>
                      </a:extLst>
                    </a:blip>
                    <a:stretch>
                      <a:fillRect/>
                    </a:stretch>
                  </pic:blipFill>
                  <pic:spPr>
                    <a:xfrm>
                      <a:off x="0" y="0"/>
                      <a:ext cx="5655507" cy="3783206"/>
                    </a:xfrm>
                    <a:prstGeom prst="rect">
                      <a:avLst/>
                    </a:prstGeom>
                  </pic:spPr>
                </pic:pic>
              </a:graphicData>
            </a:graphic>
          </wp:inline>
        </w:drawing>
      </w:r>
      <w:r w:rsidR="00CC2940" w:rsidRPr="004A445F">
        <w:rPr>
          <w:b w:val="0"/>
          <w:i/>
          <w:sz w:val="18"/>
        </w:rPr>
        <w:t>Fig. 1</w:t>
      </w:r>
      <w:r w:rsidR="00CC2940" w:rsidRPr="004A445F">
        <w:rPr>
          <w:b w:val="0"/>
          <w:i/>
          <w:color w:val="000000" w:themeColor="text1"/>
          <w:sz w:val="18"/>
        </w:rPr>
        <w:t xml:space="preserve">.  Comparison of Timing for </w:t>
      </w:r>
      <w:r w:rsidR="0015039E">
        <w:rPr>
          <w:b w:val="0"/>
          <w:i/>
          <w:color w:val="000000" w:themeColor="text1"/>
          <w:sz w:val="18"/>
        </w:rPr>
        <w:t xml:space="preserve">On-Site Infrastructure Readiness </w:t>
      </w:r>
      <w:r w:rsidR="00CC2940" w:rsidRPr="004A445F">
        <w:rPr>
          <w:b w:val="0"/>
          <w:i/>
          <w:color w:val="000000" w:themeColor="text1"/>
          <w:sz w:val="18"/>
        </w:rPr>
        <w:t>Milestone Completion for Scenario 1-2</w:t>
      </w:r>
      <w:r w:rsidR="006159D2">
        <w:rPr>
          <w:b w:val="0"/>
          <w:i/>
          <w:color w:val="000000" w:themeColor="text1"/>
          <w:sz w:val="18"/>
        </w:rPr>
        <w:t xml:space="preserve"> </w:t>
      </w:r>
      <w:r w:rsidR="006159D2">
        <w:rPr>
          <w:b w:val="0"/>
          <w:i/>
          <w:color w:val="000000" w:themeColor="text1"/>
          <w:sz w:val="18"/>
        </w:rPr>
        <w:br w:type="page"/>
      </w:r>
    </w:p>
    <w:p w14:paraId="6E618442" w14:textId="77777777" w:rsidR="00CC2940" w:rsidRPr="004A445F" w:rsidRDefault="00CC2940" w:rsidP="00CC2940">
      <w:pPr>
        <w:pStyle w:val="FigureCaption"/>
        <w:spacing w:after="0"/>
        <w:rPr>
          <w:b w:val="0"/>
          <w:i/>
          <w:color w:val="000000" w:themeColor="text1"/>
          <w:sz w:val="18"/>
        </w:rPr>
      </w:pPr>
    </w:p>
    <w:p w14:paraId="764AF311" w14:textId="1A36D884" w:rsidR="00C861A5" w:rsidRDefault="00C861A5"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The model has the capability to compare milestones for a given scenario across origin sites. Fig</w:t>
      </w:r>
      <w:r w:rsidR="004A445F" w:rsidRPr="00176D46">
        <w:rPr>
          <w:rFonts w:eastAsia="Times New Roman"/>
          <w:b w:val="0"/>
          <w:sz w:val="20"/>
          <w:szCs w:val="20"/>
          <w:lang w:val="en-GB"/>
        </w:rPr>
        <w:t>. 2</w:t>
      </w:r>
      <w:r w:rsidR="003D5060" w:rsidRPr="00176D46">
        <w:rPr>
          <w:rFonts w:eastAsia="Times New Roman"/>
          <w:b w:val="0"/>
          <w:sz w:val="20"/>
          <w:szCs w:val="20"/>
          <w:lang w:val="en-GB"/>
        </w:rPr>
        <w:t xml:space="preserve"> </w:t>
      </w:r>
      <w:r w:rsidRPr="00176D46">
        <w:rPr>
          <w:rFonts w:eastAsia="Times New Roman"/>
          <w:b w:val="0"/>
          <w:sz w:val="20"/>
          <w:szCs w:val="20"/>
          <w:lang w:val="en-GB"/>
        </w:rPr>
        <w:t>is a summary of the milestone when transportation is initiated for each of the 14 shutdown sites in Scenario 1</w:t>
      </w:r>
      <w:r w:rsidR="0019582C" w:rsidRPr="00176D46">
        <w:rPr>
          <w:rFonts w:eastAsia="Times New Roman"/>
          <w:b w:val="0"/>
          <w:sz w:val="20"/>
          <w:szCs w:val="20"/>
          <w:lang w:val="en-GB"/>
        </w:rPr>
        <w:t xml:space="preserve"> (assuming preparations begin simultaneously at all sites)</w:t>
      </w:r>
      <w:r w:rsidR="00955BFC" w:rsidRPr="00176D46">
        <w:rPr>
          <w:rFonts w:eastAsia="Times New Roman"/>
          <w:b w:val="0"/>
          <w:sz w:val="20"/>
          <w:szCs w:val="20"/>
          <w:lang w:val="en-GB"/>
        </w:rPr>
        <w:t>. T</w:t>
      </w:r>
      <w:r w:rsidRPr="00176D46">
        <w:rPr>
          <w:rFonts w:eastAsia="Times New Roman"/>
          <w:b w:val="0"/>
          <w:sz w:val="20"/>
          <w:szCs w:val="20"/>
          <w:lang w:val="en-GB"/>
        </w:rPr>
        <w:t xml:space="preserve">here are </w:t>
      </w:r>
      <w:r w:rsidR="00955BFC" w:rsidRPr="00176D46">
        <w:rPr>
          <w:rFonts w:eastAsia="Times New Roman"/>
          <w:b w:val="0"/>
          <w:sz w:val="20"/>
          <w:szCs w:val="20"/>
          <w:lang w:val="en-GB"/>
        </w:rPr>
        <w:t>significant</w:t>
      </w:r>
      <w:r w:rsidRPr="00176D46">
        <w:rPr>
          <w:rFonts w:eastAsia="Times New Roman"/>
          <w:b w:val="0"/>
          <w:sz w:val="20"/>
          <w:szCs w:val="20"/>
          <w:lang w:val="en-GB"/>
        </w:rPr>
        <w:t xml:space="preserve"> differences among the shutdown sites </w:t>
      </w:r>
      <w:r w:rsidR="00955BFC" w:rsidRPr="00176D46">
        <w:rPr>
          <w:rFonts w:eastAsia="Times New Roman"/>
          <w:b w:val="0"/>
          <w:sz w:val="20"/>
          <w:szCs w:val="20"/>
          <w:lang w:val="en-GB"/>
        </w:rPr>
        <w:t xml:space="preserve">in regards to </w:t>
      </w:r>
      <w:r w:rsidRPr="00176D46">
        <w:rPr>
          <w:rFonts w:eastAsia="Times New Roman"/>
          <w:b w:val="0"/>
          <w:sz w:val="20"/>
          <w:szCs w:val="20"/>
          <w:lang w:val="en-GB"/>
        </w:rPr>
        <w:t xml:space="preserve">when they might be ready </w:t>
      </w:r>
      <w:r w:rsidR="00955BFC" w:rsidRPr="00176D46">
        <w:rPr>
          <w:rFonts w:eastAsia="Times New Roman"/>
          <w:b w:val="0"/>
          <w:sz w:val="20"/>
          <w:szCs w:val="20"/>
          <w:lang w:val="en-GB"/>
        </w:rPr>
        <w:t xml:space="preserve">for </w:t>
      </w:r>
      <w:r w:rsidRPr="00176D46">
        <w:rPr>
          <w:rFonts w:eastAsia="Times New Roman"/>
          <w:b w:val="0"/>
          <w:sz w:val="20"/>
          <w:szCs w:val="20"/>
          <w:lang w:val="en-GB"/>
        </w:rPr>
        <w:t>transportation</w:t>
      </w:r>
      <w:r w:rsidR="00955BFC" w:rsidRPr="00176D46">
        <w:rPr>
          <w:rFonts w:eastAsia="Times New Roman"/>
          <w:b w:val="0"/>
          <w:sz w:val="20"/>
          <w:szCs w:val="20"/>
          <w:lang w:val="en-GB"/>
        </w:rPr>
        <w:t xml:space="preserve"> to begin</w:t>
      </w:r>
      <w:r w:rsidRPr="00176D46">
        <w:rPr>
          <w:rFonts w:eastAsia="Times New Roman"/>
          <w:b w:val="0"/>
          <w:sz w:val="20"/>
          <w:szCs w:val="20"/>
          <w:lang w:val="en-GB"/>
        </w:rPr>
        <w:t>.</w:t>
      </w:r>
      <w:r w:rsidR="005D2C0D" w:rsidRPr="00176D46">
        <w:rPr>
          <w:rFonts w:eastAsia="Times New Roman"/>
          <w:b w:val="0"/>
          <w:sz w:val="20"/>
          <w:szCs w:val="20"/>
          <w:lang w:val="en-GB"/>
        </w:rPr>
        <w:t xml:space="preserve"> Factors such as casks manufacturing processes, transportation readiness, and work needed to be done to prepare the sites for transportation contribute to these differences. </w:t>
      </w:r>
    </w:p>
    <w:p w14:paraId="451CF0BB" w14:textId="77777777" w:rsidR="0064521B" w:rsidRPr="00176D46" w:rsidRDefault="0064521B"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345BD52E" w14:textId="77777777" w:rsidR="00C861A5" w:rsidRDefault="00943645" w:rsidP="00C861A5">
      <w:pPr>
        <w:pStyle w:val="FigureCaption"/>
        <w:spacing w:after="0"/>
        <w:rPr>
          <w:bCs w:val="0"/>
        </w:rPr>
      </w:pPr>
      <w:r w:rsidRPr="004A445F">
        <w:rPr>
          <w:rFonts w:ascii="Times" w:eastAsia="MS Mincho" w:hAnsi="Times"/>
          <w:b w:val="0"/>
          <w:bCs w:val="0"/>
          <w:noProof/>
          <w:sz w:val="24"/>
          <w:szCs w:val="24"/>
        </w:rPr>
        <w:drawing>
          <wp:inline distT="0" distB="0" distL="0" distR="0" wp14:anchorId="64094077" wp14:editId="51FAF750">
            <wp:extent cx="5767705" cy="476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12">
                      <a:extLst>
                        <a:ext uri="{28A0092B-C50C-407E-A947-70E740481C1C}">
                          <a14:useLocalDpi xmlns:a14="http://schemas.microsoft.com/office/drawing/2010/main" val="0"/>
                        </a:ext>
                      </a:extLst>
                    </a:blip>
                    <a:stretch>
                      <a:fillRect/>
                    </a:stretch>
                  </pic:blipFill>
                  <pic:spPr>
                    <a:xfrm>
                      <a:off x="0" y="0"/>
                      <a:ext cx="5767705" cy="4768850"/>
                    </a:xfrm>
                    <a:prstGeom prst="rect">
                      <a:avLst/>
                    </a:prstGeom>
                  </pic:spPr>
                </pic:pic>
              </a:graphicData>
            </a:graphic>
          </wp:inline>
        </w:drawing>
      </w:r>
      <w:r w:rsidR="00C861A5" w:rsidRPr="00C861A5">
        <w:t xml:space="preserve"> </w:t>
      </w:r>
      <w:r w:rsidR="004A445F" w:rsidRPr="004A445F">
        <w:rPr>
          <w:b w:val="0"/>
          <w:i/>
          <w:sz w:val="18"/>
        </w:rPr>
        <w:t xml:space="preserve">Fig. </w:t>
      </w:r>
      <w:r w:rsidR="004A445F" w:rsidRPr="004A445F">
        <w:rPr>
          <w:b w:val="0"/>
          <w:i/>
          <w:color w:val="000000" w:themeColor="text1"/>
          <w:sz w:val="18"/>
        </w:rPr>
        <w:t xml:space="preserve">2.  </w:t>
      </w:r>
      <w:r w:rsidR="004A445F" w:rsidRPr="004A445F">
        <w:rPr>
          <w:b w:val="0"/>
          <w:bCs w:val="0"/>
          <w:i/>
          <w:sz w:val="18"/>
        </w:rPr>
        <w:t>Comparison of Timing for Initial Transport across Origin Sites, Scenario 1</w:t>
      </w:r>
    </w:p>
    <w:p w14:paraId="420E0A6C" w14:textId="77777777" w:rsidR="00C861A5" w:rsidRDefault="00C861A5" w:rsidP="00152A19">
      <w:pPr>
        <w:widowControl w:val="0"/>
        <w:rPr>
          <w:rFonts w:ascii="Times New Roman" w:hAnsi="Times New Roman"/>
          <w:iCs/>
        </w:rPr>
      </w:pPr>
    </w:p>
    <w:p w14:paraId="71D8C669" w14:textId="563FBDE2" w:rsidR="00A019E2" w:rsidRPr="00176D46" w:rsidRDefault="00A019E2"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Origin Sites Readiness Model was recently used to focus on </w:t>
      </w:r>
      <w:r w:rsidR="00057D2A" w:rsidRPr="00176D46">
        <w:rPr>
          <w:rFonts w:eastAsia="Times New Roman"/>
          <w:b w:val="0"/>
          <w:sz w:val="20"/>
          <w:szCs w:val="20"/>
          <w:lang w:val="en-GB"/>
        </w:rPr>
        <w:t xml:space="preserve">analysis of </w:t>
      </w:r>
      <w:r w:rsidRPr="00176D46">
        <w:rPr>
          <w:rFonts w:eastAsia="Times New Roman"/>
          <w:b w:val="0"/>
          <w:sz w:val="20"/>
          <w:szCs w:val="20"/>
          <w:lang w:val="en-GB"/>
        </w:rPr>
        <w:t xml:space="preserve">on-site and near-site transportation infrastructure costs. The first step in this evaluation involved examining the activities in the </w:t>
      </w:r>
      <w:r w:rsidR="00C3101B" w:rsidRPr="00176D46">
        <w:rPr>
          <w:rFonts w:eastAsia="Times New Roman"/>
          <w:b w:val="0"/>
          <w:sz w:val="20"/>
          <w:szCs w:val="20"/>
          <w:lang w:val="en-GB"/>
        </w:rPr>
        <w:t>m</w:t>
      </w:r>
      <w:r w:rsidRPr="00176D46">
        <w:rPr>
          <w:rFonts w:eastAsia="Times New Roman"/>
          <w:b w:val="0"/>
          <w:sz w:val="20"/>
          <w:szCs w:val="20"/>
          <w:lang w:val="en-GB"/>
        </w:rPr>
        <w:t xml:space="preserve">odel to determine </w:t>
      </w:r>
      <w:r w:rsidR="00C3101B" w:rsidRPr="00176D46">
        <w:rPr>
          <w:rFonts w:eastAsia="Times New Roman"/>
          <w:b w:val="0"/>
          <w:sz w:val="20"/>
          <w:szCs w:val="20"/>
          <w:lang w:val="en-GB"/>
        </w:rPr>
        <w:t xml:space="preserve">those that </w:t>
      </w:r>
      <w:r w:rsidRPr="00176D46">
        <w:rPr>
          <w:rFonts w:eastAsia="Times New Roman"/>
          <w:b w:val="0"/>
          <w:sz w:val="20"/>
          <w:szCs w:val="20"/>
          <w:lang w:val="en-GB"/>
        </w:rPr>
        <w:t xml:space="preserve">contributed to on-site and near-site transportation infrastructure costs. The second step involved evaluating all activities and risks in the </w:t>
      </w:r>
      <w:r w:rsidR="00C3101B" w:rsidRPr="00176D46">
        <w:rPr>
          <w:rFonts w:eastAsia="Times New Roman"/>
          <w:b w:val="0"/>
          <w:sz w:val="20"/>
          <w:szCs w:val="20"/>
          <w:lang w:val="en-GB"/>
        </w:rPr>
        <w:t>m</w:t>
      </w:r>
      <w:r w:rsidRPr="00176D46">
        <w:rPr>
          <w:rFonts w:eastAsia="Times New Roman"/>
          <w:b w:val="0"/>
          <w:sz w:val="20"/>
          <w:szCs w:val="20"/>
          <w:lang w:val="en-GB"/>
        </w:rPr>
        <w:t>odel to determine if any updates were necessary to reflect current conditions at the sites. These data consist of activity durations and costs</w:t>
      </w:r>
      <w:r w:rsidR="00C3101B" w:rsidRPr="00176D46">
        <w:rPr>
          <w:rFonts w:eastAsia="Times New Roman"/>
          <w:b w:val="0"/>
          <w:sz w:val="20"/>
          <w:szCs w:val="20"/>
          <w:lang w:val="en-GB"/>
        </w:rPr>
        <w:t>. Some cost data</w:t>
      </w:r>
      <w:r w:rsidR="00057D2A" w:rsidRPr="00176D46">
        <w:rPr>
          <w:rFonts w:eastAsia="Times New Roman"/>
          <w:b w:val="0"/>
          <w:sz w:val="20"/>
          <w:szCs w:val="20"/>
          <w:lang w:val="en-GB"/>
        </w:rPr>
        <w:t xml:space="preserve"> are identified as</w:t>
      </w:r>
      <w:r w:rsidR="00E06A56" w:rsidRPr="00176D46">
        <w:rPr>
          <w:rFonts w:eastAsia="Times New Roman"/>
          <w:b w:val="0"/>
          <w:sz w:val="20"/>
          <w:szCs w:val="20"/>
          <w:lang w:val="en-GB"/>
        </w:rPr>
        <w:t xml:space="preserve"> per unit</w:t>
      </w:r>
      <w:r w:rsidRPr="00176D46">
        <w:rPr>
          <w:rFonts w:eastAsia="Times New Roman"/>
          <w:b w:val="0"/>
          <w:sz w:val="20"/>
          <w:szCs w:val="20"/>
          <w:lang w:val="en-GB"/>
        </w:rPr>
        <w:t xml:space="preserve"> </w:t>
      </w:r>
      <w:r w:rsidR="00056F53" w:rsidRPr="00176D46">
        <w:rPr>
          <w:rFonts w:eastAsia="Times New Roman"/>
          <w:b w:val="0"/>
          <w:sz w:val="20"/>
          <w:szCs w:val="20"/>
          <w:lang w:val="en-GB"/>
        </w:rPr>
        <w:t>(e.g.</w:t>
      </w:r>
      <w:r w:rsidR="001D131A">
        <w:rPr>
          <w:rFonts w:eastAsia="Times New Roman"/>
          <w:b w:val="0"/>
          <w:sz w:val="20"/>
          <w:szCs w:val="20"/>
          <w:lang w:val="en-GB"/>
        </w:rPr>
        <w:t>,</w:t>
      </w:r>
      <w:r w:rsidR="00056F53" w:rsidRPr="00176D46">
        <w:rPr>
          <w:rFonts w:eastAsia="Times New Roman"/>
          <w:b w:val="0"/>
          <w:sz w:val="20"/>
          <w:szCs w:val="20"/>
          <w:lang w:val="en-GB"/>
        </w:rPr>
        <w:t xml:space="preserve"> a cost per cask)</w:t>
      </w:r>
      <w:r w:rsidR="00A035A4" w:rsidRPr="00176D46">
        <w:rPr>
          <w:rFonts w:eastAsia="Times New Roman"/>
          <w:b w:val="0"/>
          <w:sz w:val="20"/>
          <w:szCs w:val="20"/>
          <w:lang w:val="en-GB"/>
        </w:rPr>
        <w:t xml:space="preserve"> </w:t>
      </w:r>
      <w:r w:rsidR="00057D2A" w:rsidRPr="00176D46">
        <w:rPr>
          <w:rFonts w:eastAsia="Times New Roman"/>
          <w:b w:val="0"/>
          <w:sz w:val="20"/>
          <w:szCs w:val="20"/>
          <w:lang w:val="en-GB"/>
        </w:rPr>
        <w:t>while others</w:t>
      </w:r>
      <w:r w:rsidR="00C3101B" w:rsidRPr="00176D46">
        <w:rPr>
          <w:rFonts w:eastAsia="Times New Roman"/>
          <w:b w:val="0"/>
          <w:sz w:val="20"/>
          <w:szCs w:val="20"/>
          <w:lang w:val="en-GB"/>
        </w:rPr>
        <w:t xml:space="preserve"> </w:t>
      </w:r>
      <w:r w:rsidR="00E06A56" w:rsidRPr="00176D46">
        <w:rPr>
          <w:rFonts w:eastAsia="Times New Roman"/>
          <w:b w:val="0"/>
          <w:sz w:val="20"/>
          <w:szCs w:val="20"/>
          <w:lang w:val="en-GB"/>
        </w:rPr>
        <w:t>occur on annual basis.</w:t>
      </w:r>
      <w:r w:rsidRPr="00176D46">
        <w:rPr>
          <w:rFonts w:eastAsia="Times New Roman"/>
          <w:b w:val="0"/>
          <w:sz w:val="20"/>
          <w:szCs w:val="20"/>
          <w:lang w:val="en-GB"/>
        </w:rPr>
        <w:t xml:space="preserve"> To incorporate uncertainty, the </w:t>
      </w:r>
      <w:r w:rsidR="0019582C" w:rsidRPr="00176D46">
        <w:rPr>
          <w:rFonts w:eastAsia="Times New Roman"/>
          <w:b w:val="0"/>
          <w:sz w:val="20"/>
          <w:szCs w:val="20"/>
          <w:lang w:val="en-GB"/>
        </w:rPr>
        <w:t>most likely value</w:t>
      </w:r>
      <w:r w:rsidR="00057D2A" w:rsidRPr="00176D46">
        <w:rPr>
          <w:rFonts w:eastAsia="Times New Roman"/>
          <w:b w:val="0"/>
          <w:sz w:val="20"/>
          <w:szCs w:val="20"/>
          <w:lang w:val="en-GB"/>
        </w:rPr>
        <w:t>,</w:t>
      </w:r>
      <w:r w:rsidR="00A035A4" w:rsidRPr="00176D46">
        <w:rPr>
          <w:rFonts w:eastAsia="Times New Roman"/>
          <w:b w:val="0"/>
          <w:sz w:val="20"/>
          <w:szCs w:val="20"/>
          <w:lang w:val="en-GB"/>
        </w:rPr>
        <w:t xml:space="preserve"> </w:t>
      </w:r>
      <w:r w:rsidRPr="00176D46">
        <w:rPr>
          <w:rFonts w:eastAsia="Times New Roman"/>
          <w:b w:val="0"/>
          <w:sz w:val="20"/>
          <w:szCs w:val="20"/>
          <w:lang w:val="en-GB"/>
        </w:rPr>
        <w:t>10th</w:t>
      </w:r>
      <w:r w:rsidR="00057D2A" w:rsidRPr="00176D46">
        <w:rPr>
          <w:rFonts w:eastAsia="Times New Roman"/>
          <w:b w:val="0"/>
          <w:sz w:val="20"/>
          <w:szCs w:val="20"/>
          <w:lang w:val="en-GB"/>
        </w:rPr>
        <w:t xml:space="preserve"> and </w:t>
      </w:r>
      <w:r w:rsidRPr="00176D46">
        <w:rPr>
          <w:rFonts w:eastAsia="Times New Roman"/>
          <w:b w:val="0"/>
          <w:sz w:val="20"/>
          <w:szCs w:val="20"/>
          <w:lang w:val="en-GB"/>
        </w:rPr>
        <w:t xml:space="preserve">90th percentiles of the activity durations and costs are used as input. Risks are parameterized by developing data on the probability of occurrence of the risk, </w:t>
      </w:r>
      <w:r w:rsidR="0019582C" w:rsidRPr="00176D46">
        <w:rPr>
          <w:rFonts w:eastAsia="Times New Roman"/>
          <w:b w:val="0"/>
          <w:sz w:val="20"/>
          <w:szCs w:val="20"/>
          <w:lang w:val="en-GB"/>
        </w:rPr>
        <w:t xml:space="preserve">along with </w:t>
      </w:r>
      <w:r w:rsidRPr="00176D46">
        <w:rPr>
          <w:rFonts w:eastAsia="Times New Roman"/>
          <w:b w:val="0"/>
          <w:sz w:val="20"/>
          <w:szCs w:val="20"/>
          <w:lang w:val="en-GB"/>
        </w:rPr>
        <w:t xml:space="preserve">the </w:t>
      </w:r>
      <w:r w:rsidR="0019582C" w:rsidRPr="00176D46">
        <w:rPr>
          <w:rFonts w:eastAsia="Times New Roman"/>
          <w:b w:val="0"/>
          <w:sz w:val="20"/>
          <w:szCs w:val="20"/>
          <w:lang w:val="en-GB"/>
        </w:rPr>
        <w:t>most likely</w:t>
      </w:r>
      <w:r w:rsidR="000C5398">
        <w:rPr>
          <w:rFonts w:eastAsia="Times New Roman"/>
          <w:b w:val="0"/>
          <w:sz w:val="20"/>
          <w:szCs w:val="20"/>
          <w:lang w:val="en-GB"/>
        </w:rPr>
        <w:t xml:space="preserve">, </w:t>
      </w:r>
      <w:r w:rsidRPr="00176D46">
        <w:rPr>
          <w:rFonts w:eastAsia="Times New Roman"/>
          <w:b w:val="0"/>
          <w:sz w:val="20"/>
          <w:szCs w:val="20"/>
          <w:lang w:val="en-GB"/>
        </w:rPr>
        <w:t>1</w:t>
      </w:r>
      <w:r w:rsidR="000C5398">
        <w:rPr>
          <w:rFonts w:eastAsia="Times New Roman"/>
          <w:b w:val="0"/>
          <w:sz w:val="20"/>
          <w:szCs w:val="20"/>
          <w:lang w:val="en-GB"/>
        </w:rPr>
        <w:t xml:space="preserve">0th and </w:t>
      </w:r>
      <w:r w:rsidRPr="00176D46">
        <w:rPr>
          <w:rFonts w:eastAsia="Times New Roman"/>
          <w:b w:val="0"/>
          <w:sz w:val="20"/>
          <w:szCs w:val="20"/>
          <w:lang w:val="en-GB"/>
        </w:rPr>
        <w:t xml:space="preserve">90th percentile conditional schedule impacts and cost impacts. In the third step in the evaluation, the Origin Sites Readiness Model was run for the 14 shutdown sites. To capture the uncertainty of the output data, </w:t>
      </w:r>
      <w:r w:rsidR="00940ADB" w:rsidRPr="00176D46">
        <w:rPr>
          <w:rFonts w:eastAsia="Times New Roman"/>
          <w:b w:val="0"/>
          <w:sz w:val="20"/>
          <w:szCs w:val="20"/>
          <w:lang w:val="en-GB"/>
        </w:rPr>
        <w:t xml:space="preserve">key statistics including </w:t>
      </w:r>
      <w:r w:rsidRPr="00176D46">
        <w:rPr>
          <w:rFonts w:eastAsia="Times New Roman"/>
          <w:b w:val="0"/>
          <w:sz w:val="20"/>
          <w:szCs w:val="20"/>
          <w:lang w:val="en-GB"/>
        </w:rPr>
        <w:t xml:space="preserve">the 20th, 50th, and 80th percentiles of the cumulative on-site costs, the cumulative near-site transportation infrastructure costs, and the on-site and near-site transportation infrastructure readiness dates were </w:t>
      </w:r>
      <w:r w:rsidR="0019582C" w:rsidRPr="00176D46">
        <w:rPr>
          <w:rFonts w:eastAsia="Times New Roman"/>
          <w:b w:val="0"/>
          <w:sz w:val="20"/>
          <w:szCs w:val="20"/>
          <w:lang w:val="en-GB"/>
        </w:rPr>
        <w:t xml:space="preserve">recorded </w:t>
      </w:r>
      <w:r w:rsidR="00940ADB" w:rsidRPr="00176D46">
        <w:rPr>
          <w:rFonts w:eastAsia="Times New Roman"/>
          <w:b w:val="0"/>
          <w:sz w:val="20"/>
          <w:szCs w:val="20"/>
          <w:lang w:val="en-GB"/>
        </w:rPr>
        <w:t>for use in future planning efforts</w:t>
      </w:r>
      <w:r w:rsidR="00C3101B" w:rsidRPr="00176D46">
        <w:rPr>
          <w:rFonts w:eastAsia="Times New Roman"/>
          <w:b w:val="0"/>
          <w:sz w:val="20"/>
          <w:szCs w:val="20"/>
          <w:lang w:val="en-GB"/>
        </w:rPr>
        <w:t>.</w:t>
      </w:r>
    </w:p>
    <w:p w14:paraId="2440A82D" w14:textId="461B4129" w:rsidR="00940ADB" w:rsidRPr="00176D46" w:rsidRDefault="00165322"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lastRenderedPageBreak/>
        <w:t xml:space="preserve">Fig. </w:t>
      </w:r>
      <w:r w:rsidR="00940ADB" w:rsidRPr="00176D46">
        <w:rPr>
          <w:rFonts w:eastAsia="Times New Roman"/>
          <w:b w:val="0"/>
          <w:sz w:val="20"/>
          <w:szCs w:val="20"/>
          <w:lang w:val="en-GB"/>
        </w:rPr>
        <w:t xml:space="preserve">3 provides a summary of the implementation schedule for a single site. </w:t>
      </w:r>
      <w:r w:rsidR="00AE0585" w:rsidRPr="00176D46">
        <w:rPr>
          <w:rFonts w:eastAsia="Times New Roman"/>
          <w:b w:val="0"/>
          <w:sz w:val="20"/>
          <w:szCs w:val="20"/>
          <w:lang w:val="en-GB"/>
        </w:rPr>
        <w:t xml:space="preserve">The </w:t>
      </w:r>
      <w:r w:rsidR="00152EC4" w:rsidRPr="00176D46">
        <w:rPr>
          <w:rFonts w:eastAsia="Times New Roman"/>
          <w:b w:val="0"/>
          <w:sz w:val="20"/>
          <w:szCs w:val="20"/>
          <w:lang w:val="en-GB"/>
        </w:rPr>
        <w:t xml:space="preserve">mode of transport </w:t>
      </w:r>
      <w:r w:rsidR="00E06A56" w:rsidRPr="00176D46">
        <w:rPr>
          <w:rFonts w:eastAsia="Times New Roman"/>
          <w:b w:val="0"/>
          <w:sz w:val="20"/>
          <w:szCs w:val="20"/>
          <w:lang w:val="en-GB"/>
        </w:rPr>
        <w:t xml:space="preserve">for this site </w:t>
      </w:r>
      <w:r w:rsidR="00152EC4" w:rsidRPr="00176D46">
        <w:rPr>
          <w:rFonts w:eastAsia="Times New Roman"/>
          <w:b w:val="0"/>
          <w:sz w:val="20"/>
          <w:szCs w:val="20"/>
          <w:lang w:val="en-GB"/>
        </w:rPr>
        <w:t xml:space="preserve">is assumed to be via </w:t>
      </w:r>
      <w:r w:rsidR="00AE0585" w:rsidRPr="00176D46">
        <w:rPr>
          <w:rFonts w:eastAsia="Times New Roman"/>
          <w:b w:val="0"/>
          <w:sz w:val="20"/>
          <w:szCs w:val="20"/>
          <w:lang w:val="en-GB"/>
        </w:rPr>
        <w:t xml:space="preserve">barge to a </w:t>
      </w:r>
      <w:proofErr w:type="spellStart"/>
      <w:r w:rsidR="00AE0585" w:rsidRPr="00176D46">
        <w:rPr>
          <w:rFonts w:eastAsia="Times New Roman"/>
          <w:b w:val="0"/>
          <w:sz w:val="20"/>
          <w:szCs w:val="20"/>
          <w:lang w:val="en-GB"/>
        </w:rPr>
        <w:t>transload</w:t>
      </w:r>
      <w:proofErr w:type="spellEnd"/>
      <w:r w:rsidR="00AE0585" w:rsidRPr="00176D46">
        <w:rPr>
          <w:rFonts w:eastAsia="Times New Roman"/>
          <w:b w:val="0"/>
          <w:sz w:val="20"/>
          <w:szCs w:val="20"/>
          <w:lang w:val="en-GB"/>
        </w:rPr>
        <w:t xml:space="preserve"> location</w:t>
      </w:r>
      <w:r w:rsidR="00E06A56" w:rsidRPr="00176D46">
        <w:rPr>
          <w:rFonts w:eastAsia="Times New Roman"/>
          <w:b w:val="0"/>
          <w:sz w:val="20"/>
          <w:szCs w:val="20"/>
          <w:lang w:val="en-GB"/>
        </w:rPr>
        <w:t xml:space="preserve">, then via </w:t>
      </w:r>
      <w:r w:rsidR="00AE0585" w:rsidRPr="00176D46">
        <w:rPr>
          <w:rFonts w:eastAsia="Times New Roman"/>
          <w:b w:val="0"/>
          <w:sz w:val="20"/>
          <w:szCs w:val="20"/>
          <w:lang w:val="en-GB"/>
        </w:rPr>
        <w:t xml:space="preserve">rail transport to the destination location. </w:t>
      </w:r>
      <w:r w:rsidR="00152EC4" w:rsidRPr="00176D46">
        <w:rPr>
          <w:rFonts w:eastAsia="Times New Roman"/>
          <w:b w:val="0"/>
          <w:sz w:val="20"/>
          <w:szCs w:val="20"/>
          <w:lang w:val="en-GB"/>
        </w:rPr>
        <w:t>The figure</w:t>
      </w:r>
      <w:r w:rsidR="00E7138A" w:rsidRPr="00176D46">
        <w:rPr>
          <w:rFonts w:eastAsia="Times New Roman"/>
          <w:b w:val="0"/>
          <w:sz w:val="20"/>
          <w:szCs w:val="20"/>
          <w:lang w:val="en-GB"/>
        </w:rPr>
        <w:t xml:space="preserve"> illustrate</w:t>
      </w:r>
      <w:r w:rsidR="00152EC4" w:rsidRPr="00176D46">
        <w:rPr>
          <w:rFonts w:eastAsia="Times New Roman"/>
          <w:b w:val="0"/>
          <w:sz w:val="20"/>
          <w:szCs w:val="20"/>
          <w:lang w:val="en-GB"/>
        </w:rPr>
        <w:t>s</w:t>
      </w:r>
      <w:r w:rsidR="00E7138A" w:rsidRPr="00176D46">
        <w:rPr>
          <w:rFonts w:eastAsia="Times New Roman"/>
          <w:b w:val="0"/>
          <w:sz w:val="20"/>
          <w:szCs w:val="20"/>
          <w:lang w:val="en-GB"/>
        </w:rPr>
        <w:t xml:space="preserve"> the </w:t>
      </w:r>
      <w:r w:rsidR="00152EC4" w:rsidRPr="00176D46">
        <w:rPr>
          <w:rFonts w:eastAsia="Times New Roman"/>
          <w:b w:val="0"/>
          <w:sz w:val="20"/>
          <w:szCs w:val="20"/>
          <w:lang w:val="en-GB"/>
        </w:rPr>
        <w:t>most significant</w:t>
      </w:r>
      <w:r w:rsidR="00E7138A" w:rsidRPr="00176D46">
        <w:rPr>
          <w:rFonts w:eastAsia="Times New Roman"/>
          <w:b w:val="0"/>
          <w:sz w:val="20"/>
          <w:szCs w:val="20"/>
          <w:lang w:val="en-GB"/>
        </w:rPr>
        <w:t xml:space="preserve"> </w:t>
      </w:r>
      <w:r w:rsidR="00152EC4" w:rsidRPr="00176D46">
        <w:rPr>
          <w:rFonts w:eastAsia="Times New Roman"/>
          <w:b w:val="0"/>
          <w:sz w:val="20"/>
          <w:szCs w:val="20"/>
          <w:lang w:val="en-GB"/>
        </w:rPr>
        <w:t xml:space="preserve">site-specific </w:t>
      </w:r>
      <w:r w:rsidR="00E7138A" w:rsidRPr="00176D46">
        <w:rPr>
          <w:rFonts w:eastAsia="Times New Roman"/>
          <w:b w:val="0"/>
          <w:sz w:val="20"/>
          <w:szCs w:val="20"/>
          <w:lang w:val="en-GB"/>
        </w:rPr>
        <w:t xml:space="preserve">milestones necessary to </w:t>
      </w:r>
      <w:r w:rsidR="00152EC4" w:rsidRPr="00176D46">
        <w:rPr>
          <w:rFonts w:eastAsia="Times New Roman"/>
          <w:b w:val="0"/>
          <w:sz w:val="20"/>
          <w:szCs w:val="20"/>
          <w:lang w:val="en-GB"/>
        </w:rPr>
        <w:t>achieve readiness for transport</w:t>
      </w:r>
      <w:r w:rsidR="00E7138A" w:rsidRPr="00176D46">
        <w:rPr>
          <w:rFonts w:eastAsia="Times New Roman"/>
          <w:b w:val="0"/>
          <w:sz w:val="20"/>
          <w:szCs w:val="20"/>
          <w:lang w:val="en-GB"/>
        </w:rPr>
        <w:t xml:space="preserve">, along with a depiction of the associated schedule uncertainties. The milestone diamonds represent the 50th percentile dates, while the uncertainty bars depict the </w:t>
      </w:r>
      <w:r w:rsidR="00152EC4" w:rsidRPr="00176D46">
        <w:rPr>
          <w:rFonts w:eastAsia="Times New Roman"/>
          <w:b w:val="0"/>
          <w:sz w:val="20"/>
          <w:szCs w:val="20"/>
          <w:lang w:val="en-GB"/>
        </w:rPr>
        <w:t>9</w:t>
      </w:r>
      <w:r w:rsidR="00E7138A" w:rsidRPr="00176D46">
        <w:rPr>
          <w:rFonts w:eastAsia="Times New Roman"/>
          <w:b w:val="0"/>
          <w:sz w:val="20"/>
          <w:szCs w:val="20"/>
          <w:lang w:val="en-GB"/>
        </w:rPr>
        <w:t>0% confidence range for each</w:t>
      </w:r>
      <w:r w:rsidR="00623CCD" w:rsidRPr="00176D46">
        <w:rPr>
          <w:rFonts w:eastAsia="Times New Roman"/>
          <w:b w:val="0"/>
          <w:sz w:val="20"/>
          <w:szCs w:val="20"/>
          <w:lang w:val="en-GB"/>
        </w:rPr>
        <w:t xml:space="preserve"> milestone</w:t>
      </w:r>
      <w:r w:rsidR="00E7138A" w:rsidRPr="00176D46">
        <w:rPr>
          <w:rFonts w:eastAsia="Times New Roman"/>
          <w:b w:val="0"/>
          <w:sz w:val="20"/>
          <w:szCs w:val="20"/>
          <w:lang w:val="en-GB"/>
        </w:rPr>
        <w:t xml:space="preserve"> (</w:t>
      </w:r>
      <w:r w:rsidR="00152EC4" w:rsidRPr="00176D46">
        <w:rPr>
          <w:rFonts w:eastAsia="Times New Roman"/>
          <w:b w:val="0"/>
          <w:sz w:val="20"/>
          <w:szCs w:val="20"/>
          <w:lang w:val="en-GB"/>
        </w:rPr>
        <w:t>5</w:t>
      </w:r>
      <w:r w:rsidR="00E7138A" w:rsidRPr="00176D46">
        <w:rPr>
          <w:rFonts w:eastAsia="Times New Roman"/>
          <w:b w:val="0"/>
          <w:sz w:val="20"/>
          <w:szCs w:val="20"/>
          <w:lang w:val="en-GB"/>
        </w:rPr>
        <w:t>th to 9</w:t>
      </w:r>
      <w:r w:rsidR="00152EC4" w:rsidRPr="00176D46">
        <w:rPr>
          <w:rFonts w:eastAsia="Times New Roman"/>
          <w:b w:val="0"/>
          <w:sz w:val="20"/>
          <w:szCs w:val="20"/>
          <w:lang w:val="en-GB"/>
        </w:rPr>
        <w:t>5</w:t>
      </w:r>
      <w:r w:rsidR="00E7138A" w:rsidRPr="00176D46">
        <w:rPr>
          <w:rFonts w:eastAsia="Times New Roman"/>
          <w:b w:val="0"/>
          <w:sz w:val="20"/>
          <w:szCs w:val="20"/>
          <w:lang w:val="en-GB"/>
        </w:rPr>
        <w:t xml:space="preserve">th percentiles). The </w:t>
      </w:r>
      <w:r w:rsidR="00152EC4" w:rsidRPr="00176D46">
        <w:rPr>
          <w:rFonts w:eastAsia="Times New Roman"/>
          <w:b w:val="0"/>
          <w:sz w:val="20"/>
          <w:szCs w:val="20"/>
          <w:lang w:val="en-GB"/>
        </w:rPr>
        <w:t xml:space="preserve">most probable </w:t>
      </w:r>
      <w:r w:rsidR="00E7138A" w:rsidRPr="00176D46">
        <w:rPr>
          <w:rFonts w:eastAsia="Times New Roman"/>
          <w:b w:val="0"/>
          <w:sz w:val="20"/>
          <w:szCs w:val="20"/>
          <w:lang w:val="en-GB"/>
        </w:rPr>
        <w:t xml:space="preserve">critical path </w:t>
      </w:r>
      <w:r w:rsidR="00152EC4" w:rsidRPr="00176D46">
        <w:rPr>
          <w:rFonts w:eastAsia="Times New Roman"/>
          <w:b w:val="0"/>
          <w:sz w:val="20"/>
          <w:szCs w:val="20"/>
          <w:lang w:val="en-GB"/>
        </w:rPr>
        <w:t xml:space="preserve">is </w:t>
      </w:r>
      <w:r w:rsidR="00E70979" w:rsidRPr="00176D46">
        <w:rPr>
          <w:rFonts w:eastAsia="Times New Roman"/>
          <w:b w:val="0"/>
          <w:sz w:val="20"/>
          <w:szCs w:val="20"/>
          <w:lang w:val="en-GB"/>
        </w:rPr>
        <w:t xml:space="preserve">also </w:t>
      </w:r>
      <w:r w:rsidR="00152EC4" w:rsidRPr="00176D46">
        <w:rPr>
          <w:rFonts w:eastAsia="Times New Roman"/>
          <w:b w:val="0"/>
          <w:sz w:val="20"/>
          <w:szCs w:val="20"/>
          <w:lang w:val="en-GB"/>
        </w:rPr>
        <w:t>highlighted on the diagram</w:t>
      </w:r>
      <w:r w:rsidR="00E7138A" w:rsidRPr="00176D46">
        <w:rPr>
          <w:rFonts w:eastAsia="Times New Roman"/>
          <w:b w:val="0"/>
          <w:sz w:val="20"/>
          <w:szCs w:val="20"/>
          <w:lang w:val="en-GB"/>
        </w:rPr>
        <w:t xml:space="preserve">.  </w:t>
      </w:r>
    </w:p>
    <w:p w14:paraId="5F808DE7" w14:textId="77777777" w:rsidR="00AE0585" w:rsidRDefault="00AE0585" w:rsidP="00152A19">
      <w:pPr>
        <w:widowControl w:val="0"/>
        <w:rPr>
          <w:rFonts w:ascii="Times New Roman" w:hAnsi="Times New Roman"/>
          <w:iCs/>
          <w:sz w:val="20"/>
        </w:rPr>
      </w:pPr>
    </w:p>
    <w:p w14:paraId="61D0C2AA" w14:textId="77777777" w:rsidR="00AE0585" w:rsidRDefault="008C5A5C" w:rsidP="00152A19">
      <w:pPr>
        <w:widowControl w:val="0"/>
        <w:rPr>
          <w:rFonts w:ascii="Times New Roman" w:hAnsi="Times New Roman"/>
          <w:iCs/>
          <w:sz w:val="20"/>
        </w:rPr>
      </w:pPr>
      <w:r>
        <w:rPr>
          <w:rFonts w:ascii="Times New Roman" w:hAnsi="Times New Roman"/>
          <w:iCs/>
          <w:noProof/>
          <w:sz w:val="20"/>
          <w:lang w:val="en-US"/>
        </w:rPr>
        <w:drawing>
          <wp:inline distT="0" distB="0" distL="0" distR="0" wp14:anchorId="23EE88FD" wp14:editId="110A0BFC">
            <wp:extent cx="5767705" cy="357949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mary Schedule.PNG"/>
                    <pic:cNvPicPr/>
                  </pic:nvPicPr>
                  <pic:blipFill>
                    <a:blip r:embed="rId13">
                      <a:extLst>
                        <a:ext uri="{28A0092B-C50C-407E-A947-70E740481C1C}">
                          <a14:useLocalDpi xmlns:a14="http://schemas.microsoft.com/office/drawing/2010/main" val="0"/>
                        </a:ext>
                      </a:extLst>
                    </a:blip>
                    <a:stretch>
                      <a:fillRect/>
                    </a:stretch>
                  </pic:blipFill>
                  <pic:spPr>
                    <a:xfrm>
                      <a:off x="0" y="0"/>
                      <a:ext cx="5767705" cy="3579495"/>
                    </a:xfrm>
                    <a:prstGeom prst="rect">
                      <a:avLst/>
                    </a:prstGeom>
                  </pic:spPr>
                </pic:pic>
              </a:graphicData>
            </a:graphic>
          </wp:inline>
        </w:drawing>
      </w:r>
    </w:p>
    <w:p w14:paraId="20C8D53E" w14:textId="77777777" w:rsidR="00AE0585" w:rsidRPr="004A445F" w:rsidRDefault="00AE0585" w:rsidP="00AE0585">
      <w:pPr>
        <w:widowControl w:val="0"/>
        <w:jc w:val="center"/>
        <w:rPr>
          <w:rFonts w:ascii="Times New Roman" w:hAnsi="Times New Roman"/>
          <w:i/>
          <w:iCs/>
          <w:sz w:val="18"/>
        </w:rPr>
      </w:pPr>
      <w:r w:rsidRPr="004A445F">
        <w:rPr>
          <w:i/>
          <w:sz w:val="18"/>
        </w:rPr>
        <w:t xml:space="preserve">Fig. </w:t>
      </w:r>
      <w:r>
        <w:rPr>
          <w:i/>
          <w:sz w:val="18"/>
        </w:rPr>
        <w:t>3</w:t>
      </w:r>
      <w:r w:rsidRPr="004A445F">
        <w:rPr>
          <w:i/>
          <w:color w:val="000000" w:themeColor="text1"/>
          <w:sz w:val="18"/>
        </w:rPr>
        <w:t xml:space="preserve">.  </w:t>
      </w:r>
      <w:r>
        <w:rPr>
          <w:i/>
          <w:sz w:val="18"/>
        </w:rPr>
        <w:t>Summary Schedule for Transportation Readiness at a Single Site</w:t>
      </w:r>
    </w:p>
    <w:p w14:paraId="53A96B10" w14:textId="377D15CE" w:rsidR="00C651B1" w:rsidRDefault="00C651B1"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Critical path and sensitivity analyses identified that</w:t>
      </w:r>
      <w:r w:rsidR="006E2F89">
        <w:rPr>
          <w:rFonts w:eastAsia="Times New Roman"/>
          <w:b w:val="0"/>
          <w:sz w:val="20"/>
          <w:szCs w:val="20"/>
          <w:lang w:val="en-GB"/>
        </w:rPr>
        <w:t xml:space="preserve"> subsequent to </w:t>
      </w:r>
      <w:r w:rsidR="00344C66">
        <w:rPr>
          <w:rFonts w:eastAsia="Times New Roman"/>
          <w:b w:val="0"/>
          <w:sz w:val="20"/>
          <w:szCs w:val="20"/>
          <w:lang w:val="en-GB"/>
        </w:rPr>
        <w:t>the assumed initial milestones</w:t>
      </w:r>
      <w:r w:rsidR="00EC2ED1" w:rsidRPr="00176D46">
        <w:rPr>
          <w:rFonts w:eastAsia="Times New Roman"/>
          <w:b w:val="0"/>
          <w:sz w:val="20"/>
          <w:szCs w:val="20"/>
          <w:lang w:val="en-GB"/>
        </w:rPr>
        <w:t xml:space="preserve"> </w:t>
      </w:r>
      <w:r w:rsidR="006E2F89">
        <w:rPr>
          <w:rFonts w:eastAsia="Times New Roman"/>
          <w:b w:val="0"/>
          <w:sz w:val="20"/>
          <w:szCs w:val="20"/>
          <w:lang w:val="en-GB"/>
        </w:rPr>
        <w:t xml:space="preserve">taking place </w:t>
      </w:r>
      <w:r w:rsidR="00EC2ED1" w:rsidRPr="00176D46">
        <w:rPr>
          <w:rFonts w:eastAsia="Times New Roman"/>
          <w:b w:val="0"/>
          <w:sz w:val="20"/>
          <w:szCs w:val="20"/>
          <w:lang w:val="en-GB"/>
        </w:rPr>
        <w:t xml:space="preserve">the following activities are most likely to be on the </w:t>
      </w:r>
      <w:r w:rsidR="005F4B20" w:rsidRPr="00176D46">
        <w:rPr>
          <w:rFonts w:eastAsia="Times New Roman"/>
          <w:b w:val="0"/>
          <w:sz w:val="20"/>
          <w:szCs w:val="20"/>
          <w:lang w:val="en-GB"/>
        </w:rPr>
        <w:t>critical</w:t>
      </w:r>
      <w:r w:rsidR="00EC2ED1" w:rsidRPr="00176D46">
        <w:rPr>
          <w:rFonts w:eastAsia="Times New Roman"/>
          <w:b w:val="0"/>
          <w:sz w:val="20"/>
          <w:szCs w:val="20"/>
          <w:lang w:val="en-GB"/>
        </w:rPr>
        <w:t xml:space="preserve"> path for the both scenarios:</w:t>
      </w:r>
      <w:r w:rsidRPr="00176D46">
        <w:rPr>
          <w:rFonts w:eastAsia="Times New Roman"/>
          <w:b w:val="0"/>
          <w:sz w:val="20"/>
          <w:szCs w:val="20"/>
          <w:lang w:val="en-GB"/>
        </w:rPr>
        <w:t xml:space="preserve"> </w:t>
      </w:r>
      <w:r w:rsidR="00344C66">
        <w:rPr>
          <w:rFonts w:eastAsia="Times New Roman"/>
          <w:b w:val="0"/>
          <w:sz w:val="20"/>
          <w:szCs w:val="20"/>
          <w:lang w:val="en-GB"/>
        </w:rPr>
        <w:t>preliminary</w:t>
      </w:r>
      <w:r w:rsidR="00F977A2" w:rsidRPr="00176D46">
        <w:rPr>
          <w:rFonts w:eastAsia="Times New Roman"/>
          <w:b w:val="0"/>
          <w:sz w:val="20"/>
          <w:szCs w:val="20"/>
          <w:lang w:val="en-GB"/>
        </w:rPr>
        <w:t xml:space="preserve"> dialogue with site licensee, completing an operational agreement with the licensee, and acquisition of transportation casks</w:t>
      </w:r>
      <w:r w:rsidRPr="00176D46">
        <w:rPr>
          <w:rFonts w:eastAsia="Times New Roman"/>
          <w:b w:val="0"/>
          <w:sz w:val="20"/>
          <w:szCs w:val="20"/>
          <w:lang w:val="en-GB"/>
        </w:rPr>
        <w:t>. Establishing the infrastructure readiness both on-site and off-site has a low probability (&lt;5-8%) of being on the critical path</w:t>
      </w:r>
      <w:r w:rsidR="00F977A2" w:rsidRPr="00176D46">
        <w:rPr>
          <w:rFonts w:eastAsia="Times New Roman"/>
          <w:b w:val="0"/>
          <w:sz w:val="20"/>
          <w:szCs w:val="20"/>
          <w:lang w:val="en-GB"/>
        </w:rPr>
        <w:t xml:space="preserve"> for the initial shipment from the first site under the assumptions used in this analysis; however, these activities may have a higher likelihood of being critical under different planning assumptions</w:t>
      </w:r>
      <w:r w:rsidRPr="00176D46">
        <w:rPr>
          <w:rFonts w:eastAsia="Times New Roman"/>
          <w:b w:val="0"/>
          <w:sz w:val="20"/>
          <w:szCs w:val="20"/>
          <w:lang w:val="en-GB"/>
        </w:rPr>
        <w:t>.</w:t>
      </w:r>
    </w:p>
    <w:p w14:paraId="257D1FDA" w14:textId="00CF7B93" w:rsidR="00C651B1" w:rsidRPr="00176D46" w:rsidRDefault="000278D2" w:rsidP="0062455E">
      <w:pPr>
        <w:pStyle w:val="BodyText"/>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Pr>
          <w:rFonts w:eastAsia="Times New Roman"/>
          <w:b w:val="0"/>
          <w:sz w:val="20"/>
          <w:szCs w:val="20"/>
          <w:lang w:val="en-GB"/>
        </w:rPr>
        <w:t>R</w:t>
      </w:r>
      <w:r w:rsidR="00C651B1" w:rsidRPr="00176D46">
        <w:rPr>
          <w:rFonts w:eastAsia="Times New Roman"/>
          <w:b w:val="0"/>
          <w:sz w:val="20"/>
          <w:szCs w:val="20"/>
          <w:lang w:val="en-GB"/>
        </w:rPr>
        <w:t xml:space="preserve">isks were identified </w:t>
      </w:r>
      <w:r>
        <w:rPr>
          <w:rFonts w:eastAsia="Times New Roman"/>
          <w:b w:val="0"/>
          <w:sz w:val="20"/>
          <w:szCs w:val="20"/>
          <w:lang w:val="en-GB"/>
        </w:rPr>
        <w:t xml:space="preserve">which, if the event occurred, could have a significant impact on schedule for the </w:t>
      </w:r>
      <w:r w:rsidR="00E06A56" w:rsidRPr="00176D46">
        <w:rPr>
          <w:rFonts w:eastAsia="Times New Roman"/>
          <w:b w:val="0"/>
          <w:sz w:val="20"/>
          <w:szCs w:val="20"/>
          <w:lang w:val="en-GB"/>
        </w:rPr>
        <w:t>scenario</w:t>
      </w:r>
      <w:r w:rsidR="00385F67" w:rsidRPr="00176D46">
        <w:rPr>
          <w:rFonts w:eastAsia="Times New Roman"/>
          <w:b w:val="0"/>
          <w:sz w:val="20"/>
          <w:szCs w:val="20"/>
          <w:lang w:val="en-GB"/>
        </w:rPr>
        <w:t>s</w:t>
      </w:r>
      <w:r w:rsidR="00E06A56" w:rsidRPr="00176D46">
        <w:rPr>
          <w:rFonts w:eastAsia="Times New Roman"/>
          <w:b w:val="0"/>
          <w:sz w:val="20"/>
          <w:szCs w:val="20"/>
          <w:lang w:val="en-GB"/>
        </w:rPr>
        <w:t xml:space="preserve"> </w:t>
      </w:r>
      <w:r>
        <w:rPr>
          <w:rFonts w:eastAsia="Times New Roman"/>
          <w:b w:val="0"/>
          <w:sz w:val="20"/>
          <w:szCs w:val="20"/>
          <w:lang w:val="en-GB"/>
        </w:rPr>
        <w:t xml:space="preserve">and </w:t>
      </w:r>
      <w:r w:rsidR="00C651B1" w:rsidRPr="00176D46">
        <w:rPr>
          <w:rFonts w:eastAsia="Times New Roman"/>
          <w:b w:val="0"/>
          <w:sz w:val="20"/>
          <w:szCs w:val="20"/>
          <w:lang w:val="en-GB"/>
        </w:rPr>
        <w:t>included:</w:t>
      </w:r>
    </w:p>
    <w:p w14:paraId="4C3BBC45" w14:textId="6BC27E20" w:rsidR="00C651B1" w:rsidRPr="00176D46" w:rsidRDefault="00C651B1" w:rsidP="00176D46">
      <w:pPr>
        <w:pStyle w:val="BodyText"/>
        <w:numPr>
          <w:ilvl w:val="0"/>
          <w:numId w:val="30"/>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Changes to </w:t>
      </w:r>
      <w:r w:rsidR="006E2F89">
        <w:rPr>
          <w:rFonts w:eastAsia="Times New Roman"/>
          <w:b w:val="0"/>
          <w:sz w:val="20"/>
          <w:szCs w:val="20"/>
          <w:lang w:val="en-GB"/>
        </w:rPr>
        <w:t xml:space="preserve">U.S. </w:t>
      </w:r>
      <w:r w:rsidRPr="00176D46">
        <w:rPr>
          <w:rFonts w:eastAsia="Times New Roman"/>
          <w:b w:val="0"/>
          <w:sz w:val="20"/>
          <w:szCs w:val="20"/>
          <w:lang w:val="en-GB"/>
        </w:rPr>
        <w:t>N</w:t>
      </w:r>
      <w:r w:rsidR="006E2F89">
        <w:rPr>
          <w:rFonts w:eastAsia="Times New Roman"/>
          <w:b w:val="0"/>
          <w:sz w:val="20"/>
          <w:szCs w:val="20"/>
          <w:lang w:val="en-GB"/>
        </w:rPr>
        <w:t xml:space="preserve">uclear </w:t>
      </w:r>
      <w:r w:rsidRPr="00176D46">
        <w:rPr>
          <w:rFonts w:eastAsia="Times New Roman"/>
          <w:b w:val="0"/>
          <w:sz w:val="20"/>
          <w:szCs w:val="20"/>
          <w:lang w:val="en-GB"/>
        </w:rPr>
        <w:t>R</w:t>
      </w:r>
      <w:r w:rsidR="006E2F89">
        <w:rPr>
          <w:rFonts w:eastAsia="Times New Roman"/>
          <w:b w:val="0"/>
          <w:sz w:val="20"/>
          <w:szCs w:val="20"/>
          <w:lang w:val="en-GB"/>
        </w:rPr>
        <w:t xml:space="preserve">egulatory </w:t>
      </w:r>
      <w:r w:rsidRPr="00176D46">
        <w:rPr>
          <w:rFonts w:eastAsia="Times New Roman"/>
          <w:b w:val="0"/>
          <w:sz w:val="20"/>
          <w:szCs w:val="20"/>
          <w:lang w:val="en-GB"/>
        </w:rPr>
        <w:t>C</w:t>
      </w:r>
      <w:r w:rsidR="006E2F89">
        <w:rPr>
          <w:rFonts w:eastAsia="Times New Roman"/>
          <w:b w:val="0"/>
          <w:sz w:val="20"/>
          <w:szCs w:val="20"/>
          <w:lang w:val="en-GB"/>
        </w:rPr>
        <w:t>ommission</w:t>
      </w:r>
      <w:r w:rsidRPr="00176D46">
        <w:rPr>
          <w:rFonts w:eastAsia="Times New Roman"/>
          <w:b w:val="0"/>
          <w:sz w:val="20"/>
          <w:szCs w:val="20"/>
          <w:lang w:val="en-GB"/>
        </w:rPr>
        <w:t xml:space="preserve"> </w:t>
      </w:r>
      <w:r w:rsidR="0062455E">
        <w:rPr>
          <w:rFonts w:eastAsia="Times New Roman"/>
          <w:b w:val="0"/>
          <w:sz w:val="20"/>
          <w:szCs w:val="20"/>
          <w:lang w:val="en-GB"/>
        </w:rPr>
        <w:t xml:space="preserve">(US NRC) </w:t>
      </w:r>
      <w:r w:rsidRPr="00176D46">
        <w:rPr>
          <w:rFonts w:eastAsia="Times New Roman"/>
          <w:b w:val="0"/>
          <w:sz w:val="20"/>
          <w:szCs w:val="20"/>
          <w:lang w:val="en-GB"/>
        </w:rPr>
        <w:t xml:space="preserve">transportation regulations </w:t>
      </w:r>
      <w:r w:rsidR="000278D2">
        <w:rPr>
          <w:rFonts w:eastAsia="Times New Roman"/>
          <w:b w:val="0"/>
          <w:sz w:val="20"/>
          <w:szCs w:val="20"/>
          <w:lang w:val="en-GB"/>
        </w:rPr>
        <w:t xml:space="preserve">which </w:t>
      </w:r>
      <w:r w:rsidRPr="00176D46">
        <w:rPr>
          <w:rFonts w:eastAsia="Times New Roman"/>
          <w:b w:val="0"/>
          <w:sz w:val="20"/>
          <w:szCs w:val="20"/>
          <w:lang w:val="en-GB"/>
        </w:rPr>
        <w:t>could affect the transportation cask Certificate of Compliance;</w:t>
      </w:r>
    </w:p>
    <w:p w14:paraId="2AB2873F" w14:textId="2E6A0FF2" w:rsidR="00C651B1" w:rsidRPr="00176D46" w:rsidRDefault="00C651B1" w:rsidP="00176D46">
      <w:pPr>
        <w:pStyle w:val="BodyText"/>
        <w:numPr>
          <w:ilvl w:val="0"/>
          <w:numId w:val="30"/>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Unanticipated discovery of radioactive material contamination at an origin site</w:t>
      </w:r>
      <w:r w:rsidR="00623CCD" w:rsidRPr="00176D46">
        <w:rPr>
          <w:rFonts w:eastAsia="Times New Roman"/>
          <w:b w:val="0"/>
          <w:sz w:val="20"/>
          <w:szCs w:val="20"/>
          <w:lang w:val="en-GB"/>
        </w:rPr>
        <w:t>;</w:t>
      </w:r>
    </w:p>
    <w:p w14:paraId="1DFB501C" w14:textId="77777777" w:rsidR="00C651B1" w:rsidRPr="00176D46" w:rsidRDefault="00C651B1" w:rsidP="00176D46">
      <w:pPr>
        <w:pStyle w:val="BodyText"/>
        <w:numPr>
          <w:ilvl w:val="0"/>
          <w:numId w:val="30"/>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Transportation cask procurement delays;</w:t>
      </w:r>
    </w:p>
    <w:p w14:paraId="4D3CFBF1" w14:textId="16B866B2" w:rsidR="00C651B1" w:rsidRPr="00176D46" w:rsidRDefault="001D131A" w:rsidP="00176D46">
      <w:pPr>
        <w:pStyle w:val="BodyText"/>
        <w:numPr>
          <w:ilvl w:val="0"/>
          <w:numId w:val="30"/>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Pr>
          <w:rFonts w:eastAsia="Times New Roman"/>
          <w:b w:val="0"/>
          <w:sz w:val="20"/>
          <w:szCs w:val="20"/>
          <w:lang w:val="en-GB"/>
        </w:rPr>
        <w:t>Delayed initiation of near</w:t>
      </w:r>
      <w:r w:rsidR="00C651B1" w:rsidRPr="00176D46">
        <w:rPr>
          <w:rFonts w:eastAsia="Times New Roman"/>
          <w:b w:val="0"/>
          <w:sz w:val="20"/>
          <w:szCs w:val="20"/>
          <w:lang w:val="en-GB"/>
        </w:rPr>
        <w:t>-site transportation due to state or local government or other stakeholder intervention;</w:t>
      </w:r>
    </w:p>
    <w:p w14:paraId="379A281D" w14:textId="77777777" w:rsidR="00C651B1" w:rsidRPr="00176D46" w:rsidRDefault="00C651B1" w:rsidP="00176D46">
      <w:pPr>
        <w:pStyle w:val="BodyText"/>
        <w:numPr>
          <w:ilvl w:val="0"/>
          <w:numId w:val="30"/>
        </w:numPr>
        <w:suppressAutoHyphens w:val="0"/>
        <w:overflowPunct/>
        <w:autoSpaceDE/>
        <w:autoSpaceDN/>
        <w:adjustRightInd/>
        <w:spacing w:after="0" w:line="260" w:lineRule="atLeast"/>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Delays associated with </w:t>
      </w:r>
      <w:r w:rsidR="00F977A2" w:rsidRPr="00176D46">
        <w:rPr>
          <w:rFonts w:eastAsia="Times New Roman"/>
          <w:b w:val="0"/>
          <w:sz w:val="20"/>
          <w:szCs w:val="20"/>
          <w:lang w:val="en-GB"/>
        </w:rPr>
        <w:t xml:space="preserve">channel hydrographic </w:t>
      </w:r>
      <w:r w:rsidRPr="00176D46">
        <w:rPr>
          <w:rFonts w:eastAsia="Times New Roman"/>
          <w:b w:val="0"/>
          <w:sz w:val="20"/>
          <w:szCs w:val="20"/>
          <w:lang w:val="en-GB"/>
        </w:rPr>
        <w:t>surveys where barge transportation is an option.</w:t>
      </w:r>
    </w:p>
    <w:p w14:paraId="3001B907" w14:textId="77777777" w:rsidR="00C651B1" w:rsidRPr="00176D46" w:rsidRDefault="00C651B1"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p>
    <w:p w14:paraId="4D2408E0" w14:textId="548F648B" w:rsidR="00DB2C7E" w:rsidRPr="00176D46" w:rsidRDefault="0019582C"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In late 2018 the stand-alone Origin Sites Readiness Model was </w:t>
      </w:r>
      <w:r w:rsidR="00385F67" w:rsidRPr="00176D46">
        <w:rPr>
          <w:rFonts w:eastAsia="Times New Roman"/>
          <w:b w:val="0"/>
          <w:sz w:val="20"/>
          <w:szCs w:val="20"/>
          <w:lang w:val="en-GB"/>
        </w:rPr>
        <w:t>combined with</w:t>
      </w:r>
      <w:r w:rsidRPr="00176D46">
        <w:rPr>
          <w:rFonts w:eastAsia="Times New Roman"/>
          <w:b w:val="0"/>
          <w:sz w:val="20"/>
          <w:szCs w:val="20"/>
          <w:lang w:val="en-GB"/>
        </w:rPr>
        <w:t xml:space="preserve"> a new streamlined ESA model that had been enhanced by the addition of options for the acquisition of</w:t>
      </w:r>
      <w:r w:rsidR="000C5398">
        <w:rPr>
          <w:rFonts w:eastAsia="Times New Roman"/>
          <w:b w:val="0"/>
          <w:sz w:val="20"/>
          <w:szCs w:val="20"/>
          <w:lang w:val="en-GB"/>
        </w:rPr>
        <w:t xml:space="preserve"> generic</w:t>
      </w:r>
      <w:r w:rsidRPr="00176D46">
        <w:rPr>
          <w:rFonts w:eastAsia="Times New Roman"/>
          <w:b w:val="0"/>
          <w:sz w:val="20"/>
          <w:szCs w:val="20"/>
          <w:lang w:val="en-GB"/>
        </w:rPr>
        <w:t xml:space="preserve"> disposal capabilities. Monte Carlo simulation results from the Origin Sites Readiness Model scenarios were imported as inputs to the ESA model and incorporated into the analysis of the IWM program. </w:t>
      </w:r>
      <w:r w:rsidR="00DB2C7E" w:rsidRPr="00176D46">
        <w:rPr>
          <w:rFonts w:eastAsia="Times New Roman"/>
          <w:b w:val="0"/>
          <w:sz w:val="20"/>
          <w:szCs w:val="20"/>
          <w:lang w:val="en-GB"/>
        </w:rPr>
        <w:t xml:space="preserve">Exported results from the Origin Sites Readiness Model included cumulative costs and durations for on-site and near-site transportation readiness </w:t>
      </w:r>
      <w:r w:rsidR="00970D48" w:rsidRPr="00176D46">
        <w:rPr>
          <w:rFonts w:eastAsia="Times New Roman"/>
          <w:b w:val="0"/>
          <w:sz w:val="20"/>
          <w:szCs w:val="20"/>
          <w:lang w:val="en-GB"/>
        </w:rPr>
        <w:t xml:space="preserve">activities at each site for the two primary mode scenarios, along with associated correlations. The integrated analysis in the ESA </w:t>
      </w:r>
      <w:r w:rsidR="00970D48" w:rsidRPr="00176D46">
        <w:rPr>
          <w:rFonts w:eastAsia="Times New Roman"/>
          <w:b w:val="0"/>
          <w:sz w:val="20"/>
          <w:szCs w:val="20"/>
          <w:lang w:val="en-GB"/>
        </w:rPr>
        <w:lastRenderedPageBreak/>
        <w:t xml:space="preserve">model accounts for uncertainties associated with predecessor activities, such as </w:t>
      </w:r>
      <w:r w:rsidR="00C651B1" w:rsidRPr="00176D46">
        <w:rPr>
          <w:rFonts w:eastAsia="Times New Roman"/>
          <w:b w:val="0"/>
          <w:sz w:val="20"/>
          <w:szCs w:val="20"/>
          <w:lang w:val="en-GB"/>
        </w:rPr>
        <w:t xml:space="preserve">National Environmental Policy Act (NEPA) </w:t>
      </w:r>
      <w:r w:rsidR="00970D48" w:rsidRPr="00176D46">
        <w:rPr>
          <w:rFonts w:eastAsia="Times New Roman"/>
          <w:b w:val="0"/>
          <w:sz w:val="20"/>
          <w:szCs w:val="20"/>
          <w:lang w:val="en-GB"/>
        </w:rPr>
        <w:t xml:space="preserve">compliance, along with elements of the national transportation program such as </w:t>
      </w:r>
      <w:r w:rsidR="00F977A2" w:rsidRPr="00176D46">
        <w:rPr>
          <w:rFonts w:eastAsia="Times New Roman"/>
          <w:b w:val="0"/>
          <w:sz w:val="20"/>
          <w:szCs w:val="20"/>
          <w:lang w:val="en-GB"/>
        </w:rPr>
        <w:t xml:space="preserve">determination of hardware asset requirements, </w:t>
      </w:r>
      <w:r w:rsidR="00970D48" w:rsidRPr="00176D46">
        <w:rPr>
          <w:rFonts w:eastAsia="Times New Roman"/>
          <w:b w:val="0"/>
          <w:sz w:val="20"/>
          <w:szCs w:val="20"/>
          <w:lang w:val="en-GB"/>
        </w:rPr>
        <w:t xml:space="preserve">Atlas Railcar development and emergency responder training along affected routes. The integrated ESA analysis also accounts for readiness to receive shipments at the destination facility, either a repository or consolidated interim storage facility. </w:t>
      </w:r>
    </w:p>
    <w:p w14:paraId="4C63981F" w14:textId="4AD71A1A" w:rsidR="00611EFC" w:rsidRPr="00176D46" w:rsidRDefault="004A445F" w:rsidP="00176D46">
      <w:pPr>
        <w:pStyle w:val="Heading3"/>
        <w:widowControl w:val="0"/>
        <w:spacing w:before="100" w:beforeAutospacing="1" w:after="100" w:afterAutospacing="1" w:line="280" w:lineRule="atLeast"/>
        <w:ind w:left="360"/>
        <w:rPr>
          <w:b w:val="0"/>
          <w:sz w:val="20"/>
          <w:lang w:val="en-US"/>
        </w:rPr>
      </w:pPr>
      <w:r w:rsidRPr="00176D46">
        <w:rPr>
          <w:b w:val="0"/>
          <w:sz w:val="20"/>
          <w:lang w:val="en-US"/>
        </w:rPr>
        <w:t>CONCLUSION</w:t>
      </w:r>
    </w:p>
    <w:p w14:paraId="23CFCB39" w14:textId="790573A6" w:rsidR="00943645" w:rsidRPr="00176D46" w:rsidRDefault="00252835"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The DOE-NE </w:t>
      </w:r>
      <w:r w:rsidR="00E84414" w:rsidRPr="00176D46">
        <w:rPr>
          <w:rFonts w:eastAsia="Times New Roman"/>
          <w:b w:val="0"/>
          <w:sz w:val="20"/>
          <w:szCs w:val="20"/>
          <w:lang w:val="en-GB"/>
        </w:rPr>
        <w:t>IWM</w:t>
      </w:r>
      <w:r w:rsidRPr="00176D46">
        <w:rPr>
          <w:rFonts w:eastAsia="Times New Roman"/>
          <w:b w:val="0"/>
          <w:sz w:val="20"/>
          <w:szCs w:val="20"/>
          <w:lang w:val="en-GB"/>
        </w:rPr>
        <w:t xml:space="preserve"> program is developing and applying a variety of </w:t>
      </w:r>
      <w:r w:rsidR="00E84414" w:rsidRPr="00176D46">
        <w:rPr>
          <w:rFonts w:eastAsia="Times New Roman"/>
          <w:b w:val="0"/>
          <w:sz w:val="20"/>
          <w:szCs w:val="20"/>
          <w:lang w:val="en-GB"/>
        </w:rPr>
        <w:t>systems</w:t>
      </w:r>
      <w:r w:rsidRPr="00176D46">
        <w:rPr>
          <w:rFonts w:eastAsia="Times New Roman"/>
          <w:b w:val="0"/>
          <w:sz w:val="20"/>
          <w:szCs w:val="20"/>
          <w:lang w:val="en-GB"/>
        </w:rPr>
        <w:t xml:space="preserve"> analysis tools to evaluate various architectures and approaches that could inform future decisions. As a part of the IWM effort, a stand-alone ESA Origin Sites Readiness Model was developed to </w:t>
      </w:r>
      <w:proofErr w:type="spellStart"/>
      <w:r w:rsidRPr="00176D46">
        <w:rPr>
          <w:rFonts w:eastAsia="Times New Roman"/>
          <w:b w:val="0"/>
          <w:sz w:val="20"/>
          <w:szCs w:val="20"/>
          <w:lang w:val="en-GB"/>
        </w:rPr>
        <w:t>analyze</w:t>
      </w:r>
      <w:proofErr w:type="spellEnd"/>
      <w:r w:rsidRPr="00176D46">
        <w:rPr>
          <w:rFonts w:eastAsia="Times New Roman"/>
          <w:b w:val="0"/>
          <w:sz w:val="20"/>
          <w:szCs w:val="20"/>
          <w:lang w:val="en-GB"/>
        </w:rPr>
        <w:t xml:space="preserve"> what actions will be required to achieve readiness of on-site and near-site infrastructure at commercial reactor sites to support SNF campaign alternatives.</w:t>
      </w:r>
      <w:r w:rsidR="00165322" w:rsidRPr="00176D46">
        <w:rPr>
          <w:rFonts w:eastAsia="Times New Roman"/>
          <w:b w:val="0"/>
          <w:sz w:val="20"/>
          <w:szCs w:val="20"/>
          <w:lang w:val="en-GB"/>
        </w:rPr>
        <w:t xml:space="preserve"> It was subsequently </w:t>
      </w:r>
      <w:r w:rsidR="00DC4625" w:rsidRPr="00176D46">
        <w:rPr>
          <w:rFonts w:eastAsia="Times New Roman"/>
          <w:b w:val="0"/>
          <w:sz w:val="20"/>
          <w:szCs w:val="20"/>
          <w:lang w:val="en-GB"/>
        </w:rPr>
        <w:t xml:space="preserve">added </w:t>
      </w:r>
      <w:r w:rsidR="00165322" w:rsidRPr="00176D46">
        <w:rPr>
          <w:rFonts w:eastAsia="Times New Roman"/>
          <w:b w:val="0"/>
          <w:sz w:val="20"/>
          <w:szCs w:val="20"/>
          <w:lang w:val="en-GB"/>
        </w:rPr>
        <w:t>into the main ESA model to support other analyses.</w:t>
      </w:r>
      <w:r w:rsidRPr="00176D46">
        <w:rPr>
          <w:rFonts w:eastAsia="Times New Roman"/>
          <w:b w:val="0"/>
          <w:sz w:val="20"/>
          <w:szCs w:val="20"/>
          <w:lang w:val="en-GB"/>
        </w:rPr>
        <w:t xml:space="preserve"> </w:t>
      </w:r>
    </w:p>
    <w:p w14:paraId="15582200" w14:textId="38B3C0AC" w:rsidR="008431C3" w:rsidRPr="00176D46" w:rsidRDefault="00F14B33"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While the initial focus in the development of the stand-alone Origin Sites Readiness Model was on the 14 shutdown reactor sites</w:t>
      </w:r>
      <w:r w:rsidR="00FD3AA2" w:rsidRPr="00176D46">
        <w:rPr>
          <w:rFonts w:eastAsia="Times New Roman"/>
          <w:b w:val="0"/>
          <w:sz w:val="20"/>
          <w:szCs w:val="20"/>
          <w:lang w:val="en-GB"/>
        </w:rPr>
        <w:t xml:space="preserve"> and 9 transportation cask</w:t>
      </w:r>
      <w:r w:rsidR="00B45BE2" w:rsidRPr="00176D46">
        <w:rPr>
          <w:rFonts w:eastAsia="Times New Roman"/>
          <w:b w:val="0"/>
          <w:sz w:val="20"/>
          <w:szCs w:val="20"/>
          <w:lang w:val="en-GB"/>
        </w:rPr>
        <w:t xml:space="preserve"> types used</w:t>
      </w:r>
      <w:r w:rsidRPr="00176D46">
        <w:rPr>
          <w:rFonts w:eastAsia="Times New Roman"/>
          <w:b w:val="0"/>
          <w:sz w:val="20"/>
          <w:szCs w:val="20"/>
          <w:lang w:val="en-GB"/>
        </w:rPr>
        <w:t xml:space="preserve"> in the United States, it was important to recognize that when an actual campaign</w:t>
      </w:r>
      <w:r w:rsidR="00FD3AA2" w:rsidRPr="00176D46">
        <w:rPr>
          <w:rFonts w:eastAsia="Times New Roman"/>
          <w:b w:val="0"/>
          <w:sz w:val="20"/>
          <w:szCs w:val="20"/>
          <w:lang w:val="en-GB"/>
        </w:rPr>
        <w:t xml:space="preserve"> to move SNF and HLW</w:t>
      </w:r>
      <w:r w:rsidRPr="00176D46">
        <w:rPr>
          <w:rFonts w:eastAsia="Times New Roman"/>
          <w:b w:val="0"/>
          <w:sz w:val="20"/>
          <w:szCs w:val="20"/>
          <w:lang w:val="en-GB"/>
        </w:rPr>
        <w:t xml:space="preserve"> is initiated the possibility exists that the first SNF shipment could be from a </w:t>
      </w:r>
      <w:r w:rsidR="00B45BE2" w:rsidRPr="00176D46">
        <w:rPr>
          <w:rFonts w:eastAsia="Times New Roman"/>
          <w:b w:val="0"/>
          <w:sz w:val="20"/>
          <w:szCs w:val="20"/>
          <w:lang w:val="en-GB"/>
        </w:rPr>
        <w:t>currently-</w:t>
      </w:r>
      <w:r w:rsidRPr="00176D46">
        <w:rPr>
          <w:rFonts w:eastAsia="Times New Roman"/>
          <w:b w:val="0"/>
          <w:sz w:val="20"/>
          <w:szCs w:val="20"/>
          <w:lang w:val="en-GB"/>
        </w:rPr>
        <w:t xml:space="preserve">operating reactor site. The next </w:t>
      </w:r>
      <w:r w:rsidR="00983027" w:rsidRPr="00176D46">
        <w:rPr>
          <w:rFonts w:eastAsia="Times New Roman"/>
          <w:b w:val="0"/>
          <w:sz w:val="20"/>
          <w:szCs w:val="20"/>
          <w:lang w:val="en-GB"/>
        </w:rPr>
        <w:t xml:space="preserve">planned </w:t>
      </w:r>
      <w:r w:rsidRPr="00176D46">
        <w:rPr>
          <w:rFonts w:eastAsia="Times New Roman"/>
          <w:b w:val="0"/>
          <w:sz w:val="20"/>
          <w:szCs w:val="20"/>
          <w:lang w:val="en-GB"/>
        </w:rPr>
        <w:t>enhanceme</w:t>
      </w:r>
      <w:r w:rsidR="00505677" w:rsidRPr="00176D46">
        <w:rPr>
          <w:rFonts w:eastAsia="Times New Roman"/>
          <w:b w:val="0"/>
          <w:sz w:val="20"/>
          <w:szCs w:val="20"/>
          <w:lang w:val="en-GB"/>
        </w:rPr>
        <w:t>nt for the model will</w:t>
      </w:r>
      <w:r w:rsidR="00983027" w:rsidRPr="00176D46">
        <w:rPr>
          <w:rFonts w:eastAsia="Times New Roman"/>
          <w:b w:val="0"/>
          <w:sz w:val="20"/>
          <w:szCs w:val="20"/>
          <w:lang w:val="en-GB"/>
        </w:rPr>
        <w:t xml:space="preserve"> include</w:t>
      </w:r>
      <w:r w:rsidR="00505677" w:rsidRPr="00176D46">
        <w:rPr>
          <w:rFonts w:eastAsia="Times New Roman"/>
          <w:b w:val="0"/>
          <w:sz w:val="20"/>
          <w:szCs w:val="20"/>
          <w:lang w:val="en-GB"/>
        </w:rPr>
        <w:t xml:space="preserve"> the logic, activities, and risks for a generic operating site where the on-site transportation infrastructure</w:t>
      </w:r>
      <w:r w:rsidRPr="00176D46">
        <w:rPr>
          <w:rFonts w:eastAsia="Times New Roman"/>
          <w:b w:val="0"/>
          <w:sz w:val="20"/>
          <w:szCs w:val="20"/>
          <w:lang w:val="en-GB"/>
        </w:rPr>
        <w:t xml:space="preserve"> </w:t>
      </w:r>
      <w:r w:rsidR="00505677" w:rsidRPr="00176D46">
        <w:rPr>
          <w:rFonts w:eastAsia="Times New Roman"/>
          <w:b w:val="0"/>
          <w:sz w:val="20"/>
          <w:szCs w:val="20"/>
          <w:lang w:val="en-GB"/>
        </w:rPr>
        <w:t xml:space="preserve">would </w:t>
      </w:r>
      <w:r w:rsidR="009350A1" w:rsidRPr="00176D46">
        <w:rPr>
          <w:rFonts w:eastAsia="Times New Roman"/>
          <w:b w:val="0"/>
          <w:sz w:val="20"/>
          <w:szCs w:val="20"/>
          <w:lang w:val="en-GB"/>
        </w:rPr>
        <w:t xml:space="preserve">more likely </w:t>
      </w:r>
      <w:r w:rsidR="00505677" w:rsidRPr="00176D46">
        <w:rPr>
          <w:rFonts w:eastAsia="Times New Roman"/>
          <w:b w:val="0"/>
          <w:sz w:val="20"/>
          <w:szCs w:val="20"/>
          <w:lang w:val="en-GB"/>
        </w:rPr>
        <w:t xml:space="preserve">be in a higher state of readiness than </w:t>
      </w:r>
      <w:r w:rsidR="00983027" w:rsidRPr="00176D46">
        <w:rPr>
          <w:rFonts w:eastAsia="Times New Roman"/>
          <w:b w:val="0"/>
          <w:sz w:val="20"/>
          <w:szCs w:val="20"/>
          <w:lang w:val="en-GB"/>
        </w:rPr>
        <w:t xml:space="preserve">at </w:t>
      </w:r>
      <w:r w:rsidR="00505677" w:rsidRPr="00176D46">
        <w:rPr>
          <w:rFonts w:eastAsia="Times New Roman"/>
          <w:b w:val="0"/>
          <w:sz w:val="20"/>
          <w:szCs w:val="20"/>
          <w:lang w:val="en-GB"/>
        </w:rPr>
        <w:t>a site that had been shut down for an extended period of time.</w:t>
      </w:r>
    </w:p>
    <w:p w14:paraId="711D08AD" w14:textId="62166D83" w:rsidR="00FD3AA2" w:rsidRPr="00176D46" w:rsidRDefault="00505677"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 xml:space="preserve">On-going collection of site-specific data continues to be necessary to be able to </w:t>
      </w:r>
      <w:r w:rsidR="00E84414" w:rsidRPr="00176D46">
        <w:rPr>
          <w:rFonts w:eastAsia="Times New Roman"/>
          <w:b w:val="0"/>
          <w:sz w:val="20"/>
          <w:szCs w:val="20"/>
          <w:lang w:val="en-GB"/>
        </w:rPr>
        <w:t>understand the current conditions at the sites.</w:t>
      </w:r>
      <w:r w:rsidRPr="00176D46">
        <w:rPr>
          <w:rFonts w:eastAsia="Times New Roman"/>
          <w:b w:val="0"/>
          <w:sz w:val="20"/>
          <w:szCs w:val="20"/>
          <w:lang w:val="en-GB"/>
        </w:rPr>
        <w:t xml:space="preserve"> The SNF and HLW inventory of materials must be characterized as well as a clear description of the on-site infrastructure at all shutdown sites. </w:t>
      </w:r>
      <w:r w:rsidR="009350A1" w:rsidRPr="00176D46">
        <w:rPr>
          <w:rFonts w:eastAsia="Times New Roman"/>
          <w:b w:val="0"/>
          <w:sz w:val="20"/>
          <w:szCs w:val="20"/>
          <w:lang w:val="en-GB"/>
        </w:rPr>
        <w:t xml:space="preserve">Off-site transportation infrastructure status should be kept updated and allowance made for the loss of experience </w:t>
      </w:r>
      <w:r w:rsidR="00FD3AA2" w:rsidRPr="00176D46">
        <w:rPr>
          <w:rFonts w:eastAsia="Times New Roman"/>
          <w:b w:val="0"/>
          <w:sz w:val="20"/>
          <w:szCs w:val="20"/>
          <w:lang w:val="en-GB"/>
        </w:rPr>
        <w:t xml:space="preserve">at </w:t>
      </w:r>
      <w:r w:rsidR="009350A1" w:rsidRPr="00176D46">
        <w:rPr>
          <w:rFonts w:eastAsia="Times New Roman"/>
          <w:b w:val="0"/>
          <w:sz w:val="20"/>
          <w:szCs w:val="20"/>
          <w:lang w:val="en-GB"/>
        </w:rPr>
        <w:t>the shutdown sites as time advances. As more sites shut down, the importance of integrating on-site and near-site infrastructure acti</w:t>
      </w:r>
      <w:r w:rsidR="00FD3AA2" w:rsidRPr="00176D46">
        <w:rPr>
          <w:rFonts w:eastAsia="Times New Roman"/>
          <w:b w:val="0"/>
          <w:sz w:val="20"/>
          <w:szCs w:val="20"/>
          <w:lang w:val="en-GB"/>
        </w:rPr>
        <w:t>v</w:t>
      </w:r>
      <w:r w:rsidR="009350A1" w:rsidRPr="00176D46">
        <w:rPr>
          <w:rFonts w:eastAsia="Times New Roman"/>
          <w:b w:val="0"/>
          <w:sz w:val="20"/>
          <w:szCs w:val="20"/>
          <w:lang w:val="en-GB"/>
        </w:rPr>
        <w:t>ities</w:t>
      </w:r>
      <w:r w:rsidR="00FD3AA2" w:rsidRPr="00176D46">
        <w:rPr>
          <w:rFonts w:eastAsia="Times New Roman"/>
          <w:b w:val="0"/>
          <w:sz w:val="20"/>
          <w:szCs w:val="20"/>
          <w:lang w:val="en-GB"/>
        </w:rPr>
        <w:t xml:space="preserve"> increases</w:t>
      </w:r>
      <w:r w:rsidR="00B3155B" w:rsidRPr="00176D46">
        <w:rPr>
          <w:rFonts w:eastAsia="Times New Roman"/>
          <w:b w:val="0"/>
          <w:sz w:val="20"/>
          <w:szCs w:val="20"/>
          <w:lang w:val="en-GB"/>
        </w:rPr>
        <w:t>.</w:t>
      </w:r>
      <w:r w:rsidR="00181428" w:rsidRPr="00176D46">
        <w:rPr>
          <w:rFonts w:eastAsia="Times New Roman"/>
          <w:b w:val="0"/>
          <w:sz w:val="20"/>
          <w:szCs w:val="20"/>
          <w:lang w:val="en-GB"/>
        </w:rPr>
        <w:t xml:space="preserve"> It is especially important not to preclude transportation options at the data collection stage to </w:t>
      </w:r>
      <w:r w:rsidR="00092831">
        <w:rPr>
          <w:rFonts w:eastAsia="Times New Roman"/>
          <w:b w:val="0"/>
          <w:sz w:val="20"/>
          <w:szCs w:val="20"/>
          <w:lang w:val="en-GB"/>
        </w:rPr>
        <w:t xml:space="preserve">be able to properly </w:t>
      </w:r>
      <w:r w:rsidR="00181428" w:rsidRPr="00176D46">
        <w:rPr>
          <w:rFonts w:eastAsia="Times New Roman"/>
          <w:b w:val="0"/>
          <w:sz w:val="20"/>
          <w:szCs w:val="20"/>
          <w:lang w:val="en-GB"/>
        </w:rPr>
        <w:t>assess the activities, uncertainties, and risks for all options. A</w:t>
      </w:r>
      <w:r w:rsidR="00B45BE2" w:rsidRPr="00176D46">
        <w:rPr>
          <w:rFonts w:eastAsia="Times New Roman"/>
          <w:b w:val="0"/>
          <w:sz w:val="20"/>
          <w:szCs w:val="20"/>
          <w:lang w:val="en-GB"/>
        </w:rPr>
        <w:t xml:space="preserve">dditionally, unique risks are associated with </w:t>
      </w:r>
      <w:r w:rsidR="00181428" w:rsidRPr="00176D46">
        <w:rPr>
          <w:rFonts w:eastAsia="Times New Roman"/>
          <w:b w:val="0"/>
          <w:sz w:val="20"/>
          <w:szCs w:val="20"/>
          <w:lang w:val="en-GB"/>
        </w:rPr>
        <w:t xml:space="preserve">each </w:t>
      </w:r>
      <w:r w:rsidR="00B45BE2" w:rsidRPr="00176D46">
        <w:rPr>
          <w:rFonts w:eastAsia="Times New Roman"/>
          <w:b w:val="0"/>
          <w:sz w:val="20"/>
          <w:szCs w:val="20"/>
          <w:lang w:val="en-GB"/>
        </w:rPr>
        <w:t xml:space="preserve">mode option and </w:t>
      </w:r>
      <w:r w:rsidR="00977C9B" w:rsidRPr="00176D46">
        <w:rPr>
          <w:rFonts w:eastAsia="Times New Roman"/>
          <w:b w:val="0"/>
          <w:sz w:val="20"/>
          <w:szCs w:val="20"/>
          <w:lang w:val="en-GB"/>
        </w:rPr>
        <w:t xml:space="preserve">an understanding of those risks may help to </w:t>
      </w:r>
      <w:r w:rsidR="00983027" w:rsidRPr="00176D46">
        <w:rPr>
          <w:rFonts w:eastAsia="Times New Roman"/>
          <w:b w:val="0"/>
          <w:sz w:val="20"/>
          <w:szCs w:val="20"/>
          <w:lang w:val="en-GB"/>
        </w:rPr>
        <w:t xml:space="preserve">inform </w:t>
      </w:r>
      <w:r w:rsidR="00977C9B" w:rsidRPr="00176D46">
        <w:rPr>
          <w:rFonts w:eastAsia="Times New Roman"/>
          <w:b w:val="0"/>
          <w:sz w:val="20"/>
          <w:szCs w:val="20"/>
          <w:lang w:val="en-GB"/>
        </w:rPr>
        <w:t>future mode selection decisions.</w:t>
      </w:r>
    </w:p>
    <w:p w14:paraId="01E2DB46" w14:textId="25FF09E9" w:rsidR="00505677" w:rsidRPr="00176D46" w:rsidRDefault="00DC4625" w:rsidP="00176D4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176D46">
        <w:rPr>
          <w:rFonts w:eastAsia="Times New Roman"/>
          <w:b w:val="0"/>
          <w:sz w:val="20"/>
          <w:szCs w:val="20"/>
          <w:lang w:val="en-GB"/>
        </w:rPr>
        <w:t>It is planned to update t</w:t>
      </w:r>
      <w:r w:rsidR="00FD3AA2" w:rsidRPr="00176D46">
        <w:rPr>
          <w:rFonts w:eastAsia="Times New Roman"/>
          <w:b w:val="0"/>
          <w:sz w:val="20"/>
          <w:szCs w:val="20"/>
          <w:lang w:val="en-GB"/>
        </w:rPr>
        <w:t>he Origin Sites Readiness Model as new reactor sites are shut</w:t>
      </w:r>
      <w:r w:rsidR="007668B4" w:rsidRPr="00176D46">
        <w:rPr>
          <w:rFonts w:eastAsia="Times New Roman"/>
          <w:b w:val="0"/>
          <w:sz w:val="20"/>
          <w:szCs w:val="20"/>
          <w:lang w:val="en-GB"/>
        </w:rPr>
        <w:t xml:space="preserve"> </w:t>
      </w:r>
      <w:r w:rsidR="00FD3AA2" w:rsidRPr="00176D46">
        <w:rPr>
          <w:rFonts w:eastAsia="Times New Roman"/>
          <w:b w:val="0"/>
          <w:sz w:val="20"/>
          <w:szCs w:val="20"/>
          <w:lang w:val="en-GB"/>
        </w:rPr>
        <w:t>down in order to be able to conduct analysis of SNF transportation campaign options in an integrated waste management system.</w:t>
      </w:r>
    </w:p>
    <w:p w14:paraId="7702BACF" w14:textId="353CDED4" w:rsidR="001E61E2" w:rsidRDefault="007668B4" w:rsidP="00B05D23">
      <w:pPr>
        <w:pStyle w:val="Otherunnumberedheadings"/>
        <w:rPr>
          <w:rFonts w:ascii="Times New Roman" w:hAnsi="Times New Roman"/>
          <w:b w:val="0"/>
          <w:lang w:val="en-US"/>
        </w:rPr>
      </w:pPr>
      <w:r w:rsidRPr="00B05D23">
        <w:t>ACKNOWLEDGEMENTS</w:t>
      </w:r>
    </w:p>
    <w:p w14:paraId="3A0F788B" w14:textId="7CD7716D" w:rsidR="007668B4" w:rsidRPr="00C1298E" w:rsidRDefault="007668B4" w:rsidP="00C1298E">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C1298E">
        <w:rPr>
          <w:rFonts w:eastAsia="Times New Roman"/>
          <w:b w:val="0"/>
          <w:sz w:val="20"/>
          <w:szCs w:val="20"/>
          <w:lang w:val="en-GB"/>
        </w:rPr>
        <w:t>This work is supported by the U.S. Department of Energy, Office of Nuclear Energy, Office of Spent Fuel and Waste Disposition under contract #DE-AC02-06CH11357.</w:t>
      </w:r>
    </w:p>
    <w:p w14:paraId="7E904582" w14:textId="5676ABE3" w:rsidR="007668B4" w:rsidRPr="00C1298E" w:rsidRDefault="007668B4" w:rsidP="00C1298E">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szCs w:val="20"/>
          <w:lang w:val="en-GB"/>
        </w:rPr>
      </w:pPr>
      <w:r w:rsidRPr="00C1298E">
        <w:rPr>
          <w:rFonts w:eastAsia="Times New Roman"/>
          <w:b w:val="0"/>
          <w:sz w:val="20"/>
          <w:szCs w:val="20"/>
          <w:lang w:val="en-GB"/>
        </w:rPr>
        <w:t xml:space="preserve">This manuscript has been created by </w:t>
      </w:r>
      <w:proofErr w:type="spellStart"/>
      <w:r w:rsidRPr="00C1298E">
        <w:rPr>
          <w:rFonts w:eastAsia="Times New Roman"/>
          <w:b w:val="0"/>
          <w:sz w:val="20"/>
          <w:szCs w:val="20"/>
          <w:lang w:val="en-GB"/>
        </w:rPr>
        <w:t>UChicago</w:t>
      </w:r>
      <w:proofErr w:type="spellEnd"/>
      <w:r w:rsidRPr="00C1298E">
        <w:rPr>
          <w:rFonts w:eastAsia="Times New Roman"/>
          <w:b w:val="0"/>
          <w:sz w:val="20"/>
          <w:szCs w:val="20"/>
          <w:lang w:val="en-GB"/>
        </w:rPr>
        <w:t xml:space="preserve"> Argonne, LLC, Operator of Argonne National Laboratory (“Argonne”). Argonne, a U.S. Department of Energy Office of Science laboratory, is operated under Co</w:t>
      </w:r>
      <w:r w:rsidR="00C1298E" w:rsidRPr="00C1298E">
        <w:rPr>
          <w:rFonts w:eastAsia="Times New Roman"/>
          <w:b w:val="0"/>
          <w:sz w:val="20"/>
          <w:szCs w:val="20"/>
          <w:lang w:val="en-GB"/>
        </w:rPr>
        <w:t xml:space="preserve">ntract No. #DE-AC02-06CH11357. </w:t>
      </w:r>
      <w:r w:rsidRPr="00C1298E">
        <w:rPr>
          <w:rFonts w:eastAsia="Times New Roman"/>
          <w:b w:val="0"/>
          <w:sz w:val="20"/>
          <w:szCs w:val="20"/>
          <w:lang w:val="en-GB"/>
        </w:rPr>
        <w:t>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w:t>
      </w:r>
    </w:p>
    <w:p w14:paraId="242CB7AD" w14:textId="77777777" w:rsidR="00EA33BA" w:rsidRPr="00B05D23" w:rsidRDefault="007668B4" w:rsidP="00B05D23">
      <w:pPr>
        <w:pStyle w:val="Otherunnumberedheadings"/>
      </w:pPr>
      <w:r w:rsidRPr="00B05D23">
        <w:t>REFERENCES</w:t>
      </w:r>
    </w:p>
    <w:p w14:paraId="0F230307" w14:textId="758F707A" w:rsidR="002C2391" w:rsidRPr="002C2391" w:rsidRDefault="00CE6273" w:rsidP="002C2391">
      <w:pPr>
        <w:pStyle w:val="Referencelist"/>
        <w:numPr>
          <w:ilvl w:val="0"/>
          <w:numId w:val="34"/>
        </w:numPr>
      </w:pPr>
      <w:r>
        <w:t>STOLL, R., GREEVES, J</w:t>
      </w:r>
      <w:r w:rsidR="002C2391" w:rsidRPr="002C2391">
        <w:t>., VOSS, J., KEIZUR, A., NEIR, A., SARAEVA, N., and NUTT, W.,</w:t>
      </w:r>
      <w:r w:rsidR="002C2391">
        <w:t xml:space="preserve"> </w:t>
      </w:r>
      <w:r w:rsidR="002C2391" w:rsidRPr="002C2391">
        <w:t>“Development of an Execution Strategy Analysis (ESA) Capability and Tool for the Storage of Used Nuclear Fuel”,</w:t>
      </w:r>
      <w:r w:rsidR="002C2391">
        <w:t xml:space="preserve"> </w:t>
      </w:r>
      <w:r w:rsidR="002C2391" w:rsidRPr="002C2391">
        <w:t>International Conference on Management of Spent Fuel from Nuclear Power Reactors –</w:t>
      </w:r>
      <w:r w:rsidR="002C2391">
        <w:t xml:space="preserve"> </w:t>
      </w:r>
      <w:r w:rsidR="002C2391" w:rsidRPr="002C2391">
        <w:t>An Integrated Approach to the Back-End of the Fuel Cycle (2015).</w:t>
      </w:r>
    </w:p>
    <w:p w14:paraId="763614BE" w14:textId="0AEBE933" w:rsidR="00FA0204" w:rsidRPr="002C2391" w:rsidRDefault="009937FE" w:rsidP="002C2391">
      <w:pPr>
        <w:pStyle w:val="Referencelist"/>
        <w:numPr>
          <w:ilvl w:val="0"/>
          <w:numId w:val="34"/>
        </w:numPr>
      </w:pPr>
      <w:r w:rsidRPr="002C2391">
        <w:t>MAHERAS</w:t>
      </w:r>
      <w:r w:rsidR="00FA0204" w:rsidRPr="002C2391">
        <w:t>,</w:t>
      </w:r>
      <w:r w:rsidRPr="002C2391">
        <w:t xml:space="preserve"> S., BEST</w:t>
      </w:r>
      <w:r w:rsidR="00FA0204" w:rsidRPr="002C2391">
        <w:t>,</w:t>
      </w:r>
      <w:r w:rsidRPr="002C2391">
        <w:t xml:space="preserve"> R., ROSS</w:t>
      </w:r>
      <w:r w:rsidR="00FA0204" w:rsidRPr="002C2391">
        <w:t xml:space="preserve">, </w:t>
      </w:r>
      <w:r w:rsidRPr="002C2391">
        <w:t>S., BUXTON</w:t>
      </w:r>
      <w:r w:rsidR="00FA0204" w:rsidRPr="002C2391">
        <w:t>,</w:t>
      </w:r>
      <w:r w:rsidRPr="002C2391">
        <w:t xml:space="preserve"> K.,</w:t>
      </w:r>
      <w:r w:rsidR="00FA0204" w:rsidRPr="002C2391">
        <w:t xml:space="preserve"> </w:t>
      </w:r>
      <w:r w:rsidRPr="002C2391">
        <w:t>ENGLAND</w:t>
      </w:r>
      <w:r w:rsidR="00FA0204" w:rsidRPr="002C2391">
        <w:t>,</w:t>
      </w:r>
      <w:r w:rsidRPr="002C2391">
        <w:t xml:space="preserve"> J., MCCONNELL</w:t>
      </w:r>
      <w:r w:rsidR="00FA0204" w:rsidRPr="002C2391">
        <w:t xml:space="preserve">, </w:t>
      </w:r>
      <w:r w:rsidRPr="002C2391">
        <w:t>P., MASSARO</w:t>
      </w:r>
      <w:r w:rsidR="00FA0204" w:rsidRPr="002C2391">
        <w:t>,</w:t>
      </w:r>
      <w:r w:rsidRPr="002C2391">
        <w:t xml:space="preserve"> L.,</w:t>
      </w:r>
      <w:r w:rsidR="00FA0204" w:rsidRPr="002C2391">
        <w:t xml:space="preserve"> </w:t>
      </w:r>
      <w:r w:rsidRPr="002C2391">
        <w:t>JENSEN</w:t>
      </w:r>
      <w:r w:rsidR="00FA0204" w:rsidRPr="002C2391">
        <w:t xml:space="preserve">, </w:t>
      </w:r>
      <w:r w:rsidRPr="002C2391">
        <w:t xml:space="preserve">P., </w:t>
      </w:r>
      <w:r w:rsidR="00FA0204" w:rsidRPr="002C2391">
        <w:t xml:space="preserve">“Preliminary Evaluation of Removing Used Nuclear Fuel from Shutdown Sites Report, Report”, Report No. </w:t>
      </w:r>
      <w:r w:rsidR="00125E9D" w:rsidRPr="002C2391">
        <w:t>SFWD</w:t>
      </w:r>
      <w:r w:rsidR="00FA0204" w:rsidRPr="002C2391">
        <w:t>-</w:t>
      </w:r>
      <w:r w:rsidR="00125E9D" w:rsidRPr="002C2391">
        <w:t>IWM</w:t>
      </w:r>
      <w:r w:rsidR="00FA0204" w:rsidRPr="002C2391">
        <w:t>-2017-000024, U.S. Department of Energy, Washington, DC (2017)</w:t>
      </w:r>
    </w:p>
    <w:p w14:paraId="13C6AC85" w14:textId="707D7861" w:rsidR="00B31E23" w:rsidRPr="002C2391" w:rsidRDefault="0026266B" w:rsidP="002C2391">
      <w:pPr>
        <w:pStyle w:val="Referencelist"/>
        <w:numPr>
          <w:ilvl w:val="0"/>
          <w:numId w:val="34"/>
        </w:numPr>
      </w:pPr>
      <w:proofErr w:type="spellStart"/>
      <w:r w:rsidRPr="002C2391">
        <w:t>Areva</w:t>
      </w:r>
      <w:proofErr w:type="spellEnd"/>
      <w:r w:rsidRPr="002C2391">
        <w:t xml:space="preserve"> Federal Services LLC, “Initial Site-Specific De-Inventory Report for Maine Yankee”, Report No. RPT-3016127-002 (2017)</w:t>
      </w:r>
    </w:p>
    <w:p w14:paraId="47D52895" w14:textId="02406F97" w:rsidR="0026266B" w:rsidRPr="002C2391" w:rsidRDefault="0026266B" w:rsidP="002C2391">
      <w:pPr>
        <w:pStyle w:val="Referencelist"/>
        <w:numPr>
          <w:ilvl w:val="0"/>
          <w:numId w:val="34"/>
        </w:numPr>
      </w:pPr>
      <w:proofErr w:type="spellStart"/>
      <w:r w:rsidRPr="002C2391">
        <w:lastRenderedPageBreak/>
        <w:t>Areva</w:t>
      </w:r>
      <w:proofErr w:type="spellEnd"/>
      <w:r w:rsidRPr="002C2391">
        <w:t xml:space="preserve"> Federal Services LLC, “Initial Site-Specific De-Inventory Report for Trojan”, Report No. RPT-3016128 (2017)</w:t>
      </w:r>
    </w:p>
    <w:p w14:paraId="5782B3CB" w14:textId="6A783397" w:rsidR="00165322" w:rsidRPr="002C2391" w:rsidRDefault="00657816" w:rsidP="002C2391">
      <w:pPr>
        <w:pStyle w:val="Referencelist"/>
        <w:numPr>
          <w:ilvl w:val="0"/>
          <w:numId w:val="34"/>
        </w:numPr>
      </w:pPr>
      <w:r w:rsidRPr="002C2391">
        <w:t>SARAEVA</w:t>
      </w:r>
      <w:r w:rsidR="00394E97" w:rsidRPr="002C2391">
        <w:t>, N.,</w:t>
      </w:r>
      <w:r w:rsidR="00441DFE" w:rsidRPr="002C2391">
        <w:t xml:space="preserve"> </w:t>
      </w:r>
      <w:r w:rsidR="00CE6273">
        <w:t>STOLL, R., GREEVES, J</w:t>
      </w:r>
      <w:r w:rsidR="00394E97" w:rsidRPr="002C2391">
        <w:t xml:space="preserve">., VOSS, J., </w:t>
      </w:r>
      <w:r w:rsidRPr="002C2391">
        <w:t>MILLER</w:t>
      </w:r>
      <w:r w:rsidR="00165322" w:rsidRPr="002C2391">
        <w:t xml:space="preserve">, </w:t>
      </w:r>
      <w:r w:rsidR="00394E97" w:rsidRPr="002C2391">
        <w:t xml:space="preserve">I., </w:t>
      </w:r>
      <w:r w:rsidRPr="002C2391">
        <w:t>MOZINGO</w:t>
      </w:r>
      <w:r w:rsidR="00165322" w:rsidRPr="002C2391">
        <w:t xml:space="preserve">, </w:t>
      </w:r>
      <w:r w:rsidR="00394E97" w:rsidRPr="002C2391">
        <w:t xml:space="preserve">W., KEIZUR, A., </w:t>
      </w:r>
      <w:r w:rsidR="005450C0">
        <w:t>SEAL</w:t>
      </w:r>
      <w:r w:rsidR="00394E97" w:rsidRPr="002C2391">
        <w:t>, A.,</w:t>
      </w:r>
      <w:r w:rsidR="00165322" w:rsidRPr="002C2391">
        <w:t xml:space="preserve"> </w:t>
      </w:r>
      <w:r w:rsidR="00394E97" w:rsidRPr="002C2391">
        <w:t>FELDMAN</w:t>
      </w:r>
      <w:r w:rsidR="00165322" w:rsidRPr="002C2391">
        <w:t xml:space="preserve">, </w:t>
      </w:r>
      <w:r w:rsidR="00394E97" w:rsidRPr="002C2391">
        <w:t>M., NUTT</w:t>
      </w:r>
      <w:r w:rsidR="00165322" w:rsidRPr="002C2391">
        <w:t xml:space="preserve">, </w:t>
      </w:r>
      <w:r w:rsidR="00394E97" w:rsidRPr="002C2391">
        <w:t>W., MAHERAS</w:t>
      </w:r>
      <w:r w:rsidR="00165322" w:rsidRPr="002C2391">
        <w:t>,</w:t>
      </w:r>
      <w:r w:rsidR="00394E97" w:rsidRPr="002C2391">
        <w:t xml:space="preserve"> S.,</w:t>
      </w:r>
      <w:r w:rsidR="00165322" w:rsidRPr="002C2391">
        <w:t xml:space="preserve"> “Execution Strategy Analysis (ESA) Origin Sites Readiness Model – 19073”, Proceedings of the WM2019 Conference (2019)</w:t>
      </w:r>
    </w:p>
    <w:p w14:paraId="4C386084" w14:textId="77777777" w:rsidR="00382420" w:rsidRPr="007668B4" w:rsidRDefault="00382420" w:rsidP="007668B4">
      <w:pPr>
        <w:widowControl w:val="0"/>
        <w:jc w:val="center"/>
        <w:rPr>
          <w:rFonts w:ascii="Times New Roman" w:hAnsi="Times New Roman"/>
          <w:sz w:val="20"/>
          <w:lang w:val="en-US"/>
        </w:rPr>
      </w:pPr>
    </w:p>
    <w:sectPr w:rsidR="00382420" w:rsidRPr="007668B4" w:rsidSect="00703B28">
      <w:headerReference w:type="even" r:id="rId14"/>
      <w:headerReference w:type="default" r:id="rId15"/>
      <w:footerReference w:type="even" r:id="rId16"/>
      <w:footerReference w:type="default" r:id="rId17"/>
      <w:type w:val="continuous"/>
      <w:pgSz w:w="11905" w:h="16837"/>
      <w:pgMar w:top="1411" w:right="1411" w:bottom="1411" w:left="141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4D90" w14:textId="77777777" w:rsidR="006F3863" w:rsidRDefault="006F3863">
      <w:r>
        <w:separator/>
      </w:r>
    </w:p>
  </w:endnote>
  <w:endnote w:type="continuationSeparator" w:id="0">
    <w:p w14:paraId="5F8A6089" w14:textId="77777777" w:rsidR="006F3863" w:rsidRDefault="006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caps w:val="0"/>
        <w:sz w:val="16"/>
      </w:rPr>
      <w:id w:val="974952021"/>
      <w:docPartObj>
        <w:docPartGallery w:val="Page Numbers (Bottom of Page)"/>
        <w:docPartUnique/>
      </w:docPartObj>
    </w:sdtPr>
    <w:sdtEndPr>
      <w:rPr>
        <w:noProof/>
      </w:rPr>
    </w:sdtEndPr>
    <w:sdtContent>
      <w:p w14:paraId="1BF60575" w14:textId="77777777" w:rsidR="00703B28" w:rsidRDefault="00703B28" w:rsidP="00703B28">
        <w:pPr>
          <w:pStyle w:val="zyxClassification1"/>
        </w:pPr>
        <w:r>
          <w:fldChar w:fldCharType="begin"/>
        </w:r>
        <w:r>
          <w:instrText xml:space="preserve"> DOCPROPERTY "IaeaClassification"  \* MERGEFORMAT </w:instrText>
        </w:r>
        <w:r>
          <w:fldChar w:fldCharType="end"/>
        </w:r>
      </w:p>
      <w:p w14:paraId="16C40016" w14:textId="0B7E9959" w:rsidR="00703B28" w:rsidRDefault="00703B28" w:rsidP="00703B28">
        <w:pPr>
          <w:pStyle w:val="zyxClassification2"/>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r>
          <w:fldChar w:fldCharType="begin"/>
        </w:r>
        <w:r>
          <w:instrText xml:space="preserve"> PAGE   \* MERGEFORMAT </w:instrText>
        </w:r>
        <w:r>
          <w:fldChar w:fldCharType="separate"/>
        </w:r>
        <w:r w:rsidR="005F7C7A">
          <w:rPr>
            <w:noProof/>
          </w:rPr>
          <w:t>8</w:t>
        </w:r>
        <w:r>
          <w:rPr>
            <w:noProof/>
          </w:rPr>
          <w:fldChar w:fldCharType="end"/>
        </w:r>
      </w:p>
    </w:sdtContent>
  </w:sdt>
  <w:p w14:paraId="3AAFBDED" w14:textId="77777777" w:rsidR="00703B28" w:rsidRDefault="0070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caps w:val="0"/>
        <w:sz w:val="16"/>
      </w:rPr>
      <w:id w:val="-206490525"/>
      <w:docPartObj>
        <w:docPartGallery w:val="Page Numbers (Bottom of Page)"/>
        <w:docPartUnique/>
      </w:docPartObj>
    </w:sdtPr>
    <w:sdtEndPr>
      <w:rPr>
        <w:noProof/>
      </w:rPr>
    </w:sdtEndPr>
    <w:sdtContent>
      <w:p w14:paraId="55309017" w14:textId="77777777" w:rsidR="00703B28" w:rsidRDefault="00703B28" w:rsidP="00703B28">
        <w:pPr>
          <w:pStyle w:val="zyxClassification1"/>
        </w:pPr>
        <w:r>
          <w:fldChar w:fldCharType="begin"/>
        </w:r>
        <w:r>
          <w:instrText xml:space="preserve"> DOCPROPERTY "IaeaClassification"  \* MERGEFORMAT </w:instrText>
        </w:r>
        <w:r>
          <w:fldChar w:fldCharType="end"/>
        </w:r>
      </w:p>
      <w:p w14:paraId="3F891927" w14:textId="31DF1E7F" w:rsidR="00703B28" w:rsidRDefault="00703B28" w:rsidP="00703B28">
        <w:pPr>
          <w:pStyle w:val="zyxClassification2"/>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F7C7A">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sdtContent>
  </w:sdt>
  <w:p w14:paraId="676903B9" w14:textId="77777777" w:rsidR="00703B28" w:rsidRDefault="0070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EC88" w14:textId="77777777" w:rsidR="006F3863" w:rsidRDefault="006F3863">
      <w:r>
        <w:separator/>
      </w:r>
    </w:p>
  </w:footnote>
  <w:footnote w:type="continuationSeparator" w:id="0">
    <w:p w14:paraId="5CFDBB49" w14:textId="77777777" w:rsidR="006F3863" w:rsidRDefault="006F3863">
      <w:r>
        <w:continuationSeparator/>
      </w:r>
    </w:p>
  </w:footnote>
  <w:footnote w:id="1">
    <w:p w14:paraId="5578B8E6" w14:textId="57720751" w:rsidR="00563869" w:rsidRPr="00563869" w:rsidRDefault="00563869" w:rsidP="00C96963">
      <w:pPr>
        <w:pStyle w:val="FootnoteText"/>
        <w:tabs>
          <w:tab w:val="left" w:pos="459"/>
        </w:tabs>
        <w:suppressAutoHyphens w:val="0"/>
        <w:overflowPunct/>
        <w:autoSpaceDE/>
        <w:autoSpaceDN/>
        <w:adjustRightInd/>
        <w:spacing w:before="142" w:after="0"/>
        <w:ind w:left="459"/>
        <w:textAlignment w:val="auto"/>
      </w:pPr>
      <w:r w:rsidRPr="00C96963">
        <w:rPr>
          <w:rStyle w:val="FootnoteReference"/>
          <w:rFonts w:ascii="Times New Roman" w:eastAsia="Times New Roman" w:hAnsi="Times New Roman"/>
          <w:sz w:val="18"/>
          <w:szCs w:val="20"/>
        </w:rPr>
        <w:footnoteRef/>
      </w:r>
      <w:r w:rsidRPr="00C96963">
        <w:rPr>
          <w:rStyle w:val="FootnoteReference"/>
          <w:rFonts w:ascii="Times New Roman" w:eastAsia="Times New Roman" w:hAnsi="Times New Roman"/>
          <w:sz w:val="18"/>
          <w:szCs w:val="20"/>
        </w:rPr>
        <w:t xml:space="preserve"> </w:t>
      </w:r>
      <w:r w:rsidRPr="00C96963">
        <w:rPr>
          <w:rStyle w:val="FootnoteReference"/>
          <w:rFonts w:ascii="Times New Roman" w:eastAsia="Times New Roman" w:hAnsi="Times New Roman"/>
          <w:sz w:val="18"/>
        </w:rPr>
        <w:t xml:space="preserve">Origin sites are the sites from which SNF, GTCC, or HLW could be shipped to a CISF or a repository. </w:t>
      </w:r>
    </w:p>
  </w:footnote>
  <w:footnote w:id="2">
    <w:p w14:paraId="718FE631" w14:textId="1CE2140B" w:rsidR="00B9281C" w:rsidRPr="00B9281C" w:rsidRDefault="00B9281C" w:rsidP="00584B08">
      <w:pPr>
        <w:pStyle w:val="FootnoteText"/>
        <w:tabs>
          <w:tab w:val="left" w:pos="459"/>
        </w:tabs>
        <w:suppressAutoHyphens w:val="0"/>
        <w:overflowPunct/>
        <w:autoSpaceDE/>
        <w:autoSpaceDN/>
        <w:adjustRightInd/>
        <w:spacing w:before="142" w:after="0"/>
        <w:ind w:left="459"/>
        <w:textAlignment w:val="auto"/>
        <w:rPr>
          <w:lang w:val="en-US"/>
        </w:rPr>
      </w:pPr>
      <w:r w:rsidRPr="00584B08">
        <w:rPr>
          <w:rStyle w:val="FootnoteReference"/>
          <w:rFonts w:ascii="Times New Roman" w:eastAsia="Times New Roman" w:hAnsi="Times New Roman"/>
          <w:sz w:val="18"/>
          <w:szCs w:val="20"/>
        </w:rPr>
        <w:footnoteRef/>
      </w:r>
      <w:r w:rsidRPr="00584B08">
        <w:rPr>
          <w:rStyle w:val="FootnoteReference"/>
          <w:rFonts w:ascii="Times New Roman" w:eastAsia="Times New Roman" w:hAnsi="Times New Roman"/>
          <w:sz w:val="18"/>
          <w:szCs w:val="20"/>
        </w:rPr>
        <w:t xml:space="preserve"> </w:t>
      </w:r>
      <w:r w:rsidRPr="00584B08">
        <w:rPr>
          <w:rStyle w:val="FootnoteReference"/>
        </w:rPr>
        <w:t xml:space="preserve">Different dry cask storage systems are used across commercial origin sites in the 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E969" w14:textId="1FBF361C" w:rsidR="00703B28" w:rsidRPr="00703B28" w:rsidRDefault="00703B28" w:rsidP="00703B28">
    <w:pPr>
      <w:pStyle w:val="Runninghead"/>
      <w:rPr>
        <w:bCs/>
      </w:rPr>
    </w:pPr>
    <w:r w:rsidRPr="008C5A5C">
      <w:rPr>
        <w:bCs/>
      </w:rPr>
      <w:t>IAEA-CN-272-99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9D3C" w14:textId="2B4C0DEE" w:rsidR="0051290A" w:rsidRDefault="00703B28" w:rsidP="00703B28">
    <w:pPr>
      <w:pStyle w:val="Runninghead"/>
      <w:rPr>
        <w:b w:val="0"/>
        <w:bCs/>
        <w:sz w:val="28"/>
      </w:rPr>
    </w:pPr>
    <w:r>
      <w:rPr>
        <w:bCs/>
      </w:rPr>
      <w:t>STOLL, et 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C77C5"/>
    <w:multiLevelType w:val="hybridMultilevel"/>
    <w:tmpl w:val="413288C0"/>
    <w:lvl w:ilvl="0" w:tplc="0000012D">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9EF5993"/>
    <w:multiLevelType w:val="hybridMultilevel"/>
    <w:tmpl w:val="5D8ADB8E"/>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E50D0"/>
    <w:multiLevelType w:val="hybridMultilevel"/>
    <w:tmpl w:val="3BBAC5C6"/>
    <w:lvl w:ilvl="0" w:tplc="0000012D">
      <w:start w:val="1"/>
      <w:numFmt w:val="bullet"/>
      <w:lvlText w:val="•"/>
      <w:lvlJc w:val="left"/>
      <w:pPr>
        <w:ind w:left="1069" w:hanging="360"/>
      </w:p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17572A3B"/>
    <w:multiLevelType w:val="hybridMultilevel"/>
    <w:tmpl w:val="8EF2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26A12"/>
    <w:multiLevelType w:val="hybridMultilevel"/>
    <w:tmpl w:val="22DA6190"/>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8034C"/>
    <w:multiLevelType w:val="hybridMultilevel"/>
    <w:tmpl w:val="6F66090A"/>
    <w:lvl w:ilvl="0" w:tplc="0000012D">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C02691B"/>
    <w:multiLevelType w:val="hybridMultilevel"/>
    <w:tmpl w:val="068228C8"/>
    <w:lvl w:ilvl="0" w:tplc="0000012D">
      <w:start w:val="1"/>
      <w:numFmt w:val="bullet"/>
      <w:lvlText w:val="•"/>
      <w:lvlJc w:val="left"/>
      <w:pPr>
        <w:ind w:left="1069" w:hanging="360"/>
      </w:p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75878"/>
    <w:multiLevelType w:val="hybridMultilevel"/>
    <w:tmpl w:val="56A4502E"/>
    <w:lvl w:ilvl="0" w:tplc="0000012D">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45A7352"/>
    <w:multiLevelType w:val="hybridMultilevel"/>
    <w:tmpl w:val="E06C2D26"/>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44DEB"/>
    <w:multiLevelType w:val="hybridMultilevel"/>
    <w:tmpl w:val="DCDCA838"/>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63D0F"/>
    <w:multiLevelType w:val="hybridMultilevel"/>
    <w:tmpl w:val="41B423E2"/>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D7442"/>
    <w:multiLevelType w:val="hybridMultilevel"/>
    <w:tmpl w:val="B3B0DE2E"/>
    <w:lvl w:ilvl="0" w:tplc="0000012D">
      <w:start w:val="1"/>
      <w:numFmt w:val="bullet"/>
      <w:lvlText w:val="•"/>
      <w:lvlJc w:val="left"/>
      <w:pPr>
        <w:ind w:left="1068" w:hanging="360"/>
      </w:p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1E273EF"/>
    <w:multiLevelType w:val="hybridMultilevel"/>
    <w:tmpl w:val="F36AA92E"/>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15C56"/>
    <w:multiLevelType w:val="hybridMultilevel"/>
    <w:tmpl w:val="1F34609C"/>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53BC8"/>
    <w:multiLevelType w:val="hybridMultilevel"/>
    <w:tmpl w:val="3F284916"/>
    <w:lvl w:ilvl="0" w:tplc="83B08F88">
      <w:start w:val="1"/>
      <w:numFmt w:val="decimal"/>
      <w:pStyle w:val="Heading3"/>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6F9E54A9"/>
    <w:multiLevelType w:val="hybridMultilevel"/>
    <w:tmpl w:val="56BE1D0A"/>
    <w:lvl w:ilvl="0" w:tplc="0000012D">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541146A"/>
    <w:multiLevelType w:val="hybridMultilevel"/>
    <w:tmpl w:val="E692FC58"/>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452CA"/>
    <w:multiLevelType w:val="hybridMultilevel"/>
    <w:tmpl w:val="CAFC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27"/>
  </w:num>
  <w:num w:numId="14">
    <w:abstractNumId w:val="14"/>
  </w:num>
  <w:num w:numId="15">
    <w:abstractNumId w:val="23"/>
  </w:num>
  <w:num w:numId="16">
    <w:abstractNumId w:val="11"/>
  </w:num>
  <w:num w:numId="17">
    <w:abstractNumId w:val="19"/>
  </w:num>
  <w:num w:numId="18">
    <w:abstractNumId w:val="22"/>
  </w:num>
  <w:num w:numId="19">
    <w:abstractNumId w:val="21"/>
  </w:num>
  <w:num w:numId="20">
    <w:abstractNumId w:val="20"/>
  </w:num>
  <w:num w:numId="21">
    <w:abstractNumId w:val="28"/>
  </w:num>
  <w:num w:numId="22">
    <w:abstractNumId w:val="26"/>
  </w:num>
  <w:num w:numId="23">
    <w:abstractNumId w:val="10"/>
  </w:num>
  <w:num w:numId="24">
    <w:abstractNumId w:val="18"/>
  </w:num>
  <w:num w:numId="25">
    <w:abstractNumId w:val="25"/>
  </w:num>
  <w:num w:numId="26">
    <w:abstractNumId w:val="16"/>
  </w:num>
  <w:num w:numId="27">
    <w:abstractNumId w:val="12"/>
  </w:num>
  <w:num w:numId="28">
    <w:abstractNumId w:val="15"/>
  </w:num>
  <w:num w:numId="29">
    <w:abstractNumId w:val="25"/>
  </w:num>
  <w:num w:numId="30">
    <w:abstractNumId w:val="24"/>
  </w:num>
  <w:num w:numId="31">
    <w:abstractNumId w:val="25"/>
  </w:num>
  <w:num w:numId="32">
    <w:abstractNumId w:val="25"/>
  </w:num>
  <w:num w:numId="33">
    <w:abstractNumId w:val="25"/>
  </w:num>
  <w:num w:numId="34">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01DD9"/>
    <w:rsid w:val="0000701E"/>
    <w:rsid w:val="00014B1A"/>
    <w:rsid w:val="000278D2"/>
    <w:rsid w:val="00043D77"/>
    <w:rsid w:val="00047168"/>
    <w:rsid w:val="00054CDE"/>
    <w:rsid w:val="00056F53"/>
    <w:rsid w:val="00057D2A"/>
    <w:rsid w:val="00060750"/>
    <w:rsid w:val="00060E57"/>
    <w:rsid w:val="00070662"/>
    <w:rsid w:val="00072053"/>
    <w:rsid w:val="00075369"/>
    <w:rsid w:val="00082E80"/>
    <w:rsid w:val="00092831"/>
    <w:rsid w:val="000A4305"/>
    <w:rsid w:val="000A4FF0"/>
    <w:rsid w:val="000B5F46"/>
    <w:rsid w:val="000C5398"/>
    <w:rsid w:val="000D1E43"/>
    <w:rsid w:val="000E7F3D"/>
    <w:rsid w:val="0010712C"/>
    <w:rsid w:val="00107951"/>
    <w:rsid w:val="00114AC1"/>
    <w:rsid w:val="00123466"/>
    <w:rsid w:val="00125E9D"/>
    <w:rsid w:val="0015039E"/>
    <w:rsid w:val="00152A19"/>
    <w:rsid w:val="00152EC4"/>
    <w:rsid w:val="00162467"/>
    <w:rsid w:val="00165322"/>
    <w:rsid w:val="00176D46"/>
    <w:rsid w:val="00177DAB"/>
    <w:rsid w:val="0018121E"/>
    <w:rsid w:val="00181428"/>
    <w:rsid w:val="00185BC0"/>
    <w:rsid w:val="0019582C"/>
    <w:rsid w:val="001A6B91"/>
    <w:rsid w:val="001A6DA6"/>
    <w:rsid w:val="001C7767"/>
    <w:rsid w:val="001D0964"/>
    <w:rsid w:val="001D131A"/>
    <w:rsid w:val="001D3A86"/>
    <w:rsid w:val="001D6B8E"/>
    <w:rsid w:val="001D7282"/>
    <w:rsid w:val="001E0A0D"/>
    <w:rsid w:val="001E19C6"/>
    <w:rsid w:val="001E24D1"/>
    <w:rsid w:val="001E61E2"/>
    <w:rsid w:val="001F6DAF"/>
    <w:rsid w:val="00210865"/>
    <w:rsid w:val="0022288B"/>
    <w:rsid w:val="00222AED"/>
    <w:rsid w:val="00226656"/>
    <w:rsid w:val="00230849"/>
    <w:rsid w:val="0025197A"/>
    <w:rsid w:val="00252835"/>
    <w:rsid w:val="00256EEB"/>
    <w:rsid w:val="0026035C"/>
    <w:rsid w:val="0026266B"/>
    <w:rsid w:val="0026295D"/>
    <w:rsid w:val="00265442"/>
    <w:rsid w:val="00265667"/>
    <w:rsid w:val="002719C8"/>
    <w:rsid w:val="00285138"/>
    <w:rsid w:val="00286A18"/>
    <w:rsid w:val="00293402"/>
    <w:rsid w:val="00295C80"/>
    <w:rsid w:val="002A7B24"/>
    <w:rsid w:val="002C2391"/>
    <w:rsid w:val="002D4C83"/>
    <w:rsid w:val="002E04D0"/>
    <w:rsid w:val="002F06BE"/>
    <w:rsid w:val="002F3502"/>
    <w:rsid w:val="00301983"/>
    <w:rsid w:val="00304027"/>
    <w:rsid w:val="003061B6"/>
    <w:rsid w:val="003422BB"/>
    <w:rsid w:val="00344C66"/>
    <w:rsid w:val="003551A2"/>
    <w:rsid w:val="003647AA"/>
    <w:rsid w:val="003648B5"/>
    <w:rsid w:val="00365C59"/>
    <w:rsid w:val="00376F1F"/>
    <w:rsid w:val="00381AF7"/>
    <w:rsid w:val="00382420"/>
    <w:rsid w:val="00385F67"/>
    <w:rsid w:val="00394E97"/>
    <w:rsid w:val="003A0DEE"/>
    <w:rsid w:val="003A2B67"/>
    <w:rsid w:val="003B0446"/>
    <w:rsid w:val="003B0D5C"/>
    <w:rsid w:val="003B1C0E"/>
    <w:rsid w:val="003B5F30"/>
    <w:rsid w:val="003C0284"/>
    <w:rsid w:val="003C2E2E"/>
    <w:rsid w:val="003C49C3"/>
    <w:rsid w:val="003C5FC9"/>
    <w:rsid w:val="003D0598"/>
    <w:rsid w:val="003D5060"/>
    <w:rsid w:val="003E7F23"/>
    <w:rsid w:val="003F03A2"/>
    <w:rsid w:val="00404D9D"/>
    <w:rsid w:val="00406C4B"/>
    <w:rsid w:val="00414D77"/>
    <w:rsid w:val="00420EDC"/>
    <w:rsid w:val="00424C42"/>
    <w:rsid w:val="00433837"/>
    <w:rsid w:val="00433FAC"/>
    <w:rsid w:val="00441DFE"/>
    <w:rsid w:val="00450C8E"/>
    <w:rsid w:val="004657D8"/>
    <w:rsid w:val="00473928"/>
    <w:rsid w:val="00474B11"/>
    <w:rsid w:val="00476AB2"/>
    <w:rsid w:val="00487E6D"/>
    <w:rsid w:val="0049454F"/>
    <w:rsid w:val="004954E1"/>
    <w:rsid w:val="00495F51"/>
    <w:rsid w:val="0049782A"/>
    <w:rsid w:val="004A445F"/>
    <w:rsid w:val="004C04A1"/>
    <w:rsid w:val="004C289E"/>
    <w:rsid w:val="004C3FC9"/>
    <w:rsid w:val="004D4089"/>
    <w:rsid w:val="004E1B4F"/>
    <w:rsid w:val="004E2509"/>
    <w:rsid w:val="004F19BC"/>
    <w:rsid w:val="004F3841"/>
    <w:rsid w:val="00505677"/>
    <w:rsid w:val="00507A33"/>
    <w:rsid w:val="00510E1A"/>
    <w:rsid w:val="0051290A"/>
    <w:rsid w:val="00523203"/>
    <w:rsid w:val="005243AC"/>
    <w:rsid w:val="00532BAB"/>
    <w:rsid w:val="005450C0"/>
    <w:rsid w:val="0055461E"/>
    <w:rsid w:val="005603D5"/>
    <w:rsid w:val="00563869"/>
    <w:rsid w:val="0057450E"/>
    <w:rsid w:val="00584B08"/>
    <w:rsid w:val="005872DE"/>
    <w:rsid w:val="005C2E10"/>
    <w:rsid w:val="005C5ACC"/>
    <w:rsid w:val="005C5E3D"/>
    <w:rsid w:val="005C63AB"/>
    <w:rsid w:val="005D2C0D"/>
    <w:rsid w:val="005E7294"/>
    <w:rsid w:val="005E7A81"/>
    <w:rsid w:val="005F33E4"/>
    <w:rsid w:val="005F4B20"/>
    <w:rsid w:val="005F6E63"/>
    <w:rsid w:val="005F7C7A"/>
    <w:rsid w:val="006006E6"/>
    <w:rsid w:val="00602973"/>
    <w:rsid w:val="00606B5B"/>
    <w:rsid w:val="00611EFC"/>
    <w:rsid w:val="0061414A"/>
    <w:rsid w:val="006159D2"/>
    <w:rsid w:val="00623CCD"/>
    <w:rsid w:val="0062455E"/>
    <w:rsid w:val="006311C4"/>
    <w:rsid w:val="00634BE8"/>
    <w:rsid w:val="00641B00"/>
    <w:rsid w:val="00642795"/>
    <w:rsid w:val="0064521B"/>
    <w:rsid w:val="00656E66"/>
    <w:rsid w:val="00657816"/>
    <w:rsid w:val="00660F2B"/>
    <w:rsid w:val="00662E2F"/>
    <w:rsid w:val="006645D6"/>
    <w:rsid w:val="00670399"/>
    <w:rsid w:val="00682853"/>
    <w:rsid w:val="00686A63"/>
    <w:rsid w:val="0069118D"/>
    <w:rsid w:val="006970B1"/>
    <w:rsid w:val="006A16C5"/>
    <w:rsid w:val="006A485A"/>
    <w:rsid w:val="006B0384"/>
    <w:rsid w:val="006B2376"/>
    <w:rsid w:val="006B2B04"/>
    <w:rsid w:val="006B2B93"/>
    <w:rsid w:val="006D03FF"/>
    <w:rsid w:val="006D159D"/>
    <w:rsid w:val="006E2F89"/>
    <w:rsid w:val="006E5A4D"/>
    <w:rsid w:val="006F13D1"/>
    <w:rsid w:val="006F237D"/>
    <w:rsid w:val="006F3863"/>
    <w:rsid w:val="006F4126"/>
    <w:rsid w:val="006F7986"/>
    <w:rsid w:val="00702CF2"/>
    <w:rsid w:val="00703042"/>
    <w:rsid w:val="00703B28"/>
    <w:rsid w:val="00720AD0"/>
    <w:rsid w:val="00725A8E"/>
    <w:rsid w:val="00727F3F"/>
    <w:rsid w:val="00730AD7"/>
    <w:rsid w:val="00733FE4"/>
    <w:rsid w:val="00757363"/>
    <w:rsid w:val="00766791"/>
    <w:rsid w:val="007668B4"/>
    <w:rsid w:val="00771338"/>
    <w:rsid w:val="00775AA1"/>
    <w:rsid w:val="007A04B5"/>
    <w:rsid w:val="007A3EAB"/>
    <w:rsid w:val="007B41B9"/>
    <w:rsid w:val="007B78E1"/>
    <w:rsid w:val="007C09EE"/>
    <w:rsid w:val="007C1517"/>
    <w:rsid w:val="007D0497"/>
    <w:rsid w:val="007D0D56"/>
    <w:rsid w:val="007D3E71"/>
    <w:rsid w:val="007D5ACA"/>
    <w:rsid w:val="007E3E76"/>
    <w:rsid w:val="007F3A71"/>
    <w:rsid w:val="00802734"/>
    <w:rsid w:val="008108DB"/>
    <w:rsid w:val="00812B3F"/>
    <w:rsid w:val="0082490B"/>
    <w:rsid w:val="008343B9"/>
    <w:rsid w:val="00836F26"/>
    <w:rsid w:val="0083703F"/>
    <w:rsid w:val="008406E8"/>
    <w:rsid w:val="00840E5B"/>
    <w:rsid w:val="008431C3"/>
    <w:rsid w:val="0084764C"/>
    <w:rsid w:val="0085536A"/>
    <w:rsid w:val="00866F7D"/>
    <w:rsid w:val="008723DA"/>
    <w:rsid w:val="008914D9"/>
    <w:rsid w:val="008955CD"/>
    <w:rsid w:val="008A6FBE"/>
    <w:rsid w:val="008B468A"/>
    <w:rsid w:val="008B6031"/>
    <w:rsid w:val="008B797E"/>
    <w:rsid w:val="008B7A4F"/>
    <w:rsid w:val="008C568D"/>
    <w:rsid w:val="008C5A5C"/>
    <w:rsid w:val="008E35BD"/>
    <w:rsid w:val="008E4DFD"/>
    <w:rsid w:val="008F4AF7"/>
    <w:rsid w:val="008F79DC"/>
    <w:rsid w:val="008F7C6B"/>
    <w:rsid w:val="00903F26"/>
    <w:rsid w:val="0090595F"/>
    <w:rsid w:val="0092375E"/>
    <w:rsid w:val="0092666E"/>
    <w:rsid w:val="0093102C"/>
    <w:rsid w:val="00931C0C"/>
    <w:rsid w:val="009350A1"/>
    <w:rsid w:val="00940ADB"/>
    <w:rsid w:val="00943645"/>
    <w:rsid w:val="00944598"/>
    <w:rsid w:val="00955BFC"/>
    <w:rsid w:val="00970D48"/>
    <w:rsid w:val="00977C9B"/>
    <w:rsid w:val="00983027"/>
    <w:rsid w:val="0098446D"/>
    <w:rsid w:val="009911A5"/>
    <w:rsid w:val="009931BE"/>
    <w:rsid w:val="009937FE"/>
    <w:rsid w:val="0099669F"/>
    <w:rsid w:val="009C28AA"/>
    <w:rsid w:val="009D35E7"/>
    <w:rsid w:val="009D71BB"/>
    <w:rsid w:val="009D7FF4"/>
    <w:rsid w:val="009E1F76"/>
    <w:rsid w:val="009E6821"/>
    <w:rsid w:val="009F6A57"/>
    <w:rsid w:val="00A019E2"/>
    <w:rsid w:val="00A035A4"/>
    <w:rsid w:val="00A07AAD"/>
    <w:rsid w:val="00A17B28"/>
    <w:rsid w:val="00A35FA5"/>
    <w:rsid w:val="00A37682"/>
    <w:rsid w:val="00A420CF"/>
    <w:rsid w:val="00A42CE2"/>
    <w:rsid w:val="00A46398"/>
    <w:rsid w:val="00A465AE"/>
    <w:rsid w:val="00A50DA2"/>
    <w:rsid w:val="00A510FC"/>
    <w:rsid w:val="00A52B34"/>
    <w:rsid w:val="00A62730"/>
    <w:rsid w:val="00A6310A"/>
    <w:rsid w:val="00A74FB3"/>
    <w:rsid w:val="00A769F0"/>
    <w:rsid w:val="00A8265F"/>
    <w:rsid w:val="00A83D22"/>
    <w:rsid w:val="00A8604F"/>
    <w:rsid w:val="00A9569E"/>
    <w:rsid w:val="00AB2E51"/>
    <w:rsid w:val="00AB6A80"/>
    <w:rsid w:val="00AD4291"/>
    <w:rsid w:val="00AD6865"/>
    <w:rsid w:val="00AE0585"/>
    <w:rsid w:val="00AE48D6"/>
    <w:rsid w:val="00B01B8B"/>
    <w:rsid w:val="00B05D23"/>
    <w:rsid w:val="00B164AA"/>
    <w:rsid w:val="00B171BA"/>
    <w:rsid w:val="00B2210E"/>
    <w:rsid w:val="00B3155B"/>
    <w:rsid w:val="00B31E23"/>
    <w:rsid w:val="00B45BE2"/>
    <w:rsid w:val="00B5203E"/>
    <w:rsid w:val="00B8107F"/>
    <w:rsid w:val="00B8684E"/>
    <w:rsid w:val="00B9281C"/>
    <w:rsid w:val="00BC0C6E"/>
    <w:rsid w:val="00BC38C6"/>
    <w:rsid w:val="00BC61D1"/>
    <w:rsid w:val="00BD10FB"/>
    <w:rsid w:val="00BE57E5"/>
    <w:rsid w:val="00BE7361"/>
    <w:rsid w:val="00C1298E"/>
    <w:rsid w:val="00C22FC3"/>
    <w:rsid w:val="00C3101B"/>
    <w:rsid w:val="00C651B1"/>
    <w:rsid w:val="00C66B4C"/>
    <w:rsid w:val="00C73BBC"/>
    <w:rsid w:val="00C861A5"/>
    <w:rsid w:val="00C93B74"/>
    <w:rsid w:val="00C95BCA"/>
    <w:rsid w:val="00C96963"/>
    <w:rsid w:val="00CA1527"/>
    <w:rsid w:val="00CB0D7D"/>
    <w:rsid w:val="00CB1525"/>
    <w:rsid w:val="00CB370B"/>
    <w:rsid w:val="00CC1B34"/>
    <w:rsid w:val="00CC2940"/>
    <w:rsid w:val="00CC2DA8"/>
    <w:rsid w:val="00CD3786"/>
    <w:rsid w:val="00CD68FA"/>
    <w:rsid w:val="00CD7E87"/>
    <w:rsid w:val="00CE2BE0"/>
    <w:rsid w:val="00CE6273"/>
    <w:rsid w:val="00D11FA3"/>
    <w:rsid w:val="00D14A69"/>
    <w:rsid w:val="00D20A99"/>
    <w:rsid w:val="00D34903"/>
    <w:rsid w:val="00D47DA9"/>
    <w:rsid w:val="00D50C24"/>
    <w:rsid w:val="00D537AC"/>
    <w:rsid w:val="00D6710E"/>
    <w:rsid w:val="00D7616C"/>
    <w:rsid w:val="00D94FC6"/>
    <w:rsid w:val="00DB2C7E"/>
    <w:rsid w:val="00DC2F2D"/>
    <w:rsid w:val="00DC4077"/>
    <w:rsid w:val="00DC4625"/>
    <w:rsid w:val="00DC6F4D"/>
    <w:rsid w:val="00DD00FD"/>
    <w:rsid w:val="00DE141B"/>
    <w:rsid w:val="00DF14FD"/>
    <w:rsid w:val="00DF3527"/>
    <w:rsid w:val="00E01712"/>
    <w:rsid w:val="00E06A56"/>
    <w:rsid w:val="00E168D1"/>
    <w:rsid w:val="00E50E0D"/>
    <w:rsid w:val="00E563DA"/>
    <w:rsid w:val="00E676F3"/>
    <w:rsid w:val="00E70979"/>
    <w:rsid w:val="00E7138A"/>
    <w:rsid w:val="00E737C5"/>
    <w:rsid w:val="00E84414"/>
    <w:rsid w:val="00E92C4E"/>
    <w:rsid w:val="00E9468D"/>
    <w:rsid w:val="00EA33BA"/>
    <w:rsid w:val="00EA4B28"/>
    <w:rsid w:val="00EB0B35"/>
    <w:rsid w:val="00EB74FD"/>
    <w:rsid w:val="00EC2ED1"/>
    <w:rsid w:val="00EC625C"/>
    <w:rsid w:val="00ED3E2E"/>
    <w:rsid w:val="00F059C3"/>
    <w:rsid w:val="00F139C9"/>
    <w:rsid w:val="00F14B33"/>
    <w:rsid w:val="00F15BCB"/>
    <w:rsid w:val="00F2038A"/>
    <w:rsid w:val="00F215DF"/>
    <w:rsid w:val="00F24F82"/>
    <w:rsid w:val="00F302D5"/>
    <w:rsid w:val="00F31F0A"/>
    <w:rsid w:val="00F35374"/>
    <w:rsid w:val="00F40824"/>
    <w:rsid w:val="00F46187"/>
    <w:rsid w:val="00F5094E"/>
    <w:rsid w:val="00F52F5F"/>
    <w:rsid w:val="00F571EC"/>
    <w:rsid w:val="00F6480A"/>
    <w:rsid w:val="00F6628B"/>
    <w:rsid w:val="00F763E1"/>
    <w:rsid w:val="00F813C7"/>
    <w:rsid w:val="00F81BB3"/>
    <w:rsid w:val="00F85272"/>
    <w:rsid w:val="00F94E92"/>
    <w:rsid w:val="00F977A2"/>
    <w:rsid w:val="00FA0204"/>
    <w:rsid w:val="00FA50CC"/>
    <w:rsid w:val="00FA5A0B"/>
    <w:rsid w:val="00FB3A18"/>
    <w:rsid w:val="00FC3395"/>
    <w:rsid w:val="00FC5876"/>
    <w:rsid w:val="00FD2AC3"/>
    <w:rsid w:val="00FD2E47"/>
    <w:rsid w:val="00FD3AA2"/>
    <w:rsid w:val="00FD746F"/>
    <w:rsid w:val="00FE63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1647"/>
  <w15:docId w15:val="{4FFF05B2-304C-4BBC-AD3D-1FD3308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lang w:val="en-GB"/>
    </w:rPr>
  </w:style>
  <w:style w:type="paragraph" w:styleId="Heading1">
    <w:name w:val="heading 1"/>
    <w:basedOn w:val="Normal"/>
    <w:next w:val="Normal"/>
    <w:qFormat/>
    <w:rsid w:val="0028513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51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11"/>
      </w:numPr>
      <w:spacing w:before="240" w:after="240"/>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rsid w:val="00285138"/>
    <w:pPr>
      <w:spacing w:before="240" w:after="60"/>
      <w:outlineLvl w:val="4"/>
    </w:pPr>
    <w:rPr>
      <w:b/>
      <w:bCs/>
      <w:i/>
      <w:iCs/>
      <w:sz w:val="26"/>
      <w:szCs w:val="26"/>
    </w:rPr>
  </w:style>
  <w:style w:type="paragraph" w:styleId="Heading6">
    <w:name w:val="heading 6"/>
    <w:basedOn w:val="Normal"/>
    <w:next w:val="Normal"/>
    <w:qFormat/>
    <w:rsid w:val="00285138"/>
    <w:pPr>
      <w:spacing w:before="240" w:after="60"/>
      <w:outlineLvl w:val="5"/>
    </w:pPr>
    <w:rPr>
      <w:rFonts w:ascii="Times New Roman" w:hAnsi="Times New Roman"/>
      <w:b/>
      <w:bCs/>
      <w:sz w:val="22"/>
      <w:szCs w:val="22"/>
    </w:rPr>
  </w:style>
  <w:style w:type="paragraph" w:styleId="Heading7">
    <w:name w:val="heading 7"/>
    <w:basedOn w:val="Normal"/>
    <w:next w:val="Normal"/>
    <w:qFormat/>
    <w:rsid w:val="00285138"/>
    <w:pPr>
      <w:spacing w:before="240" w:after="60"/>
      <w:outlineLvl w:val="6"/>
    </w:pPr>
    <w:rPr>
      <w:rFonts w:ascii="Times New Roman" w:hAnsi="Times New Roman"/>
    </w:rPr>
  </w:style>
  <w:style w:type="paragraph" w:styleId="Heading8">
    <w:name w:val="heading 8"/>
    <w:basedOn w:val="Normal"/>
    <w:next w:val="Normal"/>
    <w:qFormat/>
    <w:rsid w:val="00285138"/>
    <w:pPr>
      <w:spacing w:before="240" w:after="60"/>
      <w:outlineLvl w:val="7"/>
    </w:pPr>
    <w:rPr>
      <w:rFonts w:ascii="Times New Roman" w:hAnsi="Times New Roman"/>
      <w:i/>
      <w:iCs/>
    </w:rPr>
  </w:style>
  <w:style w:type="paragraph" w:styleId="Heading9">
    <w:name w:val="heading 9"/>
    <w:basedOn w:val="Normal"/>
    <w:next w:val="Normal"/>
    <w:qFormat/>
    <w:rsid w:val="002851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11EFC"/>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5365C4"/>
    <w:rPr>
      <w:rFonts w:ascii="Lucida Grande" w:hAnsi="Lucida Grande"/>
      <w:sz w:val="18"/>
      <w:szCs w:val="18"/>
    </w:rPr>
  </w:style>
  <w:style w:type="character" w:customStyle="1" w:styleId="BalloonTextChar0">
    <w:name w:val="Balloon Text Char"/>
    <w:basedOn w:val="DefaultParagraphFont"/>
    <w:uiPriority w:val="99"/>
    <w:semiHidden/>
    <w:rsid w:val="005365C4"/>
    <w:rPr>
      <w:rFonts w:ascii="Lucida Grande" w:hAnsi="Lucida Grande"/>
      <w:sz w:val="18"/>
      <w:szCs w:val="18"/>
    </w:rPr>
  </w:style>
  <w:style w:type="character" w:styleId="FootnoteReference">
    <w:name w:val="footnote reference"/>
    <w:semiHidden/>
    <w:rsid w:val="00285138"/>
    <w:rPr>
      <w:vertAlign w:val="superscript"/>
    </w:rPr>
  </w:style>
  <w:style w:type="character" w:customStyle="1" w:styleId="WW-Absatz-Standardschriftart">
    <w:name w:val="WW-Absatz-Standardschriftart"/>
    <w:rsid w:val="00285138"/>
    <w:rPr>
      <w:sz w:val="24"/>
    </w:rPr>
  </w:style>
  <w:style w:type="character" w:styleId="Hyperlink">
    <w:name w:val="Hyperlink"/>
    <w:rsid w:val="00285138"/>
    <w:rPr>
      <w:color w:val="0000FF"/>
      <w:sz w:val="24"/>
      <w:u w:val="single"/>
    </w:rPr>
  </w:style>
  <w:style w:type="character" w:customStyle="1" w:styleId="Funotenzeichen">
    <w:name w:val="Fußnotenzeichen"/>
    <w:rsid w:val="00285138"/>
    <w:rPr>
      <w:sz w:val="24"/>
      <w:vertAlign w:val="superscript"/>
    </w:rPr>
  </w:style>
  <w:style w:type="paragraph" w:customStyle="1" w:styleId="Textkrper">
    <w:name w:val="Textkörper"/>
    <w:basedOn w:val="Normal"/>
    <w:link w:val="TextkrperChar"/>
    <w:rsid w:val="00285138"/>
    <w:rPr>
      <w:sz w:val="20"/>
    </w:rPr>
  </w:style>
  <w:style w:type="paragraph" w:styleId="FootnoteText">
    <w:name w:val="footnote text"/>
    <w:basedOn w:val="Normal"/>
    <w:semiHidden/>
    <w:rsid w:val="00285138"/>
    <w:rPr>
      <w:sz w:val="20"/>
    </w:rPr>
  </w:style>
  <w:style w:type="paragraph" w:customStyle="1" w:styleId="TabellenInhalt">
    <w:name w:val="Tabellen Inhalt"/>
    <w:basedOn w:val="Textkrper"/>
    <w:rsid w:val="00285138"/>
  </w:style>
  <w:style w:type="paragraph" w:customStyle="1" w:styleId="Tabellenberschrift">
    <w:name w:val="Tabellen Überschrift"/>
    <w:basedOn w:val="TabellenInhalt"/>
    <w:rsid w:val="00285138"/>
    <w:pPr>
      <w:jc w:val="center"/>
    </w:pPr>
    <w:rPr>
      <w:b/>
      <w:i/>
    </w:rPr>
  </w:style>
  <w:style w:type="paragraph" w:styleId="NormalWeb">
    <w:name w:val="Normal (Web)"/>
    <w:basedOn w:val="Normal"/>
    <w:uiPriority w:val="99"/>
    <w:rsid w:val="00285138"/>
    <w:pPr>
      <w:widowControl w:val="0"/>
      <w:suppressAutoHyphens w:val="0"/>
      <w:spacing w:before="100" w:after="100"/>
    </w:pPr>
    <w:rPr>
      <w:rFonts w:ascii="Arial Unicode MS" w:eastAsia="Arial Unicode MS"/>
      <w:lang w:val="en-US"/>
    </w:rPr>
  </w:style>
  <w:style w:type="character" w:styleId="FollowedHyperlink">
    <w:name w:val="FollowedHyperlink"/>
    <w:rsid w:val="00285138"/>
    <w:rPr>
      <w:color w:val="800080"/>
      <w:u w:val="single"/>
    </w:rPr>
  </w:style>
  <w:style w:type="paragraph" w:styleId="Header">
    <w:name w:val="header"/>
    <w:basedOn w:val="Normal"/>
    <w:rsid w:val="00285138"/>
    <w:pPr>
      <w:tabs>
        <w:tab w:val="center" w:pos="4320"/>
        <w:tab w:val="right" w:pos="8640"/>
      </w:tabs>
    </w:pPr>
  </w:style>
  <w:style w:type="paragraph" w:styleId="Footer">
    <w:name w:val="footer"/>
    <w:basedOn w:val="Normal"/>
    <w:link w:val="FooterChar"/>
    <w:uiPriority w:val="99"/>
    <w:rsid w:val="00285138"/>
    <w:pPr>
      <w:tabs>
        <w:tab w:val="center" w:pos="4320"/>
        <w:tab w:val="right" w:pos="8640"/>
      </w:tabs>
    </w:pPr>
  </w:style>
  <w:style w:type="character" w:styleId="PageNumber">
    <w:name w:val="page number"/>
    <w:basedOn w:val="DefaultParagraphFont"/>
    <w:rsid w:val="00285138"/>
  </w:style>
  <w:style w:type="paragraph" w:styleId="BodyText">
    <w:name w:val="Body Text"/>
    <w:basedOn w:val="Normal"/>
    <w:link w:val="BodyTextChar"/>
    <w:qFormat/>
    <w:rsid w:val="00285138"/>
    <w:pPr>
      <w:jc w:val="center"/>
    </w:pPr>
    <w:rPr>
      <w:rFonts w:ascii="Times New Roman" w:hAnsi="Times New Roman"/>
      <w:b/>
      <w:sz w:val="28"/>
      <w:lang w:val="en-US"/>
    </w:rPr>
  </w:style>
  <w:style w:type="paragraph" w:styleId="BlockText">
    <w:name w:val="Block Text"/>
    <w:basedOn w:val="Normal"/>
    <w:rsid w:val="00285138"/>
    <w:pPr>
      <w:ind w:left="1440" w:right="1440"/>
    </w:pPr>
  </w:style>
  <w:style w:type="paragraph" w:styleId="BodyText2">
    <w:name w:val="Body Text 2"/>
    <w:basedOn w:val="Normal"/>
    <w:rsid w:val="00285138"/>
    <w:pPr>
      <w:spacing w:line="480" w:lineRule="auto"/>
    </w:pPr>
  </w:style>
  <w:style w:type="paragraph" w:styleId="BodyText3">
    <w:name w:val="Body Text 3"/>
    <w:basedOn w:val="Normal"/>
    <w:rsid w:val="00285138"/>
    <w:rPr>
      <w:sz w:val="16"/>
      <w:szCs w:val="16"/>
    </w:rPr>
  </w:style>
  <w:style w:type="paragraph" w:styleId="BodyTextFirstIndent">
    <w:name w:val="Body Text First Indent"/>
    <w:basedOn w:val="BodyText"/>
    <w:rsid w:val="00285138"/>
    <w:pPr>
      <w:ind w:firstLine="210"/>
      <w:jc w:val="left"/>
    </w:pPr>
    <w:rPr>
      <w:rFonts w:ascii="Times" w:hAnsi="Times"/>
      <w:b w:val="0"/>
      <w:sz w:val="24"/>
      <w:lang w:val="en-GB"/>
    </w:rPr>
  </w:style>
  <w:style w:type="paragraph" w:styleId="BodyTextIndent">
    <w:name w:val="Body Text Indent"/>
    <w:basedOn w:val="Normal"/>
    <w:rsid w:val="00285138"/>
    <w:pPr>
      <w:ind w:left="283"/>
    </w:pPr>
  </w:style>
  <w:style w:type="paragraph" w:styleId="BodyTextFirstIndent2">
    <w:name w:val="Body Text First Indent 2"/>
    <w:basedOn w:val="BodyTextIndent"/>
    <w:rsid w:val="00285138"/>
    <w:pPr>
      <w:ind w:firstLine="210"/>
    </w:pPr>
  </w:style>
  <w:style w:type="paragraph" w:styleId="BodyTextIndent2">
    <w:name w:val="Body Text Indent 2"/>
    <w:basedOn w:val="Normal"/>
    <w:rsid w:val="00285138"/>
    <w:pPr>
      <w:spacing w:line="480" w:lineRule="auto"/>
      <w:ind w:left="283"/>
    </w:pPr>
  </w:style>
  <w:style w:type="paragraph" w:styleId="BodyTextIndent3">
    <w:name w:val="Body Text Indent 3"/>
    <w:basedOn w:val="Normal"/>
    <w:rsid w:val="00285138"/>
    <w:pPr>
      <w:ind w:left="283"/>
    </w:pPr>
    <w:rPr>
      <w:sz w:val="16"/>
      <w:szCs w:val="16"/>
    </w:rPr>
  </w:style>
  <w:style w:type="paragraph" w:styleId="Caption">
    <w:name w:val="caption"/>
    <w:basedOn w:val="Normal"/>
    <w:next w:val="Normal"/>
    <w:qFormat/>
    <w:rsid w:val="00285138"/>
    <w:pPr>
      <w:spacing w:before="120"/>
    </w:pPr>
    <w:rPr>
      <w:b/>
      <w:bCs/>
      <w:sz w:val="20"/>
    </w:rPr>
  </w:style>
  <w:style w:type="paragraph" w:styleId="Closing">
    <w:name w:val="Closing"/>
    <w:basedOn w:val="Normal"/>
    <w:rsid w:val="00285138"/>
    <w:pPr>
      <w:ind w:left="4252"/>
    </w:pPr>
  </w:style>
  <w:style w:type="paragraph" w:styleId="CommentText">
    <w:name w:val="annotation text"/>
    <w:basedOn w:val="Normal"/>
    <w:link w:val="CommentTextChar"/>
    <w:semiHidden/>
    <w:rsid w:val="00285138"/>
    <w:rPr>
      <w:sz w:val="20"/>
    </w:rPr>
  </w:style>
  <w:style w:type="paragraph" w:styleId="Date">
    <w:name w:val="Date"/>
    <w:basedOn w:val="Normal"/>
    <w:next w:val="Normal"/>
    <w:rsid w:val="00285138"/>
  </w:style>
  <w:style w:type="paragraph" w:styleId="DocumentMap">
    <w:name w:val="Document Map"/>
    <w:basedOn w:val="Normal"/>
    <w:semiHidden/>
    <w:rsid w:val="00285138"/>
    <w:pPr>
      <w:shd w:val="clear" w:color="auto" w:fill="000080"/>
    </w:pPr>
    <w:rPr>
      <w:rFonts w:ascii="Tahoma" w:hAnsi="Tahoma" w:cs="Tahoma"/>
    </w:rPr>
  </w:style>
  <w:style w:type="paragraph" w:styleId="E-mailSignature">
    <w:name w:val="E-mail Signature"/>
    <w:basedOn w:val="Normal"/>
    <w:rsid w:val="00285138"/>
  </w:style>
  <w:style w:type="paragraph" w:styleId="EndnoteText">
    <w:name w:val="endnote text"/>
    <w:basedOn w:val="Normal"/>
    <w:semiHidden/>
    <w:rsid w:val="00285138"/>
    <w:rPr>
      <w:sz w:val="20"/>
    </w:rPr>
  </w:style>
  <w:style w:type="paragraph" w:styleId="EnvelopeAddress">
    <w:name w:val="envelope address"/>
    <w:basedOn w:val="Normal"/>
    <w:rsid w:val="0028513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5138"/>
    <w:rPr>
      <w:rFonts w:ascii="Arial" w:hAnsi="Arial" w:cs="Arial"/>
      <w:sz w:val="20"/>
    </w:rPr>
  </w:style>
  <w:style w:type="paragraph" w:styleId="HTMLAddress">
    <w:name w:val="HTML Address"/>
    <w:basedOn w:val="Normal"/>
    <w:rsid w:val="00285138"/>
    <w:rPr>
      <w:i/>
      <w:iCs/>
    </w:rPr>
  </w:style>
  <w:style w:type="paragraph" w:styleId="HTMLPreformatted">
    <w:name w:val="HTML Preformatted"/>
    <w:basedOn w:val="Normal"/>
    <w:rsid w:val="00285138"/>
    <w:rPr>
      <w:rFonts w:ascii="Courier New" w:hAnsi="Courier New" w:cs="Courier New"/>
      <w:sz w:val="20"/>
    </w:rPr>
  </w:style>
  <w:style w:type="paragraph" w:styleId="Index1">
    <w:name w:val="index 1"/>
    <w:basedOn w:val="Normal"/>
    <w:next w:val="Normal"/>
    <w:autoRedefine/>
    <w:semiHidden/>
    <w:rsid w:val="00285138"/>
    <w:pPr>
      <w:ind w:left="240" w:hanging="240"/>
    </w:pPr>
  </w:style>
  <w:style w:type="paragraph" w:styleId="Index2">
    <w:name w:val="index 2"/>
    <w:basedOn w:val="Normal"/>
    <w:next w:val="Normal"/>
    <w:autoRedefine/>
    <w:semiHidden/>
    <w:rsid w:val="00285138"/>
    <w:pPr>
      <w:ind w:left="480" w:hanging="240"/>
    </w:pPr>
  </w:style>
  <w:style w:type="paragraph" w:styleId="Index3">
    <w:name w:val="index 3"/>
    <w:basedOn w:val="Normal"/>
    <w:next w:val="Normal"/>
    <w:autoRedefine/>
    <w:semiHidden/>
    <w:rsid w:val="00285138"/>
    <w:pPr>
      <w:ind w:left="720" w:hanging="240"/>
    </w:pPr>
  </w:style>
  <w:style w:type="paragraph" w:styleId="Index4">
    <w:name w:val="index 4"/>
    <w:basedOn w:val="Normal"/>
    <w:next w:val="Normal"/>
    <w:autoRedefine/>
    <w:semiHidden/>
    <w:rsid w:val="00285138"/>
    <w:pPr>
      <w:ind w:left="960" w:hanging="240"/>
    </w:pPr>
  </w:style>
  <w:style w:type="paragraph" w:styleId="Index5">
    <w:name w:val="index 5"/>
    <w:basedOn w:val="Normal"/>
    <w:next w:val="Normal"/>
    <w:autoRedefine/>
    <w:semiHidden/>
    <w:rsid w:val="00285138"/>
    <w:pPr>
      <w:ind w:left="1200" w:hanging="240"/>
    </w:pPr>
  </w:style>
  <w:style w:type="paragraph" w:styleId="Index6">
    <w:name w:val="index 6"/>
    <w:basedOn w:val="Normal"/>
    <w:next w:val="Normal"/>
    <w:autoRedefine/>
    <w:semiHidden/>
    <w:rsid w:val="00285138"/>
    <w:pPr>
      <w:ind w:left="1440" w:hanging="240"/>
    </w:pPr>
  </w:style>
  <w:style w:type="paragraph" w:styleId="Index7">
    <w:name w:val="index 7"/>
    <w:basedOn w:val="Normal"/>
    <w:next w:val="Normal"/>
    <w:autoRedefine/>
    <w:semiHidden/>
    <w:rsid w:val="00285138"/>
    <w:pPr>
      <w:ind w:left="1680" w:hanging="240"/>
    </w:pPr>
  </w:style>
  <w:style w:type="paragraph" w:styleId="Index8">
    <w:name w:val="index 8"/>
    <w:basedOn w:val="Normal"/>
    <w:next w:val="Normal"/>
    <w:autoRedefine/>
    <w:semiHidden/>
    <w:rsid w:val="00285138"/>
    <w:pPr>
      <w:ind w:left="1920" w:hanging="240"/>
    </w:pPr>
  </w:style>
  <w:style w:type="paragraph" w:styleId="Index9">
    <w:name w:val="index 9"/>
    <w:basedOn w:val="Normal"/>
    <w:next w:val="Normal"/>
    <w:autoRedefine/>
    <w:semiHidden/>
    <w:rsid w:val="00285138"/>
    <w:pPr>
      <w:ind w:left="2160" w:hanging="240"/>
    </w:pPr>
  </w:style>
  <w:style w:type="paragraph" w:styleId="IndexHeading">
    <w:name w:val="index heading"/>
    <w:basedOn w:val="Normal"/>
    <w:next w:val="Index1"/>
    <w:semiHidden/>
    <w:rsid w:val="00285138"/>
    <w:rPr>
      <w:rFonts w:ascii="Arial" w:hAnsi="Arial" w:cs="Arial"/>
      <w:b/>
      <w:bCs/>
    </w:rPr>
  </w:style>
  <w:style w:type="paragraph" w:styleId="List">
    <w:name w:val="List"/>
    <w:basedOn w:val="Normal"/>
    <w:rsid w:val="00285138"/>
    <w:pPr>
      <w:ind w:left="283" w:hanging="283"/>
    </w:pPr>
  </w:style>
  <w:style w:type="paragraph" w:styleId="List2">
    <w:name w:val="List 2"/>
    <w:basedOn w:val="Normal"/>
    <w:rsid w:val="00285138"/>
    <w:pPr>
      <w:ind w:left="566" w:hanging="283"/>
    </w:pPr>
  </w:style>
  <w:style w:type="paragraph" w:styleId="List3">
    <w:name w:val="List 3"/>
    <w:basedOn w:val="Normal"/>
    <w:rsid w:val="00285138"/>
    <w:pPr>
      <w:ind w:left="849" w:hanging="283"/>
    </w:pPr>
  </w:style>
  <w:style w:type="paragraph" w:styleId="List4">
    <w:name w:val="List 4"/>
    <w:basedOn w:val="Normal"/>
    <w:rsid w:val="00285138"/>
    <w:pPr>
      <w:ind w:left="1132" w:hanging="283"/>
    </w:pPr>
  </w:style>
  <w:style w:type="paragraph" w:styleId="List5">
    <w:name w:val="List 5"/>
    <w:basedOn w:val="Normal"/>
    <w:rsid w:val="00285138"/>
    <w:pPr>
      <w:ind w:left="1415" w:hanging="283"/>
    </w:pPr>
  </w:style>
  <w:style w:type="paragraph" w:styleId="ListBullet">
    <w:name w:val="List Bullet"/>
    <w:basedOn w:val="Normal"/>
    <w:autoRedefine/>
    <w:rsid w:val="00285138"/>
    <w:pPr>
      <w:numPr>
        <w:numId w:val="1"/>
      </w:numPr>
    </w:pPr>
  </w:style>
  <w:style w:type="paragraph" w:styleId="ListBullet2">
    <w:name w:val="List Bullet 2"/>
    <w:basedOn w:val="Normal"/>
    <w:autoRedefine/>
    <w:rsid w:val="00285138"/>
    <w:pPr>
      <w:numPr>
        <w:numId w:val="2"/>
      </w:numPr>
    </w:pPr>
  </w:style>
  <w:style w:type="paragraph" w:styleId="ListBullet3">
    <w:name w:val="List Bullet 3"/>
    <w:basedOn w:val="Normal"/>
    <w:autoRedefine/>
    <w:rsid w:val="00285138"/>
    <w:pPr>
      <w:numPr>
        <w:numId w:val="3"/>
      </w:numPr>
    </w:pPr>
  </w:style>
  <w:style w:type="paragraph" w:styleId="ListBullet4">
    <w:name w:val="List Bullet 4"/>
    <w:basedOn w:val="Normal"/>
    <w:autoRedefine/>
    <w:rsid w:val="00285138"/>
    <w:pPr>
      <w:numPr>
        <w:numId w:val="4"/>
      </w:numPr>
    </w:pPr>
  </w:style>
  <w:style w:type="paragraph" w:styleId="ListBullet5">
    <w:name w:val="List Bullet 5"/>
    <w:basedOn w:val="Normal"/>
    <w:autoRedefine/>
    <w:rsid w:val="00285138"/>
    <w:pPr>
      <w:numPr>
        <w:numId w:val="5"/>
      </w:numPr>
    </w:pPr>
  </w:style>
  <w:style w:type="paragraph" w:styleId="ListContinue">
    <w:name w:val="List Continue"/>
    <w:basedOn w:val="Normal"/>
    <w:rsid w:val="00285138"/>
    <w:pPr>
      <w:ind w:left="283"/>
    </w:pPr>
  </w:style>
  <w:style w:type="paragraph" w:styleId="ListContinue2">
    <w:name w:val="List Continue 2"/>
    <w:basedOn w:val="Normal"/>
    <w:rsid w:val="00285138"/>
    <w:pPr>
      <w:ind w:left="566"/>
    </w:pPr>
  </w:style>
  <w:style w:type="paragraph" w:styleId="ListContinue3">
    <w:name w:val="List Continue 3"/>
    <w:basedOn w:val="Normal"/>
    <w:rsid w:val="00285138"/>
    <w:pPr>
      <w:ind w:left="849"/>
    </w:pPr>
  </w:style>
  <w:style w:type="paragraph" w:styleId="ListContinue4">
    <w:name w:val="List Continue 4"/>
    <w:basedOn w:val="Normal"/>
    <w:rsid w:val="00285138"/>
    <w:pPr>
      <w:ind w:left="1132"/>
    </w:pPr>
  </w:style>
  <w:style w:type="paragraph" w:styleId="ListContinue5">
    <w:name w:val="List Continue 5"/>
    <w:basedOn w:val="Normal"/>
    <w:rsid w:val="00285138"/>
    <w:pPr>
      <w:ind w:left="1415"/>
    </w:pPr>
  </w:style>
  <w:style w:type="paragraph" w:styleId="ListNumber">
    <w:name w:val="List Number"/>
    <w:basedOn w:val="Normal"/>
    <w:rsid w:val="00285138"/>
    <w:pPr>
      <w:numPr>
        <w:numId w:val="6"/>
      </w:numPr>
    </w:pPr>
  </w:style>
  <w:style w:type="paragraph" w:styleId="ListNumber2">
    <w:name w:val="List Number 2"/>
    <w:basedOn w:val="Normal"/>
    <w:rsid w:val="00285138"/>
    <w:pPr>
      <w:numPr>
        <w:numId w:val="7"/>
      </w:numPr>
    </w:pPr>
  </w:style>
  <w:style w:type="paragraph" w:styleId="ListNumber3">
    <w:name w:val="List Number 3"/>
    <w:basedOn w:val="Normal"/>
    <w:rsid w:val="00285138"/>
    <w:pPr>
      <w:numPr>
        <w:numId w:val="8"/>
      </w:numPr>
    </w:pPr>
  </w:style>
  <w:style w:type="paragraph" w:styleId="ListNumber4">
    <w:name w:val="List Number 4"/>
    <w:basedOn w:val="Normal"/>
    <w:rsid w:val="00285138"/>
    <w:pPr>
      <w:numPr>
        <w:numId w:val="9"/>
      </w:numPr>
    </w:pPr>
  </w:style>
  <w:style w:type="paragraph" w:styleId="ListNumber5">
    <w:name w:val="List Number 5"/>
    <w:basedOn w:val="Normal"/>
    <w:rsid w:val="00285138"/>
    <w:pPr>
      <w:numPr>
        <w:numId w:val="10"/>
      </w:numPr>
    </w:pPr>
  </w:style>
  <w:style w:type="paragraph" w:styleId="MacroText">
    <w:name w:val="macro"/>
    <w:semiHidden/>
    <w:rsid w:val="0028513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MessageHeader">
    <w:name w:val="Message Header"/>
    <w:basedOn w:val="Normal"/>
    <w:rsid w:val="002851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285138"/>
    <w:pPr>
      <w:ind w:left="720"/>
    </w:pPr>
  </w:style>
  <w:style w:type="paragraph" w:styleId="NoteHeading">
    <w:name w:val="Note Heading"/>
    <w:basedOn w:val="Normal"/>
    <w:next w:val="Normal"/>
    <w:rsid w:val="00285138"/>
  </w:style>
  <w:style w:type="paragraph" w:styleId="PlainText">
    <w:name w:val="Plain Text"/>
    <w:basedOn w:val="Normal"/>
    <w:rsid w:val="00285138"/>
    <w:rPr>
      <w:rFonts w:ascii="Courier New" w:hAnsi="Courier New" w:cs="Courier New"/>
      <w:sz w:val="20"/>
    </w:rPr>
  </w:style>
  <w:style w:type="paragraph" w:styleId="Salutation">
    <w:name w:val="Salutation"/>
    <w:basedOn w:val="Normal"/>
    <w:next w:val="Normal"/>
    <w:rsid w:val="00285138"/>
  </w:style>
  <w:style w:type="paragraph" w:styleId="Signature">
    <w:name w:val="Signature"/>
    <w:basedOn w:val="Normal"/>
    <w:rsid w:val="00285138"/>
    <w:pPr>
      <w:ind w:left="4252"/>
    </w:pPr>
  </w:style>
  <w:style w:type="paragraph" w:styleId="Subtitle">
    <w:name w:val="Subtitle"/>
    <w:basedOn w:val="Normal"/>
    <w:qFormat/>
    <w:rsid w:val="00285138"/>
    <w:pPr>
      <w:spacing w:after="60"/>
      <w:jc w:val="center"/>
      <w:outlineLvl w:val="1"/>
    </w:pPr>
    <w:rPr>
      <w:rFonts w:ascii="Arial" w:hAnsi="Arial" w:cs="Arial"/>
    </w:rPr>
  </w:style>
  <w:style w:type="paragraph" w:styleId="TableofAuthorities">
    <w:name w:val="table of authorities"/>
    <w:basedOn w:val="Normal"/>
    <w:next w:val="Normal"/>
    <w:semiHidden/>
    <w:rsid w:val="00285138"/>
    <w:pPr>
      <w:ind w:left="240" w:hanging="240"/>
    </w:pPr>
  </w:style>
  <w:style w:type="paragraph" w:styleId="TableofFigures">
    <w:name w:val="table of figures"/>
    <w:basedOn w:val="Normal"/>
    <w:next w:val="Normal"/>
    <w:semiHidden/>
    <w:rsid w:val="00285138"/>
    <w:pPr>
      <w:ind w:left="480" w:hanging="480"/>
    </w:pPr>
  </w:style>
  <w:style w:type="paragraph" w:styleId="Title">
    <w:name w:val="Title"/>
    <w:basedOn w:val="Normal"/>
    <w:qFormat/>
    <w:rsid w:val="0028513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85138"/>
    <w:pPr>
      <w:spacing w:before="120"/>
    </w:pPr>
    <w:rPr>
      <w:rFonts w:ascii="Arial" w:hAnsi="Arial" w:cs="Arial"/>
      <w:b/>
      <w:bCs/>
    </w:rPr>
  </w:style>
  <w:style w:type="paragraph" w:styleId="TOC1">
    <w:name w:val="toc 1"/>
    <w:basedOn w:val="Normal"/>
    <w:next w:val="Normal"/>
    <w:autoRedefine/>
    <w:semiHidden/>
    <w:rsid w:val="00285138"/>
  </w:style>
  <w:style w:type="paragraph" w:styleId="TOC2">
    <w:name w:val="toc 2"/>
    <w:basedOn w:val="Normal"/>
    <w:next w:val="Normal"/>
    <w:autoRedefine/>
    <w:semiHidden/>
    <w:rsid w:val="00285138"/>
    <w:pPr>
      <w:ind w:left="240"/>
    </w:pPr>
  </w:style>
  <w:style w:type="paragraph" w:styleId="TOC3">
    <w:name w:val="toc 3"/>
    <w:basedOn w:val="Normal"/>
    <w:next w:val="Normal"/>
    <w:autoRedefine/>
    <w:semiHidden/>
    <w:rsid w:val="00285138"/>
    <w:pPr>
      <w:ind w:left="480"/>
    </w:pPr>
  </w:style>
  <w:style w:type="paragraph" w:styleId="TOC4">
    <w:name w:val="toc 4"/>
    <w:basedOn w:val="Normal"/>
    <w:next w:val="Normal"/>
    <w:autoRedefine/>
    <w:semiHidden/>
    <w:rsid w:val="00285138"/>
    <w:pPr>
      <w:ind w:left="720"/>
    </w:pPr>
  </w:style>
  <w:style w:type="paragraph" w:styleId="TOC5">
    <w:name w:val="toc 5"/>
    <w:basedOn w:val="Normal"/>
    <w:next w:val="Normal"/>
    <w:autoRedefine/>
    <w:semiHidden/>
    <w:rsid w:val="00285138"/>
    <w:pPr>
      <w:ind w:left="960"/>
    </w:pPr>
  </w:style>
  <w:style w:type="paragraph" w:styleId="TOC6">
    <w:name w:val="toc 6"/>
    <w:basedOn w:val="Normal"/>
    <w:next w:val="Normal"/>
    <w:autoRedefine/>
    <w:semiHidden/>
    <w:rsid w:val="00285138"/>
    <w:pPr>
      <w:ind w:left="1200"/>
    </w:pPr>
  </w:style>
  <w:style w:type="paragraph" w:styleId="TOC7">
    <w:name w:val="toc 7"/>
    <w:basedOn w:val="Normal"/>
    <w:next w:val="Normal"/>
    <w:autoRedefine/>
    <w:semiHidden/>
    <w:rsid w:val="00285138"/>
    <w:pPr>
      <w:ind w:left="1440"/>
    </w:pPr>
  </w:style>
  <w:style w:type="paragraph" w:styleId="TOC8">
    <w:name w:val="toc 8"/>
    <w:basedOn w:val="Normal"/>
    <w:next w:val="Normal"/>
    <w:autoRedefine/>
    <w:semiHidden/>
    <w:rsid w:val="00285138"/>
    <w:pPr>
      <w:ind w:left="1680"/>
    </w:pPr>
  </w:style>
  <w:style w:type="paragraph" w:styleId="TOC9">
    <w:name w:val="toc 9"/>
    <w:basedOn w:val="Normal"/>
    <w:next w:val="Normal"/>
    <w:autoRedefine/>
    <w:semiHidden/>
    <w:rsid w:val="00285138"/>
    <w:pPr>
      <w:ind w:left="1920"/>
    </w:pPr>
  </w:style>
  <w:style w:type="paragraph" w:customStyle="1" w:styleId="Abstract">
    <w:name w:val="Abstract"/>
    <w:basedOn w:val="Textkrper"/>
    <w:link w:val="AbstractChar"/>
    <w:qFormat/>
    <w:rsid w:val="00DF14FD"/>
    <w:pPr>
      <w:spacing w:before="120"/>
    </w:pPr>
    <w:rPr>
      <w:rFonts w:ascii="Times New Roman" w:hAnsi="Times New Roman"/>
      <w:sz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BalloonTextChar1">
    <w:name w:val="Balloon Text Char1"/>
    <w:basedOn w:val="DefaultParagraphFont"/>
    <w:link w:val="BalloonText"/>
    <w:rsid w:val="00611EFC"/>
    <w:rPr>
      <w:rFonts w:ascii="Lucida Grande" w:hAnsi="Lucida Grande" w:cs="Lucida Grande"/>
      <w:sz w:val="18"/>
      <w:szCs w:val="18"/>
      <w:lang w:val="en-GB"/>
    </w:rPr>
  </w:style>
  <w:style w:type="paragraph" w:styleId="ListParagraph">
    <w:name w:val="List Paragraph"/>
    <w:basedOn w:val="Normal"/>
    <w:uiPriority w:val="34"/>
    <w:qFormat/>
    <w:rsid w:val="00A07AAD"/>
    <w:pPr>
      <w:suppressAutoHyphens w:val="0"/>
      <w:overflowPunct/>
      <w:autoSpaceDE/>
      <w:autoSpaceDN/>
      <w:adjustRightInd/>
      <w:spacing w:after="0"/>
      <w:ind w:left="720"/>
      <w:contextualSpacing/>
      <w:jc w:val="left"/>
      <w:textAlignment w:val="auto"/>
    </w:pPr>
    <w:rPr>
      <w:rFonts w:asciiTheme="minorHAnsi" w:eastAsiaTheme="minorHAnsi" w:hAnsiTheme="minorHAnsi" w:cstheme="minorBidi"/>
      <w:lang w:val="en-US"/>
    </w:rPr>
  </w:style>
  <w:style w:type="paragraph" w:customStyle="1" w:styleId="BodyTextFlush">
    <w:name w:val="Body Text Flush"/>
    <w:link w:val="BodyTextFlushChar"/>
    <w:qFormat/>
    <w:rsid w:val="0099669F"/>
    <w:pPr>
      <w:spacing w:before="60" w:after="120"/>
    </w:pPr>
    <w:rPr>
      <w:rFonts w:eastAsia="Times New Roman"/>
      <w:sz w:val="22"/>
      <w:szCs w:val="20"/>
    </w:rPr>
  </w:style>
  <w:style w:type="character" w:customStyle="1" w:styleId="BodyTextFlushChar">
    <w:name w:val="Body Text Flush Char"/>
    <w:basedOn w:val="DefaultParagraphFont"/>
    <w:link w:val="BodyTextFlush"/>
    <w:rsid w:val="0099669F"/>
    <w:rPr>
      <w:rFonts w:eastAsia="Times New Roman"/>
      <w:sz w:val="22"/>
      <w:szCs w:val="20"/>
    </w:rPr>
  </w:style>
  <w:style w:type="table" w:styleId="TableGrid">
    <w:name w:val="Table Grid"/>
    <w:basedOn w:val="TableNormal"/>
    <w:uiPriority w:val="59"/>
    <w:rsid w:val="0075736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next w:val="Normal"/>
    <w:rsid w:val="00CC2940"/>
    <w:pPr>
      <w:spacing w:after="200"/>
      <w:jc w:val="center"/>
    </w:pPr>
    <w:rPr>
      <w:rFonts w:eastAsia="Times New Roman"/>
      <w:b/>
      <w:bCs/>
      <w:sz w:val="22"/>
      <w:szCs w:val="20"/>
    </w:rPr>
  </w:style>
  <w:style w:type="character" w:styleId="CommentReference">
    <w:name w:val="annotation reference"/>
    <w:basedOn w:val="DefaultParagraphFont"/>
    <w:semiHidden/>
    <w:unhideWhenUsed/>
    <w:rsid w:val="004D4089"/>
    <w:rPr>
      <w:sz w:val="16"/>
      <w:szCs w:val="16"/>
    </w:rPr>
  </w:style>
  <w:style w:type="paragraph" w:styleId="CommentSubject">
    <w:name w:val="annotation subject"/>
    <w:basedOn w:val="CommentText"/>
    <w:next w:val="CommentText"/>
    <w:link w:val="CommentSubjectChar"/>
    <w:semiHidden/>
    <w:unhideWhenUsed/>
    <w:rsid w:val="004D4089"/>
    <w:rPr>
      <w:b/>
      <w:bCs/>
      <w:szCs w:val="20"/>
    </w:rPr>
  </w:style>
  <w:style w:type="character" w:customStyle="1" w:styleId="CommentTextChar">
    <w:name w:val="Comment Text Char"/>
    <w:basedOn w:val="DefaultParagraphFont"/>
    <w:link w:val="CommentText"/>
    <w:semiHidden/>
    <w:rsid w:val="004D4089"/>
    <w:rPr>
      <w:rFonts w:ascii="Times" w:hAnsi="Times"/>
      <w:sz w:val="20"/>
      <w:lang w:val="en-GB"/>
    </w:rPr>
  </w:style>
  <w:style w:type="character" w:customStyle="1" w:styleId="CommentSubjectChar">
    <w:name w:val="Comment Subject Char"/>
    <w:basedOn w:val="CommentTextChar"/>
    <w:link w:val="CommentSubject"/>
    <w:semiHidden/>
    <w:rsid w:val="004D4089"/>
    <w:rPr>
      <w:rFonts w:ascii="Times" w:hAnsi="Times"/>
      <w:b/>
      <w:bCs/>
      <w:sz w:val="20"/>
      <w:szCs w:val="20"/>
      <w:lang w:val="en-GB"/>
    </w:rPr>
  </w:style>
  <w:style w:type="character" w:customStyle="1" w:styleId="BodyTextChar">
    <w:name w:val="Body Text Char"/>
    <w:basedOn w:val="DefaultParagraphFont"/>
    <w:link w:val="BodyText"/>
    <w:rsid w:val="00BC0C6E"/>
    <w:rPr>
      <w:b/>
      <w:sz w:val="28"/>
    </w:rPr>
  </w:style>
  <w:style w:type="paragraph" w:customStyle="1" w:styleId="ListEmdash">
    <w:name w:val="List Emdash"/>
    <w:basedOn w:val="BodyText"/>
    <w:uiPriority w:val="6"/>
    <w:qFormat/>
    <w:rsid w:val="00043D77"/>
    <w:pPr>
      <w:suppressAutoHyphens w:val="0"/>
      <w:overflowPunct/>
      <w:autoSpaceDE/>
      <w:autoSpaceDN/>
      <w:adjustRightInd/>
      <w:spacing w:after="0" w:line="260" w:lineRule="atLeast"/>
      <w:contextualSpacing/>
      <w:jc w:val="both"/>
      <w:textAlignment w:val="auto"/>
    </w:pPr>
    <w:rPr>
      <w:rFonts w:eastAsia="Times New Roman"/>
      <w:b w:val="0"/>
      <w:sz w:val="20"/>
      <w:szCs w:val="20"/>
      <w:lang w:val="en-GB"/>
    </w:rPr>
  </w:style>
  <w:style w:type="paragraph" w:customStyle="1" w:styleId="Abstracttext">
    <w:name w:val="Abstract text"/>
    <w:basedOn w:val="Normal"/>
    <w:link w:val="AbstracttextChar"/>
    <w:uiPriority w:val="49"/>
    <w:qFormat/>
    <w:rsid w:val="0062455E"/>
    <w:pPr>
      <w:suppressAutoHyphens w:val="0"/>
      <w:overflowPunct/>
      <w:autoSpaceDE/>
      <w:autoSpaceDN/>
      <w:adjustRightInd/>
      <w:spacing w:after="0" w:line="240" w:lineRule="atLeast"/>
      <w:ind w:firstLine="567"/>
      <w:contextualSpacing/>
      <w:jc w:val="left"/>
      <w:textAlignment w:val="auto"/>
    </w:pPr>
    <w:rPr>
      <w:rFonts w:ascii="Times New Roman" w:eastAsia="Times New Roman" w:hAnsi="Times New Roman"/>
      <w:sz w:val="18"/>
      <w:szCs w:val="20"/>
      <w:lang w:val="en-US"/>
    </w:rPr>
  </w:style>
  <w:style w:type="character" w:customStyle="1" w:styleId="AbstracttextChar">
    <w:name w:val="Abstract text Char"/>
    <w:basedOn w:val="DefaultParagraphFont"/>
    <w:link w:val="Abstracttext"/>
    <w:uiPriority w:val="49"/>
    <w:rsid w:val="0062455E"/>
    <w:rPr>
      <w:rFonts w:eastAsia="Times New Roman"/>
      <w:sz w:val="18"/>
      <w:szCs w:val="20"/>
    </w:rPr>
  </w:style>
  <w:style w:type="paragraph" w:customStyle="1" w:styleId="Authornameandaffiliation">
    <w:name w:val="Author name and affiliation"/>
    <w:link w:val="AuthornameandaffiliationChar"/>
    <w:uiPriority w:val="49"/>
    <w:qFormat/>
    <w:rsid w:val="0062455E"/>
    <w:pPr>
      <w:ind w:left="567"/>
      <w:contextualSpacing/>
    </w:pPr>
    <w:rPr>
      <w:rFonts w:eastAsia="Times New Roman"/>
      <w:sz w:val="20"/>
      <w:szCs w:val="20"/>
    </w:rPr>
  </w:style>
  <w:style w:type="character" w:customStyle="1" w:styleId="AuthornameandaffiliationChar">
    <w:name w:val="Author name and affiliation Char"/>
    <w:basedOn w:val="BodyTextChar"/>
    <w:link w:val="Authornameandaffiliation"/>
    <w:uiPriority w:val="49"/>
    <w:rsid w:val="0062455E"/>
    <w:rPr>
      <w:rFonts w:eastAsia="Times New Roman"/>
      <w:b w:val="0"/>
      <w:sz w:val="20"/>
      <w:szCs w:val="20"/>
    </w:rPr>
  </w:style>
  <w:style w:type="paragraph" w:customStyle="1" w:styleId="Referencelist">
    <w:name w:val="Reference list"/>
    <w:basedOn w:val="BodyText"/>
    <w:link w:val="ReferencelistChar"/>
    <w:uiPriority w:val="49"/>
    <w:qFormat/>
    <w:rsid w:val="00B05D23"/>
    <w:pPr>
      <w:suppressAutoHyphens w:val="0"/>
      <w:overflowPunct/>
      <w:autoSpaceDE/>
      <w:autoSpaceDN/>
      <w:adjustRightInd/>
      <w:spacing w:after="0" w:line="260" w:lineRule="atLeast"/>
      <w:contextualSpacing/>
      <w:jc w:val="both"/>
      <w:textAlignment w:val="auto"/>
    </w:pPr>
    <w:rPr>
      <w:rFonts w:eastAsia="Times New Roman"/>
      <w:b w:val="0"/>
      <w:sz w:val="18"/>
      <w:szCs w:val="18"/>
      <w:lang w:val="en-GB"/>
    </w:rPr>
  </w:style>
  <w:style w:type="character" w:customStyle="1" w:styleId="ReferencelistChar">
    <w:name w:val="Reference list Char"/>
    <w:basedOn w:val="BodyTextChar"/>
    <w:link w:val="Referencelist"/>
    <w:uiPriority w:val="49"/>
    <w:rsid w:val="00B05D23"/>
    <w:rPr>
      <w:rFonts w:eastAsia="Times New Roman"/>
      <w:b w:val="0"/>
      <w:sz w:val="18"/>
      <w:szCs w:val="18"/>
      <w:lang w:val="en-GB"/>
    </w:rPr>
  </w:style>
  <w:style w:type="paragraph" w:customStyle="1" w:styleId="Otherunnumberedheadings">
    <w:name w:val="Other unnumbered headings"/>
    <w:next w:val="BodyText"/>
    <w:link w:val="OtherunnumberedheadingsChar"/>
    <w:uiPriority w:val="49"/>
    <w:qFormat/>
    <w:locked/>
    <w:rsid w:val="00B05D23"/>
    <w:pPr>
      <w:spacing w:before="100" w:beforeAutospacing="1" w:after="100" w:afterAutospacing="1" w:line="260" w:lineRule="atLeast"/>
      <w:jc w:val="center"/>
    </w:pPr>
    <w:rPr>
      <w:rFonts w:ascii="Times New Roman Bold" w:eastAsia="Times New Roman" w:hAnsi="Times New Roman Bold"/>
      <w:b/>
      <w:caps/>
      <w:sz w:val="20"/>
      <w:szCs w:val="20"/>
      <w:lang w:val="en-GB"/>
    </w:rPr>
  </w:style>
  <w:style w:type="character" w:customStyle="1" w:styleId="OtherunnumberedheadingsChar">
    <w:name w:val="Other unnumbered headings Char"/>
    <w:basedOn w:val="BodyTextChar"/>
    <w:link w:val="Otherunnumberedheadings"/>
    <w:uiPriority w:val="49"/>
    <w:rsid w:val="00B05D23"/>
    <w:rPr>
      <w:rFonts w:ascii="Times New Roman Bold" w:eastAsia="Times New Roman" w:hAnsi="Times New Roman Bold"/>
      <w:b/>
      <w:caps/>
      <w:sz w:val="20"/>
      <w:szCs w:val="20"/>
      <w:lang w:val="en-GB"/>
    </w:rPr>
  </w:style>
  <w:style w:type="paragraph" w:customStyle="1" w:styleId="Runninghead">
    <w:name w:val="Running head"/>
    <w:basedOn w:val="Normal"/>
    <w:link w:val="RunningheadChar"/>
    <w:uiPriority w:val="49"/>
    <w:qFormat/>
    <w:rsid w:val="00703B28"/>
    <w:pPr>
      <w:suppressAutoHyphens w:val="0"/>
      <w:spacing w:after="0"/>
      <w:jc w:val="center"/>
    </w:pPr>
    <w:rPr>
      <w:rFonts w:ascii="Times New Roman" w:eastAsia="Times New Roman" w:hAnsi="Times New Roman"/>
      <w:b/>
      <w:sz w:val="16"/>
      <w:szCs w:val="16"/>
    </w:rPr>
  </w:style>
  <w:style w:type="character" w:customStyle="1" w:styleId="RunningheadChar">
    <w:name w:val="Running head Char"/>
    <w:basedOn w:val="DefaultParagraphFont"/>
    <w:link w:val="Runninghead"/>
    <w:uiPriority w:val="49"/>
    <w:rsid w:val="00703B28"/>
    <w:rPr>
      <w:rFonts w:eastAsia="Times New Roman"/>
      <w:b/>
      <w:sz w:val="16"/>
      <w:szCs w:val="16"/>
      <w:lang w:val="en-GB"/>
    </w:rPr>
  </w:style>
  <w:style w:type="character" w:customStyle="1" w:styleId="FooterChar">
    <w:name w:val="Footer Char"/>
    <w:basedOn w:val="DefaultParagraphFont"/>
    <w:link w:val="Footer"/>
    <w:uiPriority w:val="99"/>
    <w:rsid w:val="00703B28"/>
    <w:rPr>
      <w:rFonts w:ascii="Times" w:hAnsi="Times"/>
      <w:lang w:val="en-GB"/>
    </w:rPr>
  </w:style>
  <w:style w:type="paragraph" w:customStyle="1" w:styleId="zyxClassification1">
    <w:name w:val="zyxClassification1"/>
    <w:basedOn w:val="BodyText"/>
    <w:uiPriority w:val="49"/>
    <w:locked/>
    <w:rsid w:val="00703B28"/>
    <w:pPr>
      <w:suppressAutoHyphens w:val="0"/>
      <w:overflowPunct/>
      <w:autoSpaceDE/>
      <w:autoSpaceDN/>
      <w:adjustRightInd/>
      <w:spacing w:after="0" w:line="280" w:lineRule="exact"/>
      <w:ind w:firstLine="567"/>
      <w:contextualSpacing/>
      <w:jc w:val="right"/>
      <w:textAlignment w:val="auto"/>
    </w:pPr>
    <w:rPr>
      <w:rFonts w:ascii="Arial" w:eastAsia="Times New Roman" w:hAnsi="Arial" w:cs="Arial"/>
      <w:bCs/>
      <w:caps/>
      <w:sz w:val="24"/>
      <w:szCs w:val="20"/>
      <w:lang w:val="en-GB"/>
    </w:rPr>
  </w:style>
  <w:style w:type="paragraph" w:customStyle="1" w:styleId="zyxClassification2">
    <w:name w:val="zyxClassification2"/>
    <w:basedOn w:val="Footer"/>
    <w:uiPriority w:val="49"/>
    <w:locked/>
    <w:rsid w:val="00703B28"/>
    <w:pPr>
      <w:suppressAutoHyphens w:val="0"/>
      <w:spacing w:after="0"/>
      <w:ind w:firstLine="567"/>
      <w:jc w:val="right"/>
    </w:pPr>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93ee443c4fa424091d84076e6e57acf xmlns="589d294b-ad21-4f47-8844-7033164dc1c0">
      <Terms xmlns="http://schemas.microsoft.com/office/infopath/2007/PartnerControls"/>
    </c93ee443c4fa424091d84076e6e57acf>
    <TaxCatchAll xmlns="589d294b-ad21-4f47-8844-7033164dc1c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022E38537174EB5AC3395621FA5A3" ma:contentTypeVersion="9" ma:contentTypeDescription="Create a new document." ma:contentTypeScope="" ma:versionID="e09928a7afa32ebdea09adcf1d72f29c">
  <xsd:schema xmlns:xsd="http://www.w3.org/2001/XMLSchema" xmlns:xs="http://www.w3.org/2001/XMLSchema" xmlns:p="http://schemas.microsoft.com/office/2006/metadata/properties" xmlns:ns2="589d294b-ad21-4f47-8844-7033164dc1c0" xmlns:ns3="232092d1-2baf-494e-9a93-1a38e308c4eb" targetNamespace="http://schemas.microsoft.com/office/2006/metadata/properties" ma:root="true" ma:fieldsID="9ce6b27294f9ae1668a5246c7de44329" ns2:_="" ns3:_="">
    <xsd:import namespace="589d294b-ad21-4f47-8844-7033164dc1c0"/>
    <xsd:import namespace="232092d1-2baf-494e-9a93-1a38e308c4eb"/>
    <xsd:element name="properties">
      <xsd:complexType>
        <xsd:sequence>
          <xsd:element name="documentManagement">
            <xsd:complexType>
              <xsd:all>
                <xsd:element ref="ns2:c93ee443c4fa424091d84076e6e57acf"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d294b-ad21-4f47-8844-7033164dc1c0" elementFormDefault="qualified">
    <xsd:import namespace="http://schemas.microsoft.com/office/2006/documentManagement/types"/>
    <xsd:import namespace="http://schemas.microsoft.com/office/infopath/2007/PartnerControls"/>
    <xsd:element name="c93ee443c4fa424091d84076e6e57acf" ma:index="9" nillable="true" ma:taxonomy="true" ma:internalName="c93ee443c4fa424091d84076e6e57acf" ma:taxonomyFieldName="Document_x0020_Type" ma:displayName="Document Type" ma:default="" ma:fieldId="{c93ee443-c4fa-4240-91d8-4076e6e57acf}" ma:taxonomyMulti="true" ma:sspId="6cfda930-661e-4498-8596-99ec2a7c2da3" ma:termSetId="6bfba52d-7605-4d18-83f6-f2a3ddc9ac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af258bf-06bc-4609-8baf-ff841ceac912}" ma:internalName="TaxCatchAll" ma:showField="CatchAllData" ma:web="e2337cfc-2eb0-4576-9690-ee05ecd95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2092d1-2baf-494e-9a93-1a38e308c4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81A2-C6C1-49F3-B24F-2F4681E8280F}">
  <ds:schemaRefs>
    <ds:schemaRef ds:uri="http://schemas.microsoft.com/office/2006/metadata/properties"/>
    <ds:schemaRef ds:uri="http://schemas.microsoft.com/office/infopath/2007/PartnerControls"/>
    <ds:schemaRef ds:uri="589d294b-ad21-4f47-8844-7033164dc1c0"/>
  </ds:schemaRefs>
</ds:datastoreItem>
</file>

<file path=customXml/itemProps2.xml><?xml version="1.0" encoding="utf-8"?>
<ds:datastoreItem xmlns:ds="http://schemas.openxmlformats.org/officeDocument/2006/customXml" ds:itemID="{C7962FB3-F33C-4AB8-96C0-3796B9918C33}">
  <ds:schemaRefs>
    <ds:schemaRef ds:uri="http://schemas.microsoft.com/sharepoint/v3/contenttype/forms"/>
  </ds:schemaRefs>
</ds:datastoreItem>
</file>

<file path=customXml/itemProps3.xml><?xml version="1.0" encoding="utf-8"?>
<ds:datastoreItem xmlns:ds="http://schemas.openxmlformats.org/officeDocument/2006/customXml" ds:itemID="{DD73E7D5-AE29-48A3-8ED7-946E6FC9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d294b-ad21-4f47-8844-7033164dc1c0"/>
    <ds:schemaRef ds:uri="232092d1-2baf-494e-9a93-1a38e308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EE874-6201-4B0A-A5CD-BD4579B1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IEAE 2019 ESA Paper Draft 190219</vt:lpstr>
    </vt:vector>
  </TitlesOfParts>
  <Manager/>
  <Company>Predicus LLC / Golder Associates Inc. / PNNL</Company>
  <LinksUpToDate>false</LinksUpToDate>
  <CharactersWithSpaces>24988</CharactersWithSpaces>
  <SharedDoc>false</SharedDoc>
  <HyperlinkBase/>
  <HLinks>
    <vt:vector size="18"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ariant>
        <vt:i4>3145843</vt:i4>
      </vt:variant>
      <vt:variant>
        <vt:i4>0</vt:i4>
      </vt:variant>
      <vt:variant>
        <vt:i4>0</vt:i4>
      </vt:variant>
      <vt:variant>
        <vt:i4>5</vt:i4>
      </vt:variant>
      <vt:variant>
        <vt:lpwstr>http://www.goldsim.com/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IEAE 2019 ESA Paper Draft 190219</dc:title>
  <dc:subject/>
  <dc:creator>Ralph Stoll / Alan Keizur / Steve Maheras</dc:creator>
  <cp:keywords/>
  <dc:description/>
  <cp:lastModifiedBy>Saraeva, Natalia V.</cp:lastModifiedBy>
  <cp:revision>7</cp:revision>
  <cp:lastPrinted>2019-03-07T14:42:00Z</cp:lastPrinted>
  <dcterms:created xsi:type="dcterms:W3CDTF">2019-03-26T15:32:00Z</dcterms:created>
  <dcterms:modified xsi:type="dcterms:W3CDTF">2019-03-27T13:47:00Z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0x0101005BA022E38537174EB5AC3395621FA5A3</vt:lpwstr>
  </property>
  <property fmtid="{D5CDD505-2E9C-101B-9397-08002B2CF9AE}" pid="3" name="Document Type">
    <vt:lpwstr/>
  </property>
</Properties>
</file>