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9BB21" w14:textId="77777777" w:rsidR="0019499F" w:rsidRDefault="00EA300A" w:rsidP="00537496">
      <w:pPr>
        <w:pStyle w:val="Heading1"/>
      </w:pPr>
      <w:r>
        <w:t xml:space="preserve">Funding Strategies </w:t>
      </w:r>
    </w:p>
    <w:p w14:paraId="0EACD954" w14:textId="77777777" w:rsidR="00EA300A" w:rsidRDefault="00EA300A" w:rsidP="00537496">
      <w:pPr>
        <w:pStyle w:val="Heading1"/>
      </w:pPr>
      <w:r>
        <w:t>for Spent Fuel Liabilities</w:t>
      </w:r>
      <w:r w:rsidRPr="00EE29B9">
        <w:t xml:space="preserve"> </w:t>
      </w:r>
    </w:p>
    <w:p w14:paraId="181A1434" w14:textId="77777777" w:rsidR="00802381" w:rsidRDefault="00802381" w:rsidP="00537496">
      <w:pPr>
        <w:pStyle w:val="Authornameandaffiliation"/>
      </w:pPr>
    </w:p>
    <w:p w14:paraId="3B85DA92" w14:textId="77777777" w:rsidR="003B5E0E" w:rsidRDefault="00FB63DA" w:rsidP="00537496">
      <w:pPr>
        <w:pStyle w:val="Authornameandaffiliation"/>
      </w:pPr>
      <w:r>
        <w:t>D</w:t>
      </w:r>
      <w:r w:rsidR="00537496">
        <w:t>.</w:t>
      </w:r>
      <w:r w:rsidR="00FF386F" w:rsidRPr="00FF386F">
        <w:t xml:space="preserve"> </w:t>
      </w:r>
      <w:r>
        <w:t>SUBBOTNITSKIY</w:t>
      </w:r>
    </w:p>
    <w:p w14:paraId="191ED80D" w14:textId="77777777" w:rsidR="00FF386F" w:rsidRDefault="00FB63DA" w:rsidP="00537496">
      <w:pPr>
        <w:pStyle w:val="Authornameandaffiliation"/>
      </w:pPr>
      <w:r>
        <w:t>IAEA</w:t>
      </w:r>
    </w:p>
    <w:p w14:paraId="4F53295D" w14:textId="77777777" w:rsidR="00FF386F" w:rsidRDefault="00FB63DA" w:rsidP="00537496">
      <w:pPr>
        <w:pStyle w:val="Authornameandaffiliation"/>
      </w:pPr>
      <w:r>
        <w:t>Vienna</w:t>
      </w:r>
      <w:r w:rsidR="00FF386F">
        <w:t xml:space="preserve">, </w:t>
      </w:r>
      <w:r>
        <w:t>Austria</w:t>
      </w:r>
    </w:p>
    <w:p w14:paraId="4466A8EE" w14:textId="77777777" w:rsidR="00FF386F" w:rsidRDefault="00FF386F" w:rsidP="00537496">
      <w:pPr>
        <w:pStyle w:val="Authornameandaffiliation"/>
      </w:pPr>
      <w:r>
        <w:t xml:space="preserve">Email: </w:t>
      </w:r>
      <w:r w:rsidR="00FB63DA">
        <w:t>d.subbotnitskiy</w:t>
      </w:r>
      <w:r>
        <w:t>@</w:t>
      </w:r>
      <w:r w:rsidR="00FB63DA">
        <w:t>iaea</w:t>
      </w:r>
      <w:r>
        <w:t>.</w:t>
      </w:r>
      <w:r w:rsidR="00FB63DA">
        <w:t>org</w:t>
      </w:r>
    </w:p>
    <w:p w14:paraId="316B8BA0" w14:textId="77777777" w:rsidR="00FF386F" w:rsidRDefault="00FF386F" w:rsidP="00537496">
      <w:pPr>
        <w:pStyle w:val="Authornameandaffiliation"/>
      </w:pPr>
    </w:p>
    <w:p w14:paraId="05D858D0" w14:textId="77777777" w:rsidR="00FF386F" w:rsidRPr="00FF386F" w:rsidRDefault="00FB63DA" w:rsidP="00537496">
      <w:pPr>
        <w:pStyle w:val="Authornameandaffiliation"/>
      </w:pPr>
      <w:r>
        <w:t>P. WARREN</w:t>
      </w:r>
    </w:p>
    <w:p w14:paraId="57D3D550" w14:textId="77777777" w:rsidR="00FF386F" w:rsidRPr="00FF386F" w:rsidRDefault="00FB63DA" w:rsidP="00537496">
      <w:pPr>
        <w:pStyle w:val="Authornameandaffiliation"/>
      </w:pPr>
      <w:r>
        <w:t>IAEA</w:t>
      </w:r>
    </w:p>
    <w:p w14:paraId="74AB4F47" w14:textId="77777777" w:rsidR="00FF386F" w:rsidRDefault="00FB63DA" w:rsidP="00537496">
      <w:pPr>
        <w:pStyle w:val="Authornameandaffiliation"/>
      </w:pPr>
      <w:r>
        <w:t>Vienna, Austria</w:t>
      </w:r>
    </w:p>
    <w:p w14:paraId="6B0D423D" w14:textId="77777777" w:rsidR="00FB63DA" w:rsidRDefault="00FB63DA" w:rsidP="00537496">
      <w:pPr>
        <w:pStyle w:val="Authornameandaffiliation"/>
      </w:pPr>
    </w:p>
    <w:p w14:paraId="76B30A47" w14:textId="77777777" w:rsidR="00FB63DA" w:rsidRDefault="00FB63DA" w:rsidP="00537496">
      <w:pPr>
        <w:pStyle w:val="Authornameandaffiliation"/>
      </w:pPr>
      <w:r>
        <w:t>S. DARDOUR</w:t>
      </w:r>
    </w:p>
    <w:p w14:paraId="4D9E4A31" w14:textId="77777777" w:rsidR="00FB63DA" w:rsidRPr="00FF386F" w:rsidRDefault="00FB63DA" w:rsidP="00FB63DA">
      <w:pPr>
        <w:pStyle w:val="Authornameandaffiliation"/>
      </w:pPr>
      <w:r>
        <w:t>IAEA</w:t>
      </w:r>
    </w:p>
    <w:p w14:paraId="4C911224" w14:textId="77777777" w:rsidR="00FB63DA" w:rsidRDefault="00FB63DA" w:rsidP="00FB63DA">
      <w:pPr>
        <w:pStyle w:val="Authornameandaffiliation"/>
      </w:pPr>
      <w:r>
        <w:t>Vienna, Austria</w:t>
      </w:r>
    </w:p>
    <w:p w14:paraId="7471CED5" w14:textId="77777777" w:rsidR="00FB63DA" w:rsidRDefault="00FB63DA" w:rsidP="00537496">
      <w:pPr>
        <w:pStyle w:val="Authornameandaffiliation"/>
      </w:pPr>
    </w:p>
    <w:p w14:paraId="4D18C6D3" w14:textId="77777777" w:rsidR="00647F33" w:rsidRPr="00647F33" w:rsidRDefault="00647F33" w:rsidP="00537496">
      <w:pPr>
        <w:pStyle w:val="Authornameandaffiliation"/>
        <w:rPr>
          <w:b/>
        </w:rPr>
      </w:pPr>
      <w:r w:rsidRPr="00647F33">
        <w:rPr>
          <w:b/>
        </w:rPr>
        <w:t>Abstract</w:t>
      </w:r>
    </w:p>
    <w:p w14:paraId="4A9079D3" w14:textId="77777777" w:rsidR="00647F33" w:rsidRDefault="00647F33" w:rsidP="00537496">
      <w:pPr>
        <w:pStyle w:val="Authornameandaffiliation"/>
      </w:pPr>
    </w:p>
    <w:p w14:paraId="239E6015" w14:textId="27B75196" w:rsidR="00647F33" w:rsidRDefault="00AB13F3" w:rsidP="00D87C71">
      <w:pPr>
        <w:pStyle w:val="Abstracttext"/>
        <w:jc w:val="both"/>
      </w:pPr>
      <w:r>
        <w:t>Th</w:t>
      </w:r>
      <w:r w:rsidR="003834FA">
        <w:t>e</w:t>
      </w:r>
      <w:r>
        <w:t xml:space="preserve"> paper </w:t>
      </w:r>
      <w:r w:rsidR="00D33D84">
        <w:t>analyzes different</w:t>
      </w:r>
      <w:r>
        <w:t xml:space="preserve"> strategies for funding</w:t>
      </w:r>
      <w:r w:rsidR="007613EF">
        <w:t xml:space="preserve"> the disposal of Spent Nuclear Fuel (SNF)</w:t>
      </w:r>
      <w:r>
        <w:t>. The approach is based on the idea th</w:t>
      </w:r>
      <w:r w:rsidR="00B619F4">
        <w:t>at</w:t>
      </w:r>
      <w:r>
        <w:t xml:space="preserve"> back-end liabilities </w:t>
      </w:r>
      <w:r w:rsidR="006736D7">
        <w:t xml:space="preserve">should be </w:t>
      </w:r>
      <w:r>
        <w:t xml:space="preserve">funded </w:t>
      </w:r>
      <w:r w:rsidR="006736D7">
        <w:t xml:space="preserve">entirely </w:t>
      </w:r>
      <w:r>
        <w:t>from the cash flow generated during the operation of the nuclear power plant</w:t>
      </w:r>
      <w:r w:rsidR="006736D7">
        <w:t xml:space="preserve"> (NPP</w:t>
      </w:r>
      <w:r w:rsidR="00763F13">
        <w:t>)</w:t>
      </w:r>
      <w:r w:rsidR="001E1FB9">
        <w:t>;</w:t>
      </w:r>
      <w:r w:rsidR="00763F13">
        <w:t xml:space="preserve"> </w:t>
      </w:r>
      <w:r w:rsidR="003C5C2D" w:rsidRPr="003C5C2D">
        <w:t xml:space="preserve">future generations should not be burdened with paying the costs of managing </w:t>
      </w:r>
      <w:r w:rsidR="000B1964">
        <w:t>spent</w:t>
      </w:r>
      <w:r w:rsidR="003C5C2D" w:rsidRPr="003C5C2D">
        <w:t xml:space="preserve"> fuel that was used to benefit earlier generations</w:t>
      </w:r>
      <w:r w:rsidR="003C5C2D">
        <w:t>.</w:t>
      </w:r>
      <w:r w:rsidR="00043CDC">
        <w:t xml:space="preserve"> </w:t>
      </w:r>
      <w:r w:rsidR="00BF1615">
        <w:t xml:space="preserve">The </w:t>
      </w:r>
      <w:r w:rsidR="006736D7">
        <w:t>framework underlying</w:t>
      </w:r>
      <w:r w:rsidR="00BF1615">
        <w:t xml:space="preserve"> this paper </w:t>
      </w:r>
      <w:r w:rsidR="006736D7">
        <w:t>is a simple one</w:t>
      </w:r>
      <w:r w:rsidR="0029442F">
        <w:t xml:space="preserve">, assuming a </w:t>
      </w:r>
      <w:r w:rsidR="00BF1615" w:rsidRPr="00BF1615">
        <w:t>‘fixed-price’ world</w:t>
      </w:r>
      <w:r w:rsidR="006736D7">
        <w:t xml:space="preserve"> with </w:t>
      </w:r>
      <w:r w:rsidR="00BF1615" w:rsidRPr="00BF1615">
        <w:t xml:space="preserve">no inflation </w:t>
      </w:r>
      <w:r w:rsidR="006736D7">
        <w:t>or</w:t>
      </w:r>
      <w:r w:rsidR="006736D7" w:rsidRPr="00BF1615">
        <w:t xml:space="preserve"> </w:t>
      </w:r>
      <w:r w:rsidR="00BF1615" w:rsidRPr="00BF1615">
        <w:t>cost escalation over the period of NPP operation</w:t>
      </w:r>
      <w:r w:rsidR="0029442F">
        <w:t xml:space="preserve"> </w:t>
      </w:r>
      <w:r w:rsidR="00BF1615" w:rsidRPr="00BF1615">
        <w:t xml:space="preserve">and </w:t>
      </w:r>
      <w:r w:rsidR="002D547A">
        <w:t xml:space="preserve">Spent Nuclear Fuel (SNF) </w:t>
      </w:r>
      <w:r w:rsidR="0029442F">
        <w:t>disposal</w:t>
      </w:r>
      <w:r w:rsidR="0029442F" w:rsidRPr="00BF1615">
        <w:t xml:space="preserve"> </w:t>
      </w:r>
      <w:r w:rsidR="00BF1615" w:rsidRPr="00BF1615">
        <w:t>implementation</w:t>
      </w:r>
      <w:r w:rsidR="00FE6B5C">
        <w:t>.</w:t>
      </w:r>
      <w:r w:rsidR="00E508D1">
        <w:t xml:space="preserve"> Two key</w:t>
      </w:r>
      <w:r w:rsidR="00F77B42">
        <w:t xml:space="preserve"> concepts used </w:t>
      </w:r>
      <w:r w:rsidR="00E02F69">
        <w:t>in</w:t>
      </w:r>
      <w:r w:rsidR="00F77B42">
        <w:t xml:space="preserve"> the model are </w:t>
      </w:r>
      <w:r w:rsidR="001F05B5">
        <w:t>(</w:t>
      </w:r>
      <w:proofErr w:type="spellStart"/>
      <w:r w:rsidR="001F05B5">
        <w:t>i</w:t>
      </w:r>
      <w:proofErr w:type="spellEnd"/>
      <w:r w:rsidR="001F05B5">
        <w:t xml:space="preserve">) </w:t>
      </w:r>
      <w:r w:rsidR="00F77B42">
        <w:t xml:space="preserve">the </w:t>
      </w:r>
      <w:r w:rsidR="00F77B42" w:rsidRPr="00F77B42">
        <w:t>target value for the fund at</w:t>
      </w:r>
      <w:r w:rsidR="00F77B42">
        <w:t xml:space="preserve"> the end of the NPP operation</w:t>
      </w:r>
      <w:r w:rsidR="00F77B42" w:rsidRPr="00F77B42">
        <w:t xml:space="preserve"> </w:t>
      </w:r>
      <w:r w:rsidR="00F77B42">
        <w:t>and</w:t>
      </w:r>
      <w:r w:rsidR="001F05B5">
        <w:t xml:space="preserve"> (ii)</w:t>
      </w:r>
      <w:r w:rsidR="00F77B42">
        <w:t xml:space="preserve"> </w:t>
      </w:r>
      <w:r w:rsidR="00DE6EC1">
        <w:t xml:space="preserve">contribution schedule - </w:t>
      </w:r>
      <w:r w:rsidR="00DE6EC1" w:rsidRPr="00DE6EC1">
        <w:t>a profile of deposits into fund over the NPP operational stage</w:t>
      </w:r>
      <w:r w:rsidR="00535EF0">
        <w:t>.</w:t>
      </w:r>
      <w:r w:rsidR="00F77B42">
        <w:t xml:space="preserve"> </w:t>
      </w:r>
      <w:r w:rsidR="001E04D3">
        <w:t xml:space="preserve">Failing to estimate these parameters correctly would lead to the </w:t>
      </w:r>
      <w:r w:rsidR="001E04D3" w:rsidRPr="001E04D3">
        <w:t>mismatch</w:t>
      </w:r>
      <w:r w:rsidR="001E04D3">
        <w:t xml:space="preserve"> </w:t>
      </w:r>
      <w:r w:rsidR="001E04D3" w:rsidRPr="001E04D3">
        <w:t>of fund against liability</w:t>
      </w:r>
      <w:r w:rsidR="001E04D3">
        <w:t>.</w:t>
      </w:r>
      <w:r w:rsidR="001E04D3" w:rsidRPr="001E04D3">
        <w:t xml:space="preserve"> </w:t>
      </w:r>
      <w:r w:rsidR="0029442F">
        <w:t xml:space="preserve">An important </w:t>
      </w:r>
      <w:r w:rsidR="001E04D3">
        <w:t xml:space="preserve">way to reduce this risk </w:t>
      </w:r>
      <w:r w:rsidR="001E04D3" w:rsidRPr="001E04D3">
        <w:t xml:space="preserve">is constant recalibration, i.e. regular revisiting of expected target value of the fund and the amount accumulated over the previous periods. </w:t>
      </w:r>
      <w:r w:rsidR="00043CDC">
        <w:t xml:space="preserve">One of the possible </w:t>
      </w:r>
      <w:r w:rsidR="00960728">
        <w:t>strategies</w:t>
      </w:r>
      <w:r w:rsidR="00A70A2C">
        <w:t xml:space="preserve"> respecting the</w:t>
      </w:r>
      <w:r w:rsidR="00096424">
        <w:t xml:space="preserve"> inter-generational equity</w:t>
      </w:r>
      <w:r w:rsidR="001E3798">
        <w:t xml:space="preserve"> </w:t>
      </w:r>
      <w:r w:rsidR="009761DB">
        <w:t xml:space="preserve">is a contribution schedule based on </w:t>
      </w:r>
      <w:r w:rsidR="00AE75ED">
        <w:t xml:space="preserve">constant and ongoing contributions </w:t>
      </w:r>
      <w:r w:rsidR="006736D7">
        <w:t xml:space="preserve">during a station’s operating life </w:t>
      </w:r>
      <w:r w:rsidR="00AE75ED">
        <w:t>(</w:t>
      </w:r>
      <w:r w:rsidR="006736D7">
        <w:t xml:space="preserve">such a contribution schedule may be derived using a </w:t>
      </w:r>
      <w:r w:rsidR="00AE75ED">
        <w:t>Sinking Fund Factor)</w:t>
      </w:r>
      <w:r>
        <w:t>.</w:t>
      </w:r>
      <w:r w:rsidR="00895A2E">
        <w:t xml:space="preserve"> </w:t>
      </w:r>
      <w:r w:rsidR="001E7775">
        <w:t xml:space="preserve">The paper provides illustrative examples of one-off and ongoing contributions as well as </w:t>
      </w:r>
      <w:r w:rsidR="0029442F">
        <w:t xml:space="preserve">reviewing </w:t>
      </w:r>
      <w:r w:rsidR="001E7775">
        <w:t>the evolution of the fund</w:t>
      </w:r>
      <w:r w:rsidR="00163282">
        <w:t xml:space="preserve"> over the </w:t>
      </w:r>
      <w:r w:rsidR="0029442F">
        <w:t xml:space="preserve">duration of the </w:t>
      </w:r>
      <w:r w:rsidR="00163282" w:rsidRPr="00163282">
        <w:t xml:space="preserve">NPP operation and waste management </w:t>
      </w:r>
      <w:proofErr w:type="spellStart"/>
      <w:r w:rsidR="00163282" w:rsidRPr="00163282">
        <w:t>programme</w:t>
      </w:r>
      <w:proofErr w:type="spellEnd"/>
      <w:r w:rsidR="0029442F">
        <w:t xml:space="preserve"> implementation phases</w:t>
      </w:r>
      <w:r w:rsidR="00163282">
        <w:t>.</w:t>
      </w:r>
      <w:r w:rsidR="00621613">
        <w:t xml:space="preserve"> </w:t>
      </w:r>
      <w:r w:rsidR="00B96A7C">
        <w:t xml:space="preserve">Finally, the </w:t>
      </w:r>
      <w:r w:rsidR="00B96A7C" w:rsidRPr="00B96A7C">
        <w:t xml:space="preserve">conceptual overview of the </w:t>
      </w:r>
      <w:r w:rsidR="00B96A7C">
        <w:t xml:space="preserve">funding </w:t>
      </w:r>
      <w:r w:rsidR="00B96A7C" w:rsidRPr="00B96A7C">
        <w:t>strategy</w:t>
      </w:r>
      <w:r w:rsidR="00B96A7C">
        <w:t xml:space="preserve"> in </w:t>
      </w:r>
      <w:r w:rsidR="0029442F">
        <w:t xml:space="preserve">a </w:t>
      </w:r>
      <w:r w:rsidR="00B96A7C">
        <w:t>fixed-price world is introduced.</w:t>
      </w:r>
    </w:p>
    <w:p w14:paraId="0DD8C399" w14:textId="77777777" w:rsidR="00B96A7C" w:rsidRPr="00BD605C" w:rsidRDefault="00B96A7C" w:rsidP="00D87C71">
      <w:pPr>
        <w:pStyle w:val="Abstracttext"/>
        <w:jc w:val="both"/>
      </w:pPr>
    </w:p>
    <w:p w14:paraId="4FD48060" w14:textId="77777777" w:rsidR="00647F33" w:rsidRDefault="00F523CA" w:rsidP="00537496">
      <w:pPr>
        <w:pStyle w:val="Heading2"/>
        <w:numPr>
          <w:ilvl w:val="1"/>
          <w:numId w:val="10"/>
        </w:numPr>
      </w:pPr>
      <w:r>
        <w:t>INTRODUCTION</w:t>
      </w:r>
    </w:p>
    <w:p w14:paraId="0F02CD85" w14:textId="61D00323" w:rsidR="001E3BC4" w:rsidRDefault="001E3BC4" w:rsidP="00FC4AAE">
      <w:pPr>
        <w:pStyle w:val="BodyText"/>
      </w:pPr>
      <w:r>
        <w:t>The spent fuel produced over the course of a nuclear power plant’s (NPP) operating life will give rise to an associated financial liability – the cost of safely disposing of it – which will accumulate over time. This liability must be met if a nuclear power project is to be successfully wrapped up in a safe and environmentally sound fashion.</w:t>
      </w:r>
    </w:p>
    <w:p w14:paraId="1A35BDE8" w14:textId="11158D44" w:rsidR="00F65DAA" w:rsidRDefault="001E3BC4" w:rsidP="00FC4AAE">
      <w:pPr>
        <w:pStyle w:val="BodyText"/>
      </w:pPr>
      <w:r>
        <w:t xml:space="preserve">The Joint Convention </w:t>
      </w:r>
      <w:r w:rsidR="000030D1">
        <w:t xml:space="preserve">on the Safety of Spent Fuel Management and on the Safety of Radioactive Waste Management </w:t>
      </w:r>
      <w:sdt>
        <w:sdtPr>
          <w:id w:val="284856604"/>
          <w:citation/>
        </w:sdtPr>
        <w:sdtEndPr/>
        <w:sdtContent>
          <w:r w:rsidR="000030D1">
            <w:fldChar w:fldCharType="begin"/>
          </w:r>
          <w:r w:rsidR="000030D1" w:rsidRPr="001041AC">
            <w:rPr>
              <w:lang w:val="en-CA"/>
            </w:rPr>
            <w:instrText xml:space="preserve"> CITATION IAE97 \l 3079 </w:instrText>
          </w:r>
          <w:r w:rsidR="000030D1">
            <w:fldChar w:fldCharType="separate"/>
          </w:r>
          <w:r w:rsidR="005A2A8F" w:rsidRPr="005A2A8F">
            <w:rPr>
              <w:noProof/>
              <w:lang w:val="en-CA"/>
            </w:rPr>
            <w:t>[1]</w:t>
          </w:r>
          <w:r w:rsidR="000030D1">
            <w:fldChar w:fldCharType="end"/>
          </w:r>
        </w:sdtContent>
      </w:sdt>
      <w:r w:rsidR="00B30E0A">
        <w:t xml:space="preserve"> states that </w:t>
      </w:r>
      <w:r w:rsidR="00B30E0A" w:rsidRPr="00F65DAA">
        <w:t>“</w:t>
      </w:r>
      <w:r w:rsidR="00B30E0A" w:rsidRPr="00F65DAA">
        <w:sym w:font="Symbol" w:char="F05B"/>
      </w:r>
      <w:r w:rsidR="00B30E0A" w:rsidRPr="00F65DAA">
        <w:t>E</w:t>
      </w:r>
      <w:r w:rsidR="00B30E0A" w:rsidRPr="00F65DAA">
        <w:sym w:font="Symbol" w:char="F05D"/>
      </w:r>
      <w:r w:rsidR="00B30E0A" w:rsidRPr="00F65DAA">
        <w:t>ach Contracting Party shall take the appropriate steps to…aim to avoid imposing undue burdens on future generations</w:t>
      </w:r>
      <w:r w:rsidR="00B30E0A">
        <w:t xml:space="preserve">” (Chapter 2, Article 4, §(vii)). In the context of funding strategies for spent fuel liabilities this principle of </w:t>
      </w:r>
      <w:r w:rsidR="00B30E0A" w:rsidRPr="001041AC">
        <w:rPr>
          <w:i/>
        </w:rPr>
        <w:t>intergenerational equity</w:t>
      </w:r>
      <w:r w:rsidR="00B30E0A">
        <w:t xml:space="preserve"> may be implemented by designing strategies which fund such liabilities from the revenues earned over a station’s operating life</w:t>
      </w:r>
      <w:r w:rsidR="005D730C">
        <w:t>,</w:t>
      </w:r>
      <w:r w:rsidR="002D547A">
        <w:t xml:space="preserve"> effectively ensuring that the costs of Spent Nuclear Fuel (SNF) disposal are met by the </w:t>
      </w:r>
      <w:r w:rsidR="00F65DAA">
        <w:t xml:space="preserve">same </w:t>
      </w:r>
      <w:r w:rsidR="002D547A">
        <w:t>consumers who benefited from the electricity generation that gave rise to it.</w:t>
      </w:r>
      <w:r w:rsidR="00F65DAA">
        <w:t xml:space="preserve"> </w:t>
      </w:r>
    </w:p>
    <w:p w14:paraId="1AC321A9" w14:textId="77777777" w:rsidR="00F65DAA" w:rsidRDefault="00F65DAA" w:rsidP="001041AC">
      <w:pPr>
        <w:pStyle w:val="BodyText"/>
      </w:pPr>
      <w:r>
        <w:t xml:space="preserve">Practically, such strategies will involve setting up </w:t>
      </w:r>
      <w:r w:rsidR="004B6E44">
        <w:t>a</w:t>
      </w:r>
      <w:r>
        <w:t xml:space="preserve"> fund into which the NPP operator will make contributions from its revenues. Over time these funds will grow, with growth driven by both ongoing contributions from station revenues </w:t>
      </w:r>
      <w:r w:rsidR="008F2394">
        <w:t xml:space="preserve">(whose required magnitude can be determined using the so-called Sinking Fund Factor) </w:t>
      </w:r>
      <w:r>
        <w:t xml:space="preserve">and returns on the portfolio of assets (bonds, shares etc.) of which it will be composed. In this way the operator will </w:t>
      </w:r>
      <w:r w:rsidRPr="003D302E">
        <w:t xml:space="preserve">provide arrangements for </w:t>
      </w:r>
      <w:r>
        <w:t>covering</w:t>
      </w:r>
      <w:r w:rsidRPr="003D302E">
        <w:t xml:space="preserve"> long-term costs </w:t>
      </w:r>
      <w:r>
        <w:t>associated with</w:t>
      </w:r>
      <w:r w:rsidRPr="003D302E">
        <w:t xml:space="preserve"> the </w:t>
      </w:r>
      <w:r w:rsidR="004B6E44">
        <w:t xml:space="preserve">ultimate </w:t>
      </w:r>
      <w:r>
        <w:t xml:space="preserve">management of </w:t>
      </w:r>
      <w:r w:rsidR="004B6E44">
        <w:t>SNF</w:t>
      </w:r>
      <w:r>
        <w:t xml:space="preserve">. </w:t>
      </w:r>
      <w:r w:rsidR="00421B56">
        <w:t xml:space="preserve">Clearly the duration of the various phases of the overall NPP project lifecycle will be crucial in determining the amount of funds accumulated; key phases and associated considerations are </w:t>
      </w:r>
      <w:r w:rsidR="00421B56" w:rsidRPr="004B6E44">
        <w:t>shown in</w:t>
      </w:r>
      <w:r w:rsidR="004B6E44" w:rsidRPr="004B6E44">
        <w:t xml:space="preserve"> </w:t>
      </w:r>
      <w:r w:rsidR="004B6E44" w:rsidRPr="004B6E44">
        <w:fldChar w:fldCharType="begin"/>
      </w:r>
      <w:r w:rsidR="004B6E44" w:rsidRPr="004B6E44">
        <w:instrText xml:space="preserve"> REF _Ref8029535 </w:instrText>
      </w:r>
      <w:r w:rsidR="004B6E44" w:rsidRPr="001041AC">
        <w:instrText xml:space="preserve"> \* MERGEFORMAT </w:instrText>
      </w:r>
      <w:r w:rsidR="004B6E44" w:rsidRPr="004B6E44">
        <w:fldChar w:fldCharType="separate"/>
      </w:r>
      <w:r w:rsidR="004B6E44" w:rsidRPr="001041AC">
        <w:rPr>
          <w:lang w:val="en-US"/>
        </w:rPr>
        <w:t>Fig</w:t>
      </w:r>
      <w:r w:rsidR="004B6E44">
        <w:rPr>
          <w:lang w:val="en-US"/>
        </w:rPr>
        <w:t>.</w:t>
      </w:r>
      <w:r w:rsidR="004B6E44" w:rsidRPr="001041AC">
        <w:rPr>
          <w:lang w:val="en-US"/>
        </w:rPr>
        <w:t xml:space="preserve"> </w:t>
      </w:r>
      <w:r w:rsidR="004B6E44" w:rsidRPr="001041AC">
        <w:rPr>
          <w:noProof/>
        </w:rPr>
        <w:t>1</w:t>
      </w:r>
      <w:r w:rsidR="004B6E44" w:rsidRPr="004B6E44">
        <w:fldChar w:fldCharType="end"/>
      </w:r>
      <w:r w:rsidR="00A23B0E" w:rsidRPr="004B6E44">
        <w:t>.</w:t>
      </w:r>
    </w:p>
    <w:p w14:paraId="4AEF0299" w14:textId="77777777" w:rsidR="00F65DAA" w:rsidRDefault="00F65DAA" w:rsidP="00B30E0A">
      <w:pPr>
        <w:pStyle w:val="BodyText"/>
        <w:ind w:firstLine="0"/>
      </w:pPr>
    </w:p>
    <w:p w14:paraId="0D0E31D3" w14:textId="5A9839EB" w:rsidR="00421B56" w:rsidRDefault="00F65DAA" w:rsidP="001041AC">
      <w:pPr>
        <w:pStyle w:val="BodyText"/>
      </w:pPr>
      <w:r>
        <w:lastRenderedPageBreak/>
        <w:t xml:space="preserve">Ensuring that funds’ growth over stations’ operating lives will be sufficient to meet the </w:t>
      </w:r>
      <w:r w:rsidR="004B6E44">
        <w:t>eventual cost of disposing of SNF</w:t>
      </w:r>
      <w:r w:rsidR="008F2394">
        <w:t xml:space="preserve"> can be challenging. In particular any funding strategy must be designed to be robust in the context of significant uncertainties, including the eventual cost of disposing of SNF, the return which funds will earn, the NPP’s operating life (and the possibility of premature shutdown), the choice which will be made regarding when to commence SNF disposal, etc. Repeated re-estimation is key to ensuring this robustness; a funding strategy should be revisited regularly during a station’s operating life, with crucial bases for planning contributions to the fund(s) – such as the estimated SNF disposal cost – re-estimated, and plans revised accordingly.</w:t>
      </w:r>
    </w:p>
    <w:p w14:paraId="749A3381" w14:textId="77777777" w:rsidR="00421B56" w:rsidRDefault="00A23B0E" w:rsidP="001041AC">
      <w:pPr>
        <w:pStyle w:val="BodyText"/>
      </w:pPr>
      <w:r>
        <w:t xml:space="preserve">The remainder of this paper is organised as follows: </w:t>
      </w:r>
      <w:r w:rsidR="00EA1DE7">
        <w:t xml:space="preserve">Section </w:t>
      </w:r>
      <w:r w:rsidR="004958F2">
        <w:fldChar w:fldCharType="begin"/>
      </w:r>
      <w:r w:rsidR="004958F2">
        <w:instrText xml:space="preserve"> REF _Ref8035139 \r </w:instrText>
      </w:r>
      <w:r w:rsidR="004958F2">
        <w:fldChar w:fldCharType="separate"/>
      </w:r>
      <w:r w:rsidR="001B5DD0">
        <w:t>2</w:t>
      </w:r>
      <w:r w:rsidR="004958F2">
        <w:fldChar w:fldCharType="end"/>
      </w:r>
      <w:r w:rsidR="00EA1DE7">
        <w:t xml:space="preserve"> discusses the intergenerational equity principle briefly, stresses the key components of any funding strategy, and introduces an example (Canada’s Adaptive Phased Management approach to SNF) which will be used in the examples in this paper. Section </w:t>
      </w:r>
      <w:r w:rsidR="004958F2">
        <w:fldChar w:fldCharType="begin"/>
      </w:r>
      <w:r w:rsidR="004958F2">
        <w:instrText xml:space="preserve"> REF _Ref8035310 \r </w:instrText>
      </w:r>
      <w:r w:rsidR="004958F2">
        <w:fldChar w:fldCharType="separate"/>
      </w:r>
      <w:r w:rsidR="001B5DD0">
        <w:t>3</w:t>
      </w:r>
      <w:r w:rsidR="004958F2">
        <w:fldChar w:fldCharType="end"/>
      </w:r>
      <w:r w:rsidR="001732D0">
        <w:t xml:space="preserve"> sets out the way in which the notion of discounting can be used to map a profile of SNF disposal programme expenditures into a single number: the amount of money which must be available at the outset of programme implementation (the Present Value or PV of the programme expenditures). Section </w:t>
      </w:r>
      <w:r w:rsidR="004958F2">
        <w:fldChar w:fldCharType="begin"/>
      </w:r>
      <w:r w:rsidR="004958F2">
        <w:instrText xml:space="preserve"> REF _Ref8035721 \r </w:instrText>
      </w:r>
      <w:r w:rsidR="004958F2">
        <w:fldChar w:fldCharType="separate"/>
      </w:r>
      <w:r w:rsidR="001B5DD0">
        <w:t>4</w:t>
      </w:r>
      <w:r w:rsidR="004958F2">
        <w:fldChar w:fldCharType="end"/>
      </w:r>
      <w:r w:rsidR="001732D0">
        <w:t xml:space="preserve"> discusses two key ideas: the application of the PV concept to arrive at a simple ‘lump sum’ solution to funding SNF disposal (avoiding the risk of premature shutdown and the consequent loss of revenues and contributions), and the use of the Sinking Fund Factor (SFF) to derive a constant contribution schedule of uniform payments into </w:t>
      </w:r>
      <w:r w:rsidR="00CE22AF">
        <w:t xml:space="preserve">the fund(s) over the life of the NPP. Section </w:t>
      </w:r>
      <w:r w:rsidR="004958F2">
        <w:fldChar w:fldCharType="begin"/>
      </w:r>
      <w:r w:rsidR="004958F2">
        <w:instrText xml:space="preserve"> REF _Ref8035983 \r </w:instrText>
      </w:r>
      <w:r w:rsidR="004958F2">
        <w:fldChar w:fldCharType="separate"/>
      </w:r>
      <w:r w:rsidR="001B5DD0">
        <w:t>5</w:t>
      </w:r>
      <w:r w:rsidR="004958F2">
        <w:fldChar w:fldCharType="end"/>
      </w:r>
      <w:r w:rsidR="00CE22AF">
        <w:t xml:space="preserve"> illustrates the anticipated evolution of the fund in the context of the APM example </w:t>
      </w:r>
      <w:proofErr w:type="gramStart"/>
      <w:r w:rsidR="00CE22AF">
        <w:t>discussed, and</w:t>
      </w:r>
      <w:proofErr w:type="gramEnd"/>
      <w:r w:rsidR="00CE22AF">
        <w:t xml:space="preserve"> provides a schematic overview of a process for re-visiting and revising a funding strategy, to keep it “on target” for meeting eventual SNF disposal costs. Section </w:t>
      </w:r>
      <w:r w:rsidR="004958F2">
        <w:fldChar w:fldCharType="begin"/>
      </w:r>
      <w:r w:rsidR="004958F2">
        <w:instrText xml:space="preserve"> REF _Ref8036235 \r </w:instrText>
      </w:r>
      <w:r w:rsidR="004958F2">
        <w:fldChar w:fldCharType="separate"/>
      </w:r>
      <w:r w:rsidR="001B5DD0">
        <w:t>6</w:t>
      </w:r>
      <w:r w:rsidR="004958F2">
        <w:fldChar w:fldCharType="end"/>
      </w:r>
      <w:r w:rsidR="00CE22AF">
        <w:t xml:space="preserve"> contains some conclusions. </w:t>
      </w:r>
    </w:p>
    <w:p w14:paraId="139DBB39" w14:textId="77777777" w:rsidR="001E3BC4" w:rsidRDefault="001E3BC4" w:rsidP="001041AC">
      <w:pPr>
        <w:pStyle w:val="BodyText"/>
        <w:ind w:firstLine="0"/>
      </w:pPr>
    </w:p>
    <w:p w14:paraId="79116606" w14:textId="77777777" w:rsidR="00842DEA" w:rsidRDefault="00842DEA" w:rsidP="00842DEA">
      <w:pPr>
        <w:pStyle w:val="BodyText"/>
        <w:ind w:firstLine="0"/>
      </w:pPr>
    </w:p>
    <w:p w14:paraId="2B83EDCA" w14:textId="646D4526" w:rsidR="00A23B0E" w:rsidRDefault="004958F2" w:rsidP="00A23B0E">
      <w:pPr>
        <w:pStyle w:val="BodyText"/>
        <w:keepNext/>
        <w:ind w:firstLine="0"/>
        <w:jc w:val="center"/>
      </w:pPr>
      <w:bookmarkStart w:id="0" w:name="_GoBack"/>
      <w:r>
        <w:rPr>
          <w:noProof/>
        </w:rPr>
        <w:drawing>
          <wp:inline distT="0" distB="0" distL="0" distR="0" wp14:anchorId="43C30220" wp14:editId="30D27C1E">
            <wp:extent cx="5046868" cy="4428039"/>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1244" cy="4449426"/>
                    </a:xfrm>
                    <a:prstGeom prst="rect">
                      <a:avLst/>
                    </a:prstGeom>
                    <a:noFill/>
                    <a:ln>
                      <a:noFill/>
                    </a:ln>
                  </pic:spPr>
                </pic:pic>
              </a:graphicData>
            </a:graphic>
          </wp:inline>
        </w:drawing>
      </w:r>
      <w:bookmarkEnd w:id="0"/>
    </w:p>
    <w:p w14:paraId="7F4630BA" w14:textId="77777777" w:rsidR="00A23B0E" w:rsidRDefault="00A23B0E" w:rsidP="00552A0C">
      <w:pPr>
        <w:pStyle w:val="BodyText"/>
        <w:keepNext/>
        <w:ind w:firstLine="0"/>
        <w:jc w:val="center"/>
      </w:pPr>
    </w:p>
    <w:p w14:paraId="42C84150" w14:textId="77777777" w:rsidR="00842DEA" w:rsidRPr="00BF213E" w:rsidRDefault="00A23B0E" w:rsidP="00015830">
      <w:pPr>
        <w:pStyle w:val="Caption"/>
        <w:jc w:val="center"/>
        <w:rPr>
          <w:i/>
          <w:szCs w:val="18"/>
        </w:rPr>
      </w:pPr>
      <w:bookmarkStart w:id="1" w:name="_Ref8029535"/>
      <w:r w:rsidRPr="00F53AF8">
        <w:rPr>
          <w:i/>
          <w:szCs w:val="18"/>
        </w:rPr>
        <w:t>F</w:t>
      </w:r>
      <w:r w:rsidR="004B6E44" w:rsidRPr="00F53AF8">
        <w:rPr>
          <w:i/>
          <w:szCs w:val="18"/>
        </w:rPr>
        <w:t>IG.</w:t>
      </w:r>
      <w:r w:rsidRPr="00F53AF8">
        <w:rPr>
          <w:i/>
          <w:szCs w:val="18"/>
        </w:rPr>
        <w:t xml:space="preserve"> </w:t>
      </w:r>
      <w:r w:rsidRPr="00F53AF8">
        <w:rPr>
          <w:i/>
          <w:szCs w:val="18"/>
        </w:rPr>
        <w:fldChar w:fldCharType="begin"/>
      </w:r>
      <w:r w:rsidRPr="00F53AF8">
        <w:rPr>
          <w:i/>
          <w:szCs w:val="18"/>
        </w:rPr>
        <w:instrText xml:space="preserve"> SEQ Figure \* ARABIC </w:instrText>
      </w:r>
      <w:r w:rsidRPr="00F53AF8">
        <w:rPr>
          <w:i/>
          <w:szCs w:val="18"/>
        </w:rPr>
        <w:fldChar w:fldCharType="separate"/>
      </w:r>
      <w:r w:rsidR="000F73B5" w:rsidRPr="00F53AF8">
        <w:rPr>
          <w:i/>
          <w:noProof/>
          <w:szCs w:val="18"/>
        </w:rPr>
        <w:t>1</w:t>
      </w:r>
      <w:r w:rsidRPr="00F53AF8">
        <w:rPr>
          <w:i/>
          <w:szCs w:val="18"/>
        </w:rPr>
        <w:fldChar w:fldCharType="end"/>
      </w:r>
      <w:bookmarkEnd w:id="1"/>
      <w:r w:rsidR="004B6E44" w:rsidRPr="00F53AF8">
        <w:rPr>
          <w:i/>
          <w:szCs w:val="18"/>
        </w:rPr>
        <w:t>.</w:t>
      </w:r>
      <w:r w:rsidRPr="00F53AF8">
        <w:rPr>
          <w:i/>
          <w:szCs w:val="18"/>
        </w:rPr>
        <w:t xml:space="preserve"> Phases and associated considerations in an NPP project lifecycle</w:t>
      </w:r>
    </w:p>
    <w:p w14:paraId="177E69B7" w14:textId="77777777" w:rsidR="00842DEA" w:rsidRDefault="00842DEA" w:rsidP="00FC488D">
      <w:pPr>
        <w:pStyle w:val="BodyText"/>
        <w:ind w:firstLine="0"/>
      </w:pPr>
    </w:p>
    <w:p w14:paraId="67AA482D" w14:textId="77777777" w:rsidR="00E25B68" w:rsidRDefault="003C198A" w:rsidP="0026525A">
      <w:pPr>
        <w:pStyle w:val="Heading2"/>
        <w:numPr>
          <w:ilvl w:val="1"/>
          <w:numId w:val="10"/>
        </w:numPr>
      </w:pPr>
      <w:bookmarkStart w:id="2" w:name="_Ref8035139"/>
      <w:r w:rsidRPr="003C198A">
        <w:lastRenderedPageBreak/>
        <w:t>inter-generational equity</w:t>
      </w:r>
      <w:r w:rsidR="00A0263A">
        <w:t>, TIMING AND A CANADIAN EXAMPLE</w:t>
      </w:r>
      <w:bookmarkEnd w:id="2"/>
    </w:p>
    <w:p w14:paraId="0A9FD71E" w14:textId="09A17673" w:rsidR="00AD6F5C" w:rsidRDefault="0010734C" w:rsidP="00537496">
      <w:pPr>
        <w:pStyle w:val="BodyText"/>
      </w:pPr>
      <w:r>
        <w:t xml:space="preserve">The </w:t>
      </w:r>
      <w:r w:rsidR="008A4CC1">
        <w:t xml:space="preserve">approach used in this paper to </w:t>
      </w:r>
      <w:proofErr w:type="gramStart"/>
      <w:r w:rsidR="008A4CC1">
        <w:t>funding</w:t>
      </w:r>
      <w:proofErr w:type="gramEnd"/>
      <w:r w:rsidR="008A4CC1">
        <w:t xml:space="preserve"> of the spent fuel liabilities is based on </w:t>
      </w:r>
      <w:r w:rsidR="00E21BA2">
        <w:t xml:space="preserve">the </w:t>
      </w:r>
      <w:r w:rsidR="007F658A">
        <w:t xml:space="preserve">assumption </w:t>
      </w:r>
      <w:r w:rsidR="00E21BA2">
        <w:t xml:space="preserve">that </w:t>
      </w:r>
      <w:r w:rsidR="007F658A">
        <w:t xml:space="preserve">all </w:t>
      </w:r>
      <w:r w:rsidR="00E21BA2">
        <w:t>necessary funds will be accumulated over the</w:t>
      </w:r>
      <w:r w:rsidR="00E16129">
        <w:t xml:space="preserve"> operational stage of the NPP life-cycle.</w:t>
      </w:r>
      <w:r w:rsidR="008A4CC1">
        <w:t xml:space="preserve"> </w:t>
      </w:r>
      <w:r w:rsidR="00D20EAB">
        <w:t xml:space="preserve">This </w:t>
      </w:r>
      <w:r w:rsidR="007F658A">
        <w:t xml:space="preserve">assumption reflects </w:t>
      </w:r>
      <w:r w:rsidR="009E5845">
        <w:t xml:space="preserve">the inter-generational equity </w:t>
      </w:r>
      <w:r w:rsidR="007F658A">
        <w:t>principle discussed above</w:t>
      </w:r>
      <w:r w:rsidR="009E5845">
        <w:t xml:space="preserve">: </w:t>
      </w:r>
      <w:r w:rsidR="00941B25">
        <w:t xml:space="preserve">in </w:t>
      </w:r>
      <w:r w:rsidR="00604720">
        <w:t xml:space="preserve">situation when </w:t>
      </w:r>
      <w:r w:rsidR="009E5845">
        <w:t>necessary</w:t>
      </w:r>
      <w:r w:rsidR="00C502D4">
        <w:t xml:space="preserve"> funds will not be accumulated</w:t>
      </w:r>
      <w:r w:rsidR="009870E3">
        <w:t xml:space="preserve">, or </w:t>
      </w:r>
      <w:r w:rsidR="00412C2B">
        <w:t xml:space="preserve">fund provision will be inadequate, </w:t>
      </w:r>
      <w:r w:rsidR="002F4C40">
        <w:t xml:space="preserve">unnecessary burden </w:t>
      </w:r>
      <w:r w:rsidR="00DC2C52">
        <w:rPr>
          <w:lang w:val="en-US"/>
        </w:rPr>
        <w:t xml:space="preserve">will be put </w:t>
      </w:r>
      <w:r w:rsidR="002F4C40">
        <w:t>on future generations.</w:t>
      </w:r>
      <w:r w:rsidR="007D50EC">
        <w:t xml:space="preserve"> Specifically, they would have to pay for </w:t>
      </w:r>
      <w:r w:rsidR="00107109">
        <w:t xml:space="preserve">managing </w:t>
      </w:r>
      <w:r w:rsidR="007D50EC">
        <w:t xml:space="preserve">the spent fuel </w:t>
      </w:r>
      <w:r w:rsidR="00107109">
        <w:t>accumul</w:t>
      </w:r>
      <w:r w:rsidR="004F6E56">
        <w:t>ated during the operation of the NPP</w:t>
      </w:r>
      <w:r w:rsidR="0055216F">
        <w:t xml:space="preserve"> that provided energy to previous generations.</w:t>
      </w:r>
      <w:r w:rsidR="00474024">
        <w:t xml:space="preserve"> </w:t>
      </w:r>
      <w:r w:rsidR="005F4EF1">
        <w:t>Inter-generational equity concept</w:t>
      </w:r>
      <w:r w:rsidR="00AD6F5C">
        <w:t xml:space="preserve"> </w:t>
      </w:r>
      <w:r w:rsidR="001A72B9">
        <w:t xml:space="preserve">considers </w:t>
      </w:r>
      <w:r w:rsidR="00D90A02">
        <w:t xml:space="preserve">the arrangement when future generations </w:t>
      </w:r>
      <w:r w:rsidR="00795006">
        <w:t>must</w:t>
      </w:r>
      <w:r w:rsidR="00F51C22">
        <w:t xml:space="preserve"> pay for the actions of previous generations as fundamentally</w:t>
      </w:r>
      <w:r w:rsidR="00AD6F5C">
        <w:t xml:space="preserve"> unjust</w:t>
      </w:r>
      <w:r w:rsidR="007F2519">
        <w:t>.</w:t>
      </w:r>
      <w:r w:rsidR="00795006">
        <w:t xml:space="preserve"> The discussion</w:t>
      </w:r>
      <w:r w:rsidR="003611BE">
        <w:t xml:space="preserve"> in this paper is practically the systematic analysis of </w:t>
      </w:r>
      <w:r w:rsidR="0016557E">
        <w:t xml:space="preserve">possible </w:t>
      </w:r>
      <w:r w:rsidR="003611BE">
        <w:t>ways</w:t>
      </w:r>
      <w:r w:rsidR="00D9724C">
        <w:t xml:space="preserve"> </w:t>
      </w:r>
      <w:r w:rsidR="003611BE">
        <w:t xml:space="preserve">to avoid such </w:t>
      </w:r>
      <w:r w:rsidR="0016557E">
        <w:t>situation.</w:t>
      </w:r>
    </w:p>
    <w:p w14:paraId="310C5B89" w14:textId="702A6841" w:rsidR="00797CD5" w:rsidRDefault="007F658A" w:rsidP="00E73295">
      <w:pPr>
        <w:pStyle w:val="BodyText"/>
      </w:pPr>
      <w:r>
        <w:t>A key assumption that runs through the examples in this paper is that t</w:t>
      </w:r>
      <w:r w:rsidR="00C63885">
        <w:t xml:space="preserve">he operating life of the NPP is </w:t>
      </w:r>
      <w:r w:rsidR="00DB601C">
        <w:t>60 years (</w:t>
      </w:r>
      <w:r w:rsidR="00EE1C2A">
        <w:t>for the</w:t>
      </w:r>
      <w:r w:rsidR="00DB601C">
        <w:t xml:space="preserve"> NPP </w:t>
      </w:r>
      <w:r w:rsidR="00EE1C2A">
        <w:t xml:space="preserve">of Generation III </w:t>
      </w:r>
      <w:r w:rsidR="00EE1C2A" w:rsidRPr="005154F6">
        <w:t>or III+</w:t>
      </w:r>
      <w:r w:rsidR="0027547E">
        <w:t>), which is also the contribution period for</w:t>
      </w:r>
      <w:r w:rsidR="00E73295">
        <w:t xml:space="preserve"> funding the SNF liabilities. </w:t>
      </w:r>
      <w:r w:rsidR="004B6E44">
        <w:t xml:space="preserve">The </w:t>
      </w:r>
      <w:r w:rsidR="00E73295" w:rsidRPr="00E73295">
        <w:t xml:space="preserve">SNF </w:t>
      </w:r>
      <w:r w:rsidR="00625CC8">
        <w:t xml:space="preserve">disposal </w:t>
      </w:r>
      <w:r w:rsidR="00E73295" w:rsidRPr="00E73295">
        <w:t>program</w:t>
      </w:r>
      <w:r w:rsidR="004E1F28">
        <w:t>me</w:t>
      </w:r>
      <w:r w:rsidR="00E73295" w:rsidRPr="00E73295">
        <w:t xml:space="preserve"> </w:t>
      </w:r>
      <w:r w:rsidR="00625CC8">
        <w:t>is</w:t>
      </w:r>
      <w:r>
        <w:t xml:space="preserve"> assumed </w:t>
      </w:r>
      <w:r w:rsidR="00625CC8">
        <w:t xml:space="preserve">here </w:t>
      </w:r>
      <w:r>
        <w:t xml:space="preserve">to </w:t>
      </w:r>
      <w:r w:rsidR="00E73295" w:rsidRPr="00E73295">
        <w:t>start immediately after station shutdown</w:t>
      </w:r>
      <w:r>
        <w:t xml:space="preserve">. As regards the timing of </w:t>
      </w:r>
      <w:r w:rsidR="00625CC8">
        <w:t>that programme</w:t>
      </w:r>
      <w:r w:rsidR="005B5420">
        <w:t xml:space="preserve">, the specific assumptions used in this paper for illustrative purposes draw on a particular SNF (quasi-) disposal concept developed in Canada: </w:t>
      </w:r>
      <w:proofErr w:type="gramStart"/>
      <w:r w:rsidR="005B5420">
        <w:t>the</w:t>
      </w:r>
      <w:proofErr w:type="gramEnd"/>
      <w:r w:rsidR="005B5420">
        <w:t xml:space="preserve"> Adaptive Phased Management (APM) approach. APM is based on the idea of “keeping options open” </w:t>
      </w:r>
      <w:proofErr w:type="gramStart"/>
      <w:r w:rsidR="005B5420">
        <w:t>with regard to</w:t>
      </w:r>
      <w:proofErr w:type="gramEnd"/>
      <w:r w:rsidR="005B5420">
        <w:t xml:space="preserve"> SNF; retrievability is assumed to be maintained for a period after the spent fuel has been placed in the repository,</w:t>
      </w:r>
      <w:r w:rsidR="00324A98">
        <w:t xml:space="preserve"> </w:t>
      </w:r>
      <w:r w:rsidR="00E73295">
        <w:t xml:space="preserve">with the </w:t>
      </w:r>
      <w:r w:rsidR="00E73295" w:rsidRPr="00E73295">
        <w:t xml:space="preserve">SNF disposal and monitoring </w:t>
      </w:r>
      <w:r w:rsidR="002B43EA">
        <w:t xml:space="preserve">being assumed to </w:t>
      </w:r>
      <w:r w:rsidR="00E73295" w:rsidRPr="00E73295">
        <w:t>last 150 years</w:t>
      </w:r>
      <w:r w:rsidR="002B43EA">
        <w:t xml:space="preserve">. Therefore, the </w:t>
      </w:r>
      <w:r w:rsidR="00303514">
        <w:t>o</w:t>
      </w:r>
      <w:r w:rsidR="00303514" w:rsidRPr="00303514">
        <w:t>verall programme lasts 210 years</w:t>
      </w:r>
      <w:r w:rsidR="000A7A09">
        <w:t>.</w:t>
      </w:r>
    </w:p>
    <w:p w14:paraId="4220751B" w14:textId="198E9CAD" w:rsidR="005B5420" w:rsidRDefault="005B5420" w:rsidP="00E73295">
      <w:pPr>
        <w:pStyle w:val="BodyText"/>
      </w:pPr>
      <w:r>
        <w:t>Clearly,</w:t>
      </w:r>
      <w:r w:rsidR="009722A4">
        <w:t xml:space="preserve"> </w:t>
      </w:r>
      <w:r w:rsidR="002E3366">
        <w:t xml:space="preserve">very long-run </w:t>
      </w:r>
      <w:r w:rsidR="009722A4">
        <w:t xml:space="preserve">planning is </w:t>
      </w:r>
      <w:r w:rsidR="005554A9">
        <w:t xml:space="preserve">necessary for </w:t>
      </w:r>
      <w:r w:rsidR="002E3366">
        <w:t xml:space="preserve">funding the spent fuel liabilities </w:t>
      </w:r>
      <w:r>
        <w:t xml:space="preserve">over such </w:t>
      </w:r>
      <w:proofErr w:type="gramStart"/>
      <w:r>
        <w:t>a time period</w:t>
      </w:r>
      <w:proofErr w:type="gramEnd"/>
      <w:r>
        <w:t xml:space="preserve"> </w:t>
      </w:r>
      <w:r w:rsidR="00727212">
        <w:t>within the framework of inter-generational equity approach.</w:t>
      </w:r>
      <w:r w:rsidR="009D0F33">
        <w:t xml:space="preserve"> </w:t>
      </w:r>
    </w:p>
    <w:p w14:paraId="72395A95" w14:textId="0F1D679A" w:rsidR="00B074CF" w:rsidRDefault="009D0F33" w:rsidP="00E73295">
      <w:pPr>
        <w:pStyle w:val="BodyText"/>
      </w:pPr>
      <w:r w:rsidRPr="009D0F33">
        <w:t xml:space="preserve">There are two key components of any plan to ensure </w:t>
      </w:r>
      <w:r w:rsidR="00BA396E">
        <w:t xml:space="preserve">that </w:t>
      </w:r>
      <w:r w:rsidR="00625CC8">
        <w:t>SNF disposal</w:t>
      </w:r>
      <w:r w:rsidRPr="009D0F33">
        <w:t xml:space="preserve"> liabilities are funded:</w:t>
      </w:r>
    </w:p>
    <w:p w14:paraId="1D54F4CD" w14:textId="77777777" w:rsidR="00794EB6" w:rsidRDefault="00794EB6" w:rsidP="00E73295">
      <w:pPr>
        <w:pStyle w:val="BodyText"/>
      </w:pPr>
    </w:p>
    <w:p w14:paraId="5F401AE3" w14:textId="087D2492" w:rsidR="00E8597F" w:rsidRPr="00596ACA" w:rsidRDefault="00986772" w:rsidP="00E8597F">
      <w:pPr>
        <w:pStyle w:val="ListNumbered"/>
      </w:pPr>
      <w:r w:rsidRPr="00986772">
        <w:t xml:space="preserve">A target value for the fund at </w:t>
      </w:r>
      <w:r w:rsidR="00DF2CBC">
        <w:t>power plant</w:t>
      </w:r>
      <w:r w:rsidRPr="00986772">
        <w:t xml:space="preserve"> </w:t>
      </w:r>
      <w:r w:rsidR="001553F4" w:rsidRPr="001553F4">
        <w:t xml:space="preserve">End </w:t>
      </w:r>
      <w:proofErr w:type="gramStart"/>
      <w:r w:rsidR="001553F4" w:rsidRPr="001553F4">
        <w:t>Of</w:t>
      </w:r>
      <w:proofErr w:type="gramEnd"/>
      <w:r w:rsidR="001553F4" w:rsidRPr="001553F4">
        <w:t xml:space="preserve"> Life (EOL)</w:t>
      </w:r>
      <w:r w:rsidR="00E8597F">
        <w:t>.</w:t>
      </w:r>
      <w:r w:rsidR="001553F4">
        <w:t xml:space="preserve"> This target value is a</w:t>
      </w:r>
      <w:r w:rsidR="001553F4" w:rsidRPr="001553F4">
        <w:t xml:space="preserve">n amount of money to be available at </w:t>
      </w:r>
      <w:r w:rsidR="00DF2CBC">
        <w:t>power plant</w:t>
      </w:r>
      <w:r w:rsidR="00DF2CBC" w:rsidRPr="00986772">
        <w:t xml:space="preserve"> </w:t>
      </w:r>
      <w:r w:rsidR="001553F4" w:rsidRPr="001553F4">
        <w:t>EOL to meet</w:t>
      </w:r>
      <w:r w:rsidR="00625CC8">
        <w:t xml:space="preserve"> SNF disposal costs; </w:t>
      </w:r>
    </w:p>
    <w:p w14:paraId="39545C11" w14:textId="77777777" w:rsidR="00E8597F" w:rsidRPr="00596ACA" w:rsidRDefault="004A2067" w:rsidP="00E8597F">
      <w:pPr>
        <w:pStyle w:val="BodyText"/>
        <w:numPr>
          <w:ilvl w:val="0"/>
          <w:numId w:val="22"/>
        </w:numPr>
      </w:pPr>
      <w:r w:rsidRPr="004A2067">
        <w:t xml:space="preserve">A plan for fund deposits until </w:t>
      </w:r>
      <w:r w:rsidR="00DF2CBC">
        <w:t>power plant</w:t>
      </w:r>
      <w:r w:rsidR="00DF2CBC" w:rsidRPr="00986772">
        <w:t xml:space="preserve"> </w:t>
      </w:r>
      <w:r w:rsidRPr="004A2067">
        <w:t>EOL</w:t>
      </w:r>
      <w:r w:rsidR="00E8597F">
        <w:t>.</w:t>
      </w:r>
      <w:r w:rsidR="002F27D7">
        <w:t xml:space="preserve"> In practice, this plan is a p</w:t>
      </w:r>
      <w:r w:rsidR="002F27D7" w:rsidRPr="002F27D7">
        <w:t>rofile of deposits into fund</w:t>
      </w:r>
      <w:r w:rsidR="002F27D7">
        <w:t xml:space="preserve"> over the </w:t>
      </w:r>
      <w:r w:rsidR="00DF2CBC">
        <w:t>NPP operational stage</w:t>
      </w:r>
      <w:r w:rsidR="002F27D7" w:rsidRPr="002F27D7">
        <w:t xml:space="preserve"> – a ‘contribution schedule’</w:t>
      </w:r>
      <w:r w:rsidR="000F5C4F">
        <w:t>.</w:t>
      </w:r>
    </w:p>
    <w:p w14:paraId="745CDDB3" w14:textId="77777777" w:rsidR="00E8597F" w:rsidRDefault="00E8597F" w:rsidP="00E73295">
      <w:pPr>
        <w:pStyle w:val="BodyText"/>
      </w:pPr>
    </w:p>
    <w:p w14:paraId="29B220F4" w14:textId="77777777" w:rsidR="00727212" w:rsidRDefault="00606230" w:rsidP="00E73295">
      <w:pPr>
        <w:pStyle w:val="BodyText"/>
      </w:pPr>
      <w:r>
        <w:t xml:space="preserve">The major challenge is to </w:t>
      </w:r>
      <w:r w:rsidR="00DA70EF">
        <w:t>make right choices</w:t>
      </w:r>
      <w:r w:rsidR="001173AD">
        <w:t xml:space="preserve"> on </w:t>
      </w:r>
      <w:r w:rsidR="000F1161">
        <w:t>both</w:t>
      </w:r>
      <w:r w:rsidR="001173AD">
        <w:t xml:space="preserve"> components, as, given the exceptionally long</w:t>
      </w:r>
      <w:r w:rsidR="00722EA9">
        <w:t xml:space="preserve">-term period of </w:t>
      </w:r>
      <w:r w:rsidR="000F1161">
        <w:t>planning, underlying</w:t>
      </w:r>
      <w:r w:rsidR="00722EA9" w:rsidRPr="00722EA9">
        <w:t xml:space="preserve"> assumptions are subject to considerable risk and uncertainty</w:t>
      </w:r>
      <w:r w:rsidR="00722EA9">
        <w:t>.</w:t>
      </w:r>
      <w:r w:rsidR="00AA1795">
        <w:t xml:space="preserve"> </w:t>
      </w:r>
      <w:r w:rsidR="0079554B" w:rsidRPr="0079554B">
        <w:t xml:space="preserve">One way of reducing risk </w:t>
      </w:r>
      <w:bookmarkStart w:id="3" w:name="_Hlk4429550"/>
      <w:r w:rsidR="0079554B" w:rsidRPr="0079554B">
        <w:t xml:space="preserve">of fund </w:t>
      </w:r>
      <w:r w:rsidR="0079554B">
        <w:t>against</w:t>
      </w:r>
      <w:r w:rsidR="0079554B" w:rsidRPr="0079554B">
        <w:t xml:space="preserve"> liability mismatch </w:t>
      </w:r>
      <w:bookmarkEnd w:id="3"/>
      <w:r w:rsidR="0079554B" w:rsidRPr="0079554B">
        <w:t>is constant recalibration</w:t>
      </w:r>
      <w:r w:rsidR="0079554B">
        <w:t xml:space="preserve">, </w:t>
      </w:r>
      <w:r w:rsidR="00862357">
        <w:t xml:space="preserve">i.e. regular revisiting of </w:t>
      </w:r>
      <w:r w:rsidR="00A15D18">
        <w:t>expected target value of the fund (that may change over the decades of the NPP operation)</w:t>
      </w:r>
      <w:r w:rsidR="001D2D96">
        <w:t xml:space="preserve"> and the amount accumulated over the previous periods (in case if the rent of return varies)</w:t>
      </w:r>
      <w:r w:rsidR="00895ED2">
        <w:t>.</w:t>
      </w:r>
      <w:r w:rsidR="001D2D96">
        <w:t xml:space="preserve"> This approach is called </w:t>
      </w:r>
      <w:r w:rsidR="001D2D96" w:rsidRPr="001D2D96">
        <w:t>Adaptive Phased Management (APM)</w:t>
      </w:r>
      <w:r w:rsidR="001D2D96">
        <w:t>.</w:t>
      </w:r>
    </w:p>
    <w:p w14:paraId="31A6ED1C" w14:textId="06333CA1" w:rsidR="00E57C98" w:rsidRDefault="005B5420" w:rsidP="00E73295">
      <w:pPr>
        <w:pStyle w:val="BodyText"/>
      </w:pPr>
      <w:r>
        <w:fldChar w:fldCharType="begin"/>
      </w:r>
      <w:r w:rsidRPr="005B5420">
        <w:instrText xml:space="preserve"> REF _Ref8031152 </w:instrText>
      </w:r>
      <w:r>
        <w:instrText xml:space="preserve"> \* MERGEFORMAT </w:instrText>
      </w:r>
      <w:r>
        <w:fldChar w:fldCharType="separate"/>
      </w:r>
      <w:r w:rsidR="001B5DD0" w:rsidRPr="00552A0C">
        <w:t>F</w:t>
      </w:r>
      <w:r w:rsidR="00625CC8">
        <w:t>ig</w:t>
      </w:r>
      <w:r w:rsidR="001B5DD0" w:rsidRPr="00552A0C">
        <w:t xml:space="preserve">. </w:t>
      </w:r>
      <w:r w:rsidR="001B5DD0" w:rsidRPr="00552A0C">
        <w:rPr>
          <w:noProof/>
        </w:rPr>
        <w:t>2</w:t>
      </w:r>
      <w:r>
        <w:fldChar w:fldCharType="end"/>
      </w:r>
      <w:r w:rsidR="00627472">
        <w:t xml:space="preserve"> </w:t>
      </w:r>
      <w:r>
        <w:t>illustrates</w:t>
      </w:r>
      <w:r w:rsidR="00E57C98">
        <w:t xml:space="preserve"> the spending profile for the </w:t>
      </w:r>
      <w:r w:rsidR="00E57C98" w:rsidRPr="00E57C98">
        <w:t>SNF program</w:t>
      </w:r>
      <w:r w:rsidR="004E1F28">
        <w:t>me</w:t>
      </w:r>
      <w:r w:rsidR="00E57C98">
        <w:t xml:space="preserve"> </w:t>
      </w:r>
      <w:r>
        <w:t xml:space="preserve">envisaged under APM </w:t>
      </w:r>
      <w:r w:rsidR="00E57C98">
        <w:t>(left axis) and tot</w:t>
      </w:r>
      <w:r w:rsidR="005E418E">
        <w:t>al accumulated cost (right axis)</w:t>
      </w:r>
      <w:r w:rsidR="00E57C98">
        <w:t xml:space="preserve"> spanning over </w:t>
      </w:r>
      <w:r w:rsidR="005E418E">
        <w:t xml:space="preserve">the period of </w:t>
      </w:r>
      <w:r w:rsidR="00E57C98">
        <w:t>150 years</w:t>
      </w:r>
      <w:r>
        <w:t xml:space="preserve"> (see </w:t>
      </w:r>
      <w:sdt>
        <w:sdtPr>
          <w:id w:val="-321278750"/>
          <w:citation/>
        </w:sdtPr>
        <w:sdtEndPr/>
        <w:sdtContent>
          <w:r w:rsidR="00197A23">
            <w:fldChar w:fldCharType="begin"/>
          </w:r>
          <w:r w:rsidR="00197A23" w:rsidRPr="00552A0C">
            <w:rPr>
              <w:lang w:val="en-CA"/>
            </w:rPr>
            <w:instrText xml:space="preserve"> CITATION Nuc11 \l 3079 </w:instrText>
          </w:r>
          <w:r w:rsidR="00197A23">
            <w:fldChar w:fldCharType="separate"/>
          </w:r>
          <w:r w:rsidR="005A2A8F" w:rsidRPr="005A2A8F">
            <w:rPr>
              <w:noProof/>
              <w:lang w:val="en-CA"/>
            </w:rPr>
            <w:t>[2]</w:t>
          </w:r>
          <w:r w:rsidR="00197A23">
            <w:fldChar w:fldCharType="end"/>
          </w:r>
        </w:sdtContent>
      </w:sdt>
      <w:r w:rsidR="00632060">
        <w:t xml:space="preserve"> for further details of the APM programme and a related cost estimate)</w:t>
      </w:r>
      <w:r w:rsidR="005E418E">
        <w:t>.</w:t>
      </w:r>
    </w:p>
    <w:p w14:paraId="6BE3150C" w14:textId="77777777" w:rsidR="00201F06" w:rsidRDefault="00201F06" w:rsidP="00E73295">
      <w:pPr>
        <w:pStyle w:val="BodyText"/>
      </w:pPr>
    </w:p>
    <w:p w14:paraId="01AB7150" w14:textId="7F4560A9" w:rsidR="005E418E" w:rsidRDefault="00351B7D" w:rsidP="00201F06">
      <w:pPr>
        <w:pStyle w:val="BodyText"/>
        <w:ind w:firstLine="0"/>
      </w:pPr>
      <w:r>
        <w:rPr>
          <w:noProof/>
          <w:lang w:eastAsia="en-GB"/>
        </w:rPr>
        <w:lastRenderedPageBreak/>
        <mc:AlternateContent>
          <mc:Choice Requires="wps">
            <w:drawing>
              <wp:anchor distT="0" distB="0" distL="114300" distR="114300" simplePos="0" relativeHeight="251660288" behindDoc="0" locked="0" layoutInCell="1" allowOverlap="1" wp14:anchorId="17DEF3CE" wp14:editId="7EA3F44C">
                <wp:simplePos x="0" y="0"/>
                <wp:positionH relativeFrom="margin">
                  <wp:align>left</wp:align>
                </wp:positionH>
                <wp:positionV relativeFrom="paragraph">
                  <wp:posOffset>4118610</wp:posOffset>
                </wp:positionV>
                <wp:extent cx="5557520" cy="635"/>
                <wp:effectExtent l="0" t="0" r="5080" b="5080"/>
                <wp:wrapTopAndBottom/>
                <wp:docPr id="6" name="Text Box 6"/>
                <wp:cNvGraphicFramePr/>
                <a:graphic xmlns:a="http://schemas.openxmlformats.org/drawingml/2006/main">
                  <a:graphicData uri="http://schemas.microsoft.com/office/word/2010/wordprocessingShape">
                    <wps:wsp>
                      <wps:cNvSpPr txBox="1"/>
                      <wps:spPr>
                        <a:xfrm>
                          <a:off x="0" y="0"/>
                          <a:ext cx="5557520" cy="635"/>
                        </a:xfrm>
                        <a:prstGeom prst="rect">
                          <a:avLst/>
                        </a:prstGeom>
                        <a:solidFill>
                          <a:prstClr val="white"/>
                        </a:solidFill>
                        <a:ln>
                          <a:noFill/>
                        </a:ln>
                        <a:effectLst/>
                      </wps:spPr>
                      <wps:txbx>
                        <w:txbxContent>
                          <w:p w14:paraId="42868A36" w14:textId="014FCFBC" w:rsidR="005E418E" w:rsidRPr="00802381" w:rsidRDefault="005E418E" w:rsidP="008A603C">
                            <w:pPr>
                              <w:pStyle w:val="Caption"/>
                              <w:ind w:firstLine="567"/>
                              <w:rPr>
                                <w:i/>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7DEF3CE" id="_x0000_t202" coordsize="21600,21600" o:spt="202" path="m,l,21600r21600,l21600,xe">
                <v:stroke joinstyle="miter"/>
                <v:path gradientshapeok="t" o:connecttype="rect"/>
              </v:shapetype>
              <v:shape id="Text Box 6" o:spid="_x0000_s1026" type="#_x0000_t202" style="position:absolute;left:0;text-align:left;margin-left:0;margin-top:324.3pt;width:437.6pt;height:.0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" stroked="f">
                <v:textbox style="mso-fit-shape-to-text:t" inset="0,0,0,0">
                  <w:txbxContent>
                    <w:p w14:paraId="42868A36" w14:textId="014FCFBC" w:rsidR="005E418E" w:rsidRPr="00802381" w:rsidRDefault="005E418E" w:rsidP="008A603C">
                      <w:pPr>
                        <w:pStyle w:val="Caption"/>
                        <w:ind w:firstLine="567"/>
                        <w:rPr>
                          <w:i/>
                          <w:sz w:val="20"/>
                        </w:rPr>
                      </w:pPr>
                    </w:p>
                  </w:txbxContent>
                </v:textbox>
                <w10:wrap type="topAndBottom" anchorx="margin"/>
              </v:shape>
            </w:pict>
          </mc:Fallback>
        </mc:AlternateContent>
      </w:r>
      <w:r w:rsidR="00201F06" w:rsidRPr="00201F06">
        <w:rPr>
          <w:noProof/>
        </w:rPr>
        <w:drawing>
          <wp:inline distT="0" distB="0" distL="0" distR="0" wp14:anchorId="4D33695D" wp14:editId="0DE7C894">
            <wp:extent cx="5755671" cy="3959225"/>
            <wp:effectExtent l="0" t="0" r="0" b="317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6869" cy="3973807"/>
                    </a:xfrm>
                    <a:prstGeom prst="rect">
                      <a:avLst/>
                    </a:prstGeom>
                    <a:noFill/>
                    <a:ln>
                      <a:noFill/>
                    </a:ln>
                    <a:effectLst/>
                    <a:extLst/>
                  </pic:spPr>
                </pic:pic>
              </a:graphicData>
            </a:graphic>
          </wp:inline>
        </w:drawing>
      </w:r>
    </w:p>
    <w:p w14:paraId="5BFBE4F1" w14:textId="77777777" w:rsidR="00AC319E" w:rsidRPr="00802381" w:rsidRDefault="00AC319E" w:rsidP="00AC319E">
      <w:pPr>
        <w:pStyle w:val="Caption"/>
        <w:ind w:firstLine="567"/>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Pr>
          <w:i/>
          <w:noProof/>
        </w:rPr>
        <w:t>2</w:t>
      </w:r>
      <w:r w:rsidRPr="00802381">
        <w:rPr>
          <w:i/>
        </w:rPr>
        <w:fldChar w:fldCharType="end"/>
      </w:r>
      <w:r>
        <w:rPr>
          <w:i/>
        </w:rPr>
        <w:t xml:space="preserve">. Annual and Cumulative Costs of the </w:t>
      </w:r>
      <w:r w:rsidRPr="00351B7D">
        <w:rPr>
          <w:i/>
        </w:rPr>
        <w:t xml:space="preserve">SNF </w:t>
      </w:r>
      <w:proofErr w:type="spellStart"/>
      <w:r w:rsidRPr="00351B7D">
        <w:rPr>
          <w:i/>
        </w:rPr>
        <w:t>program</w:t>
      </w:r>
      <w:r>
        <w:rPr>
          <w:i/>
        </w:rPr>
        <w:t>me</w:t>
      </w:r>
      <w:proofErr w:type="spellEnd"/>
      <w:r>
        <w:rPr>
          <w:i/>
        </w:rPr>
        <w:t xml:space="preserve"> under APM.</w:t>
      </w:r>
    </w:p>
    <w:p w14:paraId="3E710884" w14:textId="77777777" w:rsidR="005E418E" w:rsidRDefault="005E418E" w:rsidP="00201F06">
      <w:pPr>
        <w:pStyle w:val="BodyText"/>
        <w:ind w:firstLine="0"/>
      </w:pPr>
    </w:p>
    <w:p w14:paraId="1160940F" w14:textId="3A951C2F" w:rsidR="00D72655" w:rsidRDefault="00D72655" w:rsidP="00D72655">
      <w:pPr>
        <w:pStyle w:val="Heading2"/>
        <w:numPr>
          <w:ilvl w:val="1"/>
          <w:numId w:val="10"/>
        </w:numPr>
      </w:pPr>
      <w:bookmarkStart w:id="4" w:name="_Ref8035310"/>
      <w:r>
        <w:t xml:space="preserve">FUNDING IN </w:t>
      </w:r>
      <w:r w:rsidR="00625CC8">
        <w:t xml:space="preserve">A WORLD OF CERTAINTY AND </w:t>
      </w:r>
      <w:r>
        <w:t>FIXED-PRICE</w:t>
      </w:r>
      <w:r w:rsidR="00625CC8">
        <w:t>S</w:t>
      </w:r>
      <w:bookmarkEnd w:id="4"/>
    </w:p>
    <w:p w14:paraId="411CD0B3" w14:textId="602AE917" w:rsidR="00F26987" w:rsidRDefault="00025361" w:rsidP="00E73295">
      <w:pPr>
        <w:pStyle w:val="BodyText"/>
      </w:pPr>
      <w:r>
        <w:t>In this Section the most simplified case</w:t>
      </w:r>
      <w:r w:rsidR="001D75EE">
        <w:t xml:space="preserve"> with no uncertainty</w:t>
      </w:r>
      <w:r w:rsidR="00784F06">
        <w:t xml:space="preserve"> </w:t>
      </w:r>
      <w:r w:rsidR="00DF6636">
        <w:t xml:space="preserve">in ‘fixed-price’ world </w:t>
      </w:r>
      <w:r w:rsidR="00784F06">
        <w:t>will be discussed.</w:t>
      </w:r>
      <w:r w:rsidR="000A3945">
        <w:t xml:space="preserve"> </w:t>
      </w:r>
      <w:r w:rsidR="003D7DEF">
        <w:t>‘Fixed</w:t>
      </w:r>
      <w:r w:rsidR="002E4E49">
        <w:t>-price’ world</w:t>
      </w:r>
      <w:r w:rsidR="006B39C3">
        <w:t xml:space="preserve"> means that </w:t>
      </w:r>
      <w:r w:rsidR="0035000E">
        <w:t>there is no inflation and cost escalation over the period of NPP operation</w:t>
      </w:r>
      <w:r w:rsidR="00CB1ABB">
        <w:t xml:space="preserve"> and SNF </w:t>
      </w:r>
      <w:r w:rsidR="00625CC8">
        <w:t xml:space="preserve">disposal </w:t>
      </w:r>
      <w:r w:rsidR="00CB1ABB">
        <w:t>program</w:t>
      </w:r>
      <w:r w:rsidR="004E1F28">
        <w:t>me</w:t>
      </w:r>
      <w:r w:rsidR="0049056E">
        <w:t xml:space="preserve"> implementation</w:t>
      </w:r>
      <w:r w:rsidR="00CB1ABB">
        <w:t>.</w:t>
      </w:r>
      <w:r w:rsidR="0038417A">
        <w:t xml:space="preserve"> </w:t>
      </w:r>
      <w:r w:rsidR="0009133F">
        <w:t xml:space="preserve">This assumption </w:t>
      </w:r>
      <w:r w:rsidR="006746FF">
        <w:t>allows</w:t>
      </w:r>
      <w:r w:rsidR="00682F98">
        <w:t xml:space="preserve"> getting precise estimate</w:t>
      </w:r>
      <w:r w:rsidR="00834FA7">
        <w:t xml:space="preserve"> </w:t>
      </w:r>
      <w:r w:rsidR="00357DF9">
        <w:t xml:space="preserve">of the target value for the fund: </w:t>
      </w:r>
      <w:r w:rsidR="00625CC8">
        <w:t>and the cost of the</w:t>
      </w:r>
      <w:r w:rsidR="00287F12">
        <w:t xml:space="preserve"> SNF </w:t>
      </w:r>
      <w:r w:rsidR="00625CC8">
        <w:t xml:space="preserve">disposal </w:t>
      </w:r>
      <w:r w:rsidR="00287F12">
        <w:t>program</w:t>
      </w:r>
      <w:r w:rsidR="004E1F28">
        <w:t>me</w:t>
      </w:r>
      <w:r w:rsidR="00287F12">
        <w:t xml:space="preserve"> will remain the same in 60 years</w:t>
      </w:r>
      <w:r w:rsidR="00A41C03">
        <w:t xml:space="preserve"> after the start of the NPP operation. </w:t>
      </w:r>
      <w:r w:rsidR="006600B8">
        <w:t xml:space="preserve">‘No uncertainty’ means that the </w:t>
      </w:r>
      <w:r w:rsidR="006B00C9">
        <w:t>discounting factor</w:t>
      </w:r>
      <w:r w:rsidR="00A41C03">
        <w:t xml:space="preserve"> is known</w:t>
      </w:r>
      <w:r w:rsidR="006B00C9">
        <w:t xml:space="preserve"> and is</w:t>
      </w:r>
      <w:r w:rsidR="007B189F">
        <w:t xml:space="preserve"> expected to </w:t>
      </w:r>
      <w:r w:rsidR="00A41C03">
        <w:t>remain</w:t>
      </w:r>
      <w:r w:rsidR="006B00C9">
        <w:t xml:space="preserve"> constant over the whole period of NPP operation</w:t>
      </w:r>
      <w:r w:rsidR="00625CC8">
        <w:t xml:space="preserve"> and the cost of the SNF disposal programme is known with certainty</w:t>
      </w:r>
      <w:r w:rsidR="006B00C9">
        <w:t>.</w:t>
      </w:r>
      <w:r w:rsidR="00625CC8">
        <w:t xml:space="preserve"> Note that in this context a funding strategy could be established at the outset of an NPP’s operating life, and never revised.</w:t>
      </w:r>
    </w:p>
    <w:p w14:paraId="097F4749" w14:textId="4973D54E" w:rsidR="00915A59" w:rsidRDefault="00915A59" w:rsidP="00E73295">
      <w:pPr>
        <w:pStyle w:val="BodyText"/>
      </w:pPr>
      <w:r>
        <w:t xml:space="preserve">The example illustrated </w:t>
      </w:r>
      <w:r w:rsidRPr="0006048D">
        <w:t xml:space="preserve">by </w:t>
      </w:r>
      <w:r w:rsidR="004958F2">
        <w:fldChar w:fldCharType="begin"/>
      </w:r>
      <w:r w:rsidR="004958F2">
        <w:instrText xml:space="preserve"> REF _Ref8031152  \* MERGEFORMAT </w:instrText>
      </w:r>
      <w:r w:rsidR="004958F2">
        <w:fldChar w:fldCharType="separate"/>
      </w:r>
      <w:r w:rsidR="001B5DD0" w:rsidRPr="00276467">
        <w:t>F</w:t>
      </w:r>
      <w:r w:rsidR="00625CC8">
        <w:t>ig</w:t>
      </w:r>
      <w:r w:rsidR="001B5DD0" w:rsidRPr="00276467">
        <w:t xml:space="preserve">. </w:t>
      </w:r>
      <w:r w:rsidR="001B5DD0" w:rsidRPr="00276467">
        <w:rPr>
          <w:noProof/>
        </w:rPr>
        <w:t>2</w:t>
      </w:r>
      <w:r w:rsidR="004958F2">
        <w:rPr>
          <w:noProof/>
        </w:rPr>
        <w:fldChar w:fldCharType="end"/>
      </w:r>
      <w:r>
        <w:t xml:space="preserve"> shows the cumulative </w:t>
      </w:r>
      <w:r w:rsidR="00A40CAC">
        <w:t xml:space="preserve">cost at the level of </w:t>
      </w:r>
      <w:r w:rsidR="00A40CAC" w:rsidRPr="00CD20D3">
        <w:t>$</w:t>
      </w:r>
      <w:r w:rsidR="00A40CAC">
        <w:t>1</w:t>
      </w:r>
      <w:r w:rsidR="00A40CAC" w:rsidRPr="00CD20D3">
        <w:t>8B</w:t>
      </w:r>
      <w:r w:rsidR="00A40CAC">
        <w:t xml:space="preserve"> for the whole duration of the programme. </w:t>
      </w:r>
      <w:r w:rsidR="00625CC8">
        <w:t>However, it will not be necessary for the owner of the NPP to make contributions totalling $18B; to understand why not we introduce the notion of discounting.</w:t>
      </w:r>
    </w:p>
    <w:p w14:paraId="72DE7057" w14:textId="693CFDEE" w:rsidR="008E4FD0" w:rsidRDefault="000D17DE" w:rsidP="008E4FD0">
      <w:pPr>
        <w:pStyle w:val="BodyText"/>
      </w:pPr>
      <w:r w:rsidRPr="000D17DE">
        <w:t>Discounting</w:t>
      </w:r>
      <w:r w:rsidR="005E28AB">
        <w:t xml:space="preserve"> is</w:t>
      </w:r>
      <w:r w:rsidRPr="000D17DE">
        <w:t xml:space="preserve"> a method for estimating amount </w:t>
      </w:r>
      <w:r w:rsidR="00C9756E">
        <w:t>that needs to be saved</w:t>
      </w:r>
      <w:r w:rsidRPr="000D17DE">
        <w:t xml:space="preserve"> </w:t>
      </w:r>
      <w:r w:rsidR="00C9756E">
        <w:t>in present</w:t>
      </w:r>
      <w:r w:rsidRPr="000D17DE">
        <w:t xml:space="preserve"> to fund </w:t>
      </w:r>
      <w:r w:rsidR="00933B65">
        <w:t>expenses in</w:t>
      </w:r>
      <w:r w:rsidRPr="000D17DE">
        <w:t xml:space="preserve"> future.</w:t>
      </w:r>
      <w:r w:rsidR="00933B65">
        <w:t xml:space="preserve"> The method is based on the idea</w:t>
      </w:r>
      <w:r w:rsidR="00AA13AC">
        <w:t xml:space="preserve"> that interest </w:t>
      </w:r>
      <w:r w:rsidR="00683640" w:rsidRPr="00683640">
        <w:t>of</w:t>
      </w:r>
      <w:r w:rsidR="00235DC2">
        <w:t xml:space="preserve"> </w:t>
      </w:r>
      <w:r w:rsidR="00235DC2" w:rsidRPr="00683640">
        <w:rPr>
          <w:b/>
          <w:i/>
        </w:rPr>
        <w:t>r*</w:t>
      </w:r>
      <w:r w:rsidR="00235DC2" w:rsidRPr="00683640">
        <w:t xml:space="preserve"> </w:t>
      </w:r>
      <w:r w:rsidR="00683640">
        <w:t xml:space="preserve">could be earned </w:t>
      </w:r>
      <w:r w:rsidR="00683640" w:rsidRPr="00683640">
        <w:t>per year on current amount</w:t>
      </w:r>
      <w:r w:rsidR="00683640">
        <w:t xml:space="preserve"> of investment.</w:t>
      </w:r>
      <w:r w:rsidR="00835A8F">
        <w:t xml:space="preserve"> Specifically, i</w:t>
      </w:r>
      <w:r w:rsidR="00835A8F" w:rsidRPr="00835A8F">
        <w:t xml:space="preserve">f </w:t>
      </w:r>
      <w:r w:rsidR="00835A8F" w:rsidRPr="006F3857">
        <w:rPr>
          <w:b/>
          <w:i/>
        </w:rPr>
        <w:t>$100</w:t>
      </w:r>
      <w:r w:rsidR="00835A8F" w:rsidRPr="00835A8F">
        <w:t xml:space="preserve"> </w:t>
      </w:r>
      <w:r w:rsidR="00C96EA3">
        <w:t xml:space="preserve">is deposited </w:t>
      </w:r>
      <w:r w:rsidR="00835A8F" w:rsidRPr="00835A8F">
        <w:t xml:space="preserve">in the bank today, then </w:t>
      </w:r>
      <w:r w:rsidR="00835A8F" w:rsidRPr="006F3857">
        <w:rPr>
          <w:b/>
          <w:i/>
        </w:rPr>
        <w:t>$100 × (1+r*)</w:t>
      </w:r>
      <w:r w:rsidR="00835A8F" w:rsidRPr="00835A8F">
        <w:t xml:space="preserve"> </w:t>
      </w:r>
      <w:r w:rsidR="00E44144">
        <w:t xml:space="preserve">will </w:t>
      </w:r>
      <w:r w:rsidR="006F3857">
        <w:t xml:space="preserve">be received </w:t>
      </w:r>
      <w:r w:rsidR="00835A8F" w:rsidRPr="00835A8F">
        <w:t>in 1 year</w:t>
      </w:r>
      <w:r w:rsidR="00756CA0">
        <w:t xml:space="preserve">. </w:t>
      </w:r>
      <w:r w:rsidR="00756CA0" w:rsidRPr="00756CA0">
        <w:t xml:space="preserve">The “Present Value” (PV) of </w:t>
      </w:r>
      <w:r w:rsidR="00756CA0" w:rsidRPr="00ED593D">
        <w:rPr>
          <w:b/>
          <w:i/>
        </w:rPr>
        <w:t>$1</w:t>
      </w:r>
      <w:r w:rsidR="00756CA0" w:rsidRPr="00756CA0">
        <w:t xml:space="preserve"> to be received in 1 year is the answer to the question: What is the $ amount that – if multiplied by </w:t>
      </w:r>
      <w:r w:rsidR="00756CA0" w:rsidRPr="007308E3">
        <w:rPr>
          <w:b/>
          <w:i/>
        </w:rPr>
        <w:t>1 + r*</w:t>
      </w:r>
      <w:r w:rsidR="00756CA0" w:rsidRPr="00756CA0">
        <w:t xml:space="preserve"> – would give $1?</w:t>
      </w:r>
      <w:r w:rsidR="008E4FD0">
        <w:t xml:space="preserve"> </w:t>
      </w:r>
      <w:r w:rsidR="008E4FD0" w:rsidRPr="008E4FD0">
        <w:t xml:space="preserve">PV concept is key in </w:t>
      </w:r>
      <w:r w:rsidR="00625CC8">
        <w:t>SNF disposal</w:t>
      </w:r>
      <w:r w:rsidR="008E4FD0" w:rsidRPr="008E4FD0">
        <w:t xml:space="preserve"> funding planning in two distinct ways:</w:t>
      </w:r>
    </w:p>
    <w:p w14:paraId="5A88BBFB" w14:textId="77777777" w:rsidR="008E4FD0" w:rsidRPr="008E4FD0" w:rsidRDefault="008E4FD0" w:rsidP="008E4FD0">
      <w:pPr>
        <w:pStyle w:val="BodyText"/>
      </w:pPr>
    </w:p>
    <w:p w14:paraId="4AA0681F" w14:textId="77777777" w:rsidR="008E4FD0" w:rsidRPr="00596ACA" w:rsidRDefault="00481C22" w:rsidP="00481C22">
      <w:pPr>
        <w:pStyle w:val="ListNumbered"/>
        <w:numPr>
          <w:ilvl w:val="0"/>
          <w:numId w:val="34"/>
        </w:numPr>
      </w:pPr>
      <w:r w:rsidRPr="00481C22">
        <w:t>Calculating a target value. PV back-end expenditures back to the date of the first expenditure</w:t>
      </w:r>
      <w:r w:rsidR="008E4FD0">
        <w:t>.</w:t>
      </w:r>
    </w:p>
    <w:p w14:paraId="06C7423C" w14:textId="77777777" w:rsidR="008E4FD0" w:rsidRDefault="00481C22" w:rsidP="008E4FD0">
      <w:pPr>
        <w:pStyle w:val="ListNumbered"/>
      </w:pPr>
      <w:r w:rsidRPr="00481C22">
        <w:t>Calculating a lump sum funding contribution. PV the target value back to the date at which the lump sum is deposited in the fund</w:t>
      </w:r>
      <w:r w:rsidR="00625CC8">
        <w:t xml:space="preserve"> (see Section </w:t>
      </w:r>
      <w:r w:rsidR="004958F2">
        <w:fldChar w:fldCharType="begin"/>
      </w:r>
      <w:r w:rsidR="004958F2">
        <w:instrText xml:space="preserve"> REF _Ref8035721 \r </w:instrText>
      </w:r>
      <w:r w:rsidR="004958F2">
        <w:fldChar w:fldCharType="separate"/>
      </w:r>
      <w:r w:rsidR="00625CC8">
        <w:t>4</w:t>
      </w:r>
      <w:r w:rsidR="004958F2">
        <w:fldChar w:fldCharType="end"/>
      </w:r>
      <w:r w:rsidR="00625CC8">
        <w:t>)</w:t>
      </w:r>
      <w:r w:rsidR="008E4FD0">
        <w:t>.</w:t>
      </w:r>
    </w:p>
    <w:p w14:paraId="2544AA86" w14:textId="77777777" w:rsidR="00F06B29" w:rsidRPr="00596ACA" w:rsidRDefault="00F06B29" w:rsidP="00F06B29">
      <w:pPr>
        <w:pStyle w:val="ListNumbered"/>
        <w:numPr>
          <w:ilvl w:val="0"/>
          <w:numId w:val="0"/>
        </w:numPr>
        <w:ind w:left="720"/>
      </w:pPr>
    </w:p>
    <w:p w14:paraId="564EAF65" w14:textId="63E686D9" w:rsidR="00683640" w:rsidRDefault="00A1758D" w:rsidP="00BE33CF">
      <w:pPr>
        <w:pStyle w:val="BodyText"/>
      </w:pPr>
      <w:bookmarkStart w:id="5" w:name="_Hlk4158457"/>
      <w:r>
        <w:t xml:space="preserve">The </w:t>
      </w:r>
      <w:r w:rsidR="00BE33CF">
        <w:t xml:space="preserve">value of </w:t>
      </w:r>
      <w:r w:rsidR="00BE33CF" w:rsidRPr="00683640">
        <w:rPr>
          <w:b/>
          <w:i/>
        </w:rPr>
        <w:t>r*</w:t>
      </w:r>
      <w:r w:rsidR="00BE33CF">
        <w:t xml:space="preserve"> </w:t>
      </w:r>
      <w:r w:rsidR="00734346" w:rsidRPr="00756CA0">
        <w:t>–</w:t>
      </w:r>
      <w:r w:rsidR="00BE33CF">
        <w:t xml:space="preserve"> </w:t>
      </w:r>
      <w:r w:rsidR="00F06D3C" w:rsidRPr="005154F6">
        <w:t>rate of return assumption in the formula</w:t>
      </w:r>
      <w:r w:rsidR="00BE33CF">
        <w:t xml:space="preserve"> is</w:t>
      </w:r>
      <w:r w:rsidR="00F06D3C" w:rsidRPr="005154F6">
        <w:t xml:space="preserve"> </w:t>
      </w:r>
      <w:r w:rsidR="009412C2">
        <w:t>necessary</w:t>
      </w:r>
      <w:r w:rsidR="00BE33CF">
        <w:t xml:space="preserve"> for the adequate </w:t>
      </w:r>
      <w:r w:rsidR="006877A6">
        <w:t xml:space="preserve">calculation of a target value of the fund. In case if </w:t>
      </w:r>
      <w:r w:rsidR="00EC699D">
        <w:t xml:space="preserve">assumption about </w:t>
      </w:r>
      <w:r w:rsidR="00EC699D" w:rsidRPr="00683640">
        <w:rPr>
          <w:b/>
          <w:i/>
        </w:rPr>
        <w:t>r*</w:t>
      </w:r>
      <w:r w:rsidR="00EC699D">
        <w:rPr>
          <w:b/>
          <w:i/>
        </w:rPr>
        <w:t xml:space="preserve"> </w:t>
      </w:r>
      <w:r w:rsidR="00EC699D" w:rsidRPr="00EC699D">
        <w:t>value</w:t>
      </w:r>
      <w:r w:rsidR="00EC699D">
        <w:rPr>
          <w:b/>
          <w:i/>
        </w:rPr>
        <w:t xml:space="preserve"> </w:t>
      </w:r>
      <w:r w:rsidR="00EC699D">
        <w:t xml:space="preserve">is incorrect the </w:t>
      </w:r>
      <w:r w:rsidR="003F3EE1">
        <w:t>funds accumulated by the end of the NPP operation will be inadequate</w:t>
      </w:r>
      <w:r w:rsidR="008764F8">
        <w:t xml:space="preserve"> to fund the </w:t>
      </w:r>
      <w:r w:rsidR="008764F8" w:rsidRPr="00E73295">
        <w:t>Decommissioning and SNF program</w:t>
      </w:r>
      <w:r w:rsidR="004E1F28">
        <w:t>me</w:t>
      </w:r>
      <w:r w:rsidR="008764F8">
        <w:t>. Again, the forecasting here</w:t>
      </w:r>
      <w:r w:rsidR="0013643C">
        <w:t xml:space="preserve"> </w:t>
      </w:r>
      <w:r w:rsidR="0013643C">
        <w:lastRenderedPageBreak/>
        <w:t xml:space="preserve">is used for the period over two centuries, which </w:t>
      </w:r>
      <w:r w:rsidR="007D2AD2">
        <w:t>puts any assumptions about the rate of return at</w:t>
      </w:r>
      <w:r w:rsidR="007C2A1A">
        <w:t xml:space="preserve"> risk. Clearly</w:t>
      </w:r>
      <w:r w:rsidR="007D2AD2">
        <w:t>, it is impossible to eliminate</w:t>
      </w:r>
      <w:r w:rsidR="006701B6">
        <w:t xml:space="preserve"> the risk completely, however, it can be mitigated </w:t>
      </w:r>
      <w:r w:rsidR="00625386">
        <w:t>by the use of</w:t>
      </w:r>
      <w:r w:rsidR="008764F8">
        <w:t xml:space="preserve"> </w:t>
      </w:r>
      <w:r w:rsidR="00F06D3C" w:rsidRPr="005154F6">
        <w:t>conservative</w:t>
      </w:r>
      <w:r w:rsidR="00625386">
        <w:t xml:space="preserve"> assumptions on the rate of return</w:t>
      </w:r>
      <w:r w:rsidR="00B74C4A">
        <w:t xml:space="preserve">, similarly to </w:t>
      </w:r>
      <w:r w:rsidR="00D31BFF">
        <w:t>other organizations and entities</w:t>
      </w:r>
      <w:r w:rsidR="002F5F03">
        <w:t xml:space="preserve"> that need to </w:t>
      </w:r>
      <w:r w:rsidR="00C9145E">
        <w:t xml:space="preserve">do long-term projections, e.g. </w:t>
      </w:r>
      <w:r w:rsidR="00F06D3C" w:rsidRPr="005154F6">
        <w:t>public pension fund actuaries</w:t>
      </w:r>
      <w:r w:rsidR="00C9145E">
        <w:t>. Again, regular recalibration</w:t>
      </w:r>
      <w:r w:rsidR="00490A30">
        <w:t xml:space="preserve"> within the framework of APM approach is another part of the </w:t>
      </w:r>
      <w:r w:rsidR="00BB3F1D">
        <w:t>risk-mitigation strategy</w:t>
      </w:r>
      <w:r w:rsidR="00490A30">
        <w:t>.</w:t>
      </w:r>
      <w:r w:rsidR="00BB3F1D">
        <w:t xml:space="preserve"> When certain (probably very conservative) assumption about the </w:t>
      </w:r>
      <w:r w:rsidR="00A9307A">
        <w:t>rate of return is accepted, it is possible to calculate the target value for the fund.</w:t>
      </w:r>
      <w:r w:rsidR="00367BCD">
        <w:t xml:space="preserve"> For the example</w:t>
      </w:r>
      <w:r w:rsidR="00B151C0">
        <w:t xml:space="preserve"> provided in this paper </w:t>
      </w:r>
      <w:r w:rsidR="00E72D74">
        <w:t xml:space="preserve">the assumption </w:t>
      </w:r>
      <w:r w:rsidR="00E72D74" w:rsidRPr="00E72D74">
        <w:rPr>
          <w:b/>
          <w:bCs/>
          <w:i/>
          <w:iCs/>
        </w:rPr>
        <w:t>r*</w:t>
      </w:r>
      <w:r w:rsidR="00E72D74" w:rsidRPr="00E72D74">
        <w:rPr>
          <w:b/>
          <w:i/>
        </w:rPr>
        <w:t>= 2.6%</w:t>
      </w:r>
      <w:r w:rsidR="00DC531D">
        <w:rPr>
          <w:b/>
          <w:i/>
        </w:rPr>
        <w:t xml:space="preserve"> </w:t>
      </w:r>
      <w:r w:rsidR="00DC531D">
        <w:t>is used</w:t>
      </w:r>
      <w:r w:rsidR="00E72D74">
        <w:t>.</w:t>
      </w:r>
      <w:r w:rsidR="00DC531D">
        <w:t xml:space="preserve"> </w:t>
      </w:r>
    </w:p>
    <w:bookmarkEnd w:id="5"/>
    <w:p w14:paraId="23AB91EE" w14:textId="77777777" w:rsidR="004147D6" w:rsidRDefault="004147D6" w:rsidP="004147D6">
      <w:pPr>
        <w:pStyle w:val="BodyText"/>
      </w:pPr>
      <w:r w:rsidRPr="004147D6">
        <w:t xml:space="preserve">Target value for the fund at </w:t>
      </w:r>
      <w:r w:rsidR="008472E3">
        <w:t xml:space="preserve">the period </w:t>
      </w:r>
      <w:r w:rsidRPr="004147D6">
        <w:t>T can be derived by:</w:t>
      </w:r>
    </w:p>
    <w:p w14:paraId="080A21F2" w14:textId="77777777" w:rsidR="00AB4222" w:rsidRDefault="00AB4222" w:rsidP="004147D6">
      <w:pPr>
        <w:pStyle w:val="BodyText"/>
      </w:pPr>
    </w:p>
    <w:p w14:paraId="07C4E329" w14:textId="77777777" w:rsidR="00AB4222" w:rsidRPr="00596ACA" w:rsidRDefault="00AB4222" w:rsidP="00AB4222">
      <w:pPr>
        <w:pStyle w:val="ListNumbered"/>
        <w:numPr>
          <w:ilvl w:val="0"/>
          <w:numId w:val="40"/>
        </w:numPr>
      </w:pPr>
      <w:r w:rsidRPr="00AB4222">
        <w:t>Estimating ‘overnight’ cost profile of ‘back end’ expenditures</w:t>
      </w:r>
      <w:r>
        <w:t xml:space="preserve">, </w:t>
      </w:r>
      <w:r w:rsidRPr="00AB4222">
        <w:t>e.g. SNF disposal</w:t>
      </w:r>
      <w:r>
        <w:t>.</w:t>
      </w:r>
    </w:p>
    <w:p w14:paraId="274B4FBF" w14:textId="7164C72E" w:rsidR="00AB4222" w:rsidRDefault="00AB4222" w:rsidP="00AB4222">
      <w:pPr>
        <w:pStyle w:val="ListNumbered"/>
      </w:pPr>
      <w:r w:rsidRPr="00AB4222">
        <w:t>Discounting cost profile back to first expenditure period (i.e.</w:t>
      </w:r>
      <w:r w:rsidR="000E4FD2">
        <w:t>,</w:t>
      </w:r>
      <w:r w:rsidRPr="00AB4222">
        <w:t xml:space="preserve"> back to T+1) using discount rate</w:t>
      </w:r>
      <w:r>
        <w:t>.</w:t>
      </w:r>
    </w:p>
    <w:p w14:paraId="0F3F208A" w14:textId="77777777" w:rsidR="00162A84" w:rsidRDefault="00162A84" w:rsidP="00162A84">
      <w:pPr>
        <w:pStyle w:val="ListNumbered"/>
        <w:numPr>
          <w:ilvl w:val="0"/>
          <w:numId w:val="0"/>
        </w:numPr>
      </w:pPr>
    </w:p>
    <w:p w14:paraId="03D012EC" w14:textId="0EFE07F1" w:rsidR="009A72CA" w:rsidRDefault="00945FB1" w:rsidP="00F93CF9">
      <w:pPr>
        <w:pStyle w:val="ListNumbered"/>
        <w:numPr>
          <w:ilvl w:val="0"/>
          <w:numId w:val="0"/>
        </w:numPr>
        <w:ind w:firstLine="567"/>
      </w:pPr>
      <w:r w:rsidRPr="00945FB1">
        <w:fldChar w:fldCharType="begin"/>
      </w:r>
      <w:r w:rsidRPr="00945FB1">
        <w:instrText xml:space="preserve"> REF _Ref8034689 </w:instrText>
      </w:r>
      <w:r w:rsidRPr="00AF7704">
        <w:instrText xml:space="preserve"> \* MERGEFORMAT </w:instrText>
      </w:r>
      <w:r w:rsidRPr="00945FB1">
        <w:fldChar w:fldCharType="separate"/>
      </w:r>
      <w:r w:rsidR="001B5DD0" w:rsidRPr="001B5DD0">
        <w:t>F</w:t>
      </w:r>
      <w:r w:rsidR="00625CC8">
        <w:t>ig</w:t>
      </w:r>
      <w:r w:rsidR="001B5DD0" w:rsidRPr="00AF7704">
        <w:t>.</w:t>
      </w:r>
      <w:r w:rsidR="001B5DD0" w:rsidRPr="001B5DD0">
        <w:t xml:space="preserve"> </w:t>
      </w:r>
      <w:r w:rsidR="001B5DD0" w:rsidRPr="00AF7704">
        <w:rPr>
          <w:noProof/>
        </w:rPr>
        <w:t>3</w:t>
      </w:r>
      <w:r w:rsidRPr="00945FB1">
        <w:fldChar w:fldCharType="end"/>
      </w:r>
      <w:r w:rsidR="009A72CA" w:rsidRPr="00945FB1">
        <w:t xml:space="preserve"> illustrates</w:t>
      </w:r>
      <w:r w:rsidR="009A72CA">
        <w:t xml:space="preserve"> this approach:</w:t>
      </w:r>
      <w:r w:rsidR="004901DF">
        <w:t xml:space="preserve"> the total amount of spending over 150 years of SNF management programme</w:t>
      </w:r>
      <w:r w:rsidR="0019240E">
        <w:t xml:space="preserve"> is not </w:t>
      </w:r>
      <w:r w:rsidR="00242D0D">
        <w:t xml:space="preserve">a simple </w:t>
      </w:r>
      <w:r w:rsidR="0019240E">
        <w:t>add</w:t>
      </w:r>
      <w:r w:rsidR="00242D0D">
        <w:t>ition of expend</w:t>
      </w:r>
      <w:r w:rsidR="000109FD">
        <w:t>iture</w:t>
      </w:r>
      <w:r w:rsidR="0019240E">
        <w:t xml:space="preserve"> as the funds being spent for the SNF management programme</w:t>
      </w:r>
      <w:r w:rsidR="000109FD">
        <w:t xml:space="preserve"> are being used over 150 years</w:t>
      </w:r>
      <w:r w:rsidR="008472E3">
        <w:t>, i.e. not a cumulative value</w:t>
      </w:r>
      <w:r w:rsidR="004E1F28">
        <w:t xml:space="preserve"> of </w:t>
      </w:r>
      <w:r w:rsidR="004E1F28" w:rsidRPr="00CD20D3">
        <w:t>$</w:t>
      </w:r>
      <w:r w:rsidR="004E1F28">
        <w:t>1</w:t>
      </w:r>
      <w:r w:rsidR="004E1F28" w:rsidRPr="00CD20D3">
        <w:t>8B</w:t>
      </w:r>
      <w:r w:rsidR="004E1F28">
        <w:t xml:space="preserve"> from </w:t>
      </w:r>
      <w:r w:rsidR="004958F2">
        <w:fldChar w:fldCharType="begin"/>
      </w:r>
      <w:r w:rsidR="004958F2">
        <w:instrText xml:space="preserve"> REF _Ref8031152  \* MERGEFORMAT </w:instrText>
      </w:r>
      <w:r w:rsidR="004958F2">
        <w:fldChar w:fldCharType="separate"/>
      </w:r>
      <w:r w:rsidR="001B5DD0" w:rsidRPr="00AF7704">
        <w:t>F</w:t>
      </w:r>
      <w:r w:rsidR="00625CC8">
        <w:t>ig</w:t>
      </w:r>
      <w:r w:rsidR="001B5DD0" w:rsidRPr="00AF7704">
        <w:t xml:space="preserve">. </w:t>
      </w:r>
      <w:r w:rsidR="001B5DD0" w:rsidRPr="00AF7704">
        <w:rPr>
          <w:noProof/>
        </w:rPr>
        <w:t>2</w:t>
      </w:r>
      <w:r w:rsidR="004958F2">
        <w:rPr>
          <w:noProof/>
        </w:rPr>
        <w:fldChar w:fldCharType="end"/>
      </w:r>
      <w:r w:rsidR="000109FD">
        <w:t xml:space="preserve">. </w:t>
      </w:r>
      <w:r w:rsidR="00BE3BED">
        <w:t xml:space="preserve">The actual amount of funds needed </w:t>
      </w:r>
      <w:r w:rsidR="004E1F28">
        <w:t xml:space="preserve">to fund the programme </w:t>
      </w:r>
      <w:r w:rsidR="00BE3BED">
        <w:t>will</w:t>
      </w:r>
      <w:r w:rsidR="00946BFF">
        <w:t xml:space="preserve"> be</w:t>
      </w:r>
      <w:r w:rsidR="00C139CC">
        <w:t xml:space="preserve"> the addition of the value of expenditure by years</w:t>
      </w:r>
      <w:r w:rsidR="000D44C5">
        <w:t xml:space="preserve"> discounted to the moment of the power plant EOL</w:t>
      </w:r>
      <w:r w:rsidR="00C139CC">
        <w:t>, i.e.</w:t>
      </w:r>
      <w:r w:rsidR="00527A96">
        <w:t xml:space="preserve"> </w:t>
      </w:r>
      <w:r w:rsidR="000D44C5">
        <w:t xml:space="preserve">year 60. </w:t>
      </w:r>
      <w:r w:rsidR="00256035">
        <w:t xml:space="preserve">Discounting normalizes </w:t>
      </w:r>
      <w:r w:rsidR="008707A8">
        <w:t xml:space="preserve">the </w:t>
      </w:r>
      <w:r w:rsidR="00FE4E9C">
        <w:t>spending</w:t>
      </w:r>
      <w:r w:rsidR="00256035">
        <w:t xml:space="preserve"> and makes</w:t>
      </w:r>
      <w:r w:rsidR="000B2AB1">
        <w:t xml:space="preserve"> </w:t>
      </w:r>
      <w:r w:rsidR="00FE4E9C">
        <w:t>expenditure that will be made in different years</w:t>
      </w:r>
      <w:r w:rsidR="0073660D">
        <w:t xml:space="preserve"> comparable</w:t>
      </w:r>
      <w:r w:rsidR="00FE4E9C">
        <w:t>. Taking out the time component</w:t>
      </w:r>
      <w:r w:rsidR="0073660D">
        <w:t xml:space="preserve"> allow</w:t>
      </w:r>
      <w:r w:rsidR="00D135A6">
        <w:t>s</w:t>
      </w:r>
      <w:r w:rsidR="0073660D">
        <w:t xml:space="preserve"> </w:t>
      </w:r>
      <w:r w:rsidR="00D135A6">
        <w:t xml:space="preserve">obtaining the total amount of funds </w:t>
      </w:r>
      <w:r w:rsidR="00322865">
        <w:t xml:space="preserve">that will </w:t>
      </w:r>
      <w:r w:rsidR="000D776F">
        <w:t>be needed by</w:t>
      </w:r>
      <w:r w:rsidR="00322865">
        <w:t xml:space="preserve"> the </w:t>
      </w:r>
      <w:r>
        <w:t>NPP</w:t>
      </w:r>
      <w:r w:rsidR="00322865">
        <w:t xml:space="preserve"> EOL. </w:t>
      </w:r>
      <w:r w:rsidR="00D75588">
        <w:t>This amount (</w:t>
      </w:r>
      <w:r w:rsidR="00CD20D3">
        <w:t xml:space="preserve">in example </w:t>
      </w:r>
      <w:r w:rsidR="00351906" w:rsidRPr="00625CC8">
        <w:t xml:space="preserve">provided in </w:t>
      </w:r>
      <w:r w:rsidR="004958F2">
        <w:fldChar w:fldCharType="begin"/>
      </w:r>
      <w:r w:rsidR="004958F2">
        <w:instrText xml:space="preserve"> REF _Ref8034689  \* MERGEFORMAT </w:instrText>
      </w:r>
      <w:r w:rsidR="004958F2">
        <w:fldChar w:fldCharType="separate"/>
      </w:r>
      <w:r w:rsidR="001B5DD0" w:rsidRPr="00625CC8">
        <w:t>F</w:t>
      </w:r>
      <w:r w:rsidR="00625CC8" w:rsidRPr="00625CC8">
        <w:t>ig.</w:t>
      </w:r>
      <w:r w:rsidR="001B5DD0" w:rsidRPr="00625CC8">
        <w:t xml:space="preserve"> </w:t>
      </w:r>
      <w:r w:rsidR="001B5DD0" w:rsidRPr="00AF7704">
        <w:t>3</w:t>
      </w:r>
      <w:r w:rsidR="004958F2">
        <w:fldChar w:fldCharType="end"/>
      </w:r>
      <w:r w:rsidR="00351906">
        <w:t xml:space="preserve"> </w:t>
      </w:r>
      <w:r w:rsidR="006B527D" w:rsidRPr="00756CA0">
        <w:t>–</w:t>
      </w:r>
      <w:r w:rsidR="00351906">
        <w:t xml:space="preserve"> </w:t>
      </w:r>
      <w:r w:rsidR="00CD20D3" w:rsidRPr="00CD20D3">
        <w:t>$6.8B</w:t>
      </w:r>
      <w:r w:rsidR="00351906">
        <w:t>)</w:t>
      </w:r>
      <w:r w:rsidR="006B4C04">
        <w:t xml:space="preserve"> should be enough to fund the </w:t>
      </w:r>
      <w:r w:rsidR="00CF2FF5">
        <w:t>SNF management programme given the assumptions that:</w:t>
      </w:r>
    </w:p>
    <w:p w14:paraId="60729178" w14:textId="77777777" w:rsidR="00AB4222" w:rsidRDefault="00AB4222" w:rsidP="004147D6">
      <w:pPr>
        <w:pStyle w:val="BodyText"/>
      </w:pPr>
    </w:p>
    <w:p w14:paraId="2643891A" w14:textId="77777777" w:rsidR="00CF2FF5" w:rsidRPr="00596ACA" w:rsidRDefault="00DE2EF0" w:rsidP="00CF2FF5">
      <w:pPr>
        <w:pStyle w:val="ListNumbered"/>
        <w:numPr>
          <w:ilvl w:val="0"/>
          <w:numId w:val="41"/>
        </w:numPr>
      </w:pPr>
      <w:r>
        <w:t xml:space="preserve">Fund returns will </w:t>
      </w:r>
      <w:r w:rsidR="00B05A43">
        <w:t xml:space="preserve">remain not lower than discounting rate </w:t>
      </w:r>
      <w:r w:rsidR="005740BA">
        <w:t>used to obtain the target value of the fund</w:t>
      </w:r>
      <w:r w:rsidR="0026423B">
        <w:t>, which is</w:t>
      </w:r>
      <w:r w:rsidR="005740BA">
        <w:t xml:space="preserve"> the sum of </w:t>
      </w:r>
      <w:r w:rsidR="00ED2D9A">
        <w:t>PVs of expenditures over the whole period of programme implementation</w:t>
      </w:r>
      <w:r w:rsidR="0026423B">
        <w:t xml:space="preserve"> at the power plant EOL</w:t>
      </w:r>
      <w:r w:rsidR="00CF2FF5">
        <w:t>.</w:t>
      </w:r>
    </w:p>
    <w:p w14:paraId="07EF827D" w14:textId="77777777" w:rsidR="00CF2FF5" w:rsidRDefault="003F2F11" w:rsidP="00CF2FF5">
      <w:pPr>
        <w:pStyle w:val="ListNumbered"/>
      </w:pPr>
      <w:r>
        <w:t>Expenditure will follow the spending profile for the programme</w:t>
      </w:r>
      <w:r w:rsidR="00CF2FF5">
        <w:t>.</w:t>
      </w:r>
    </w:p>
    <w:p w14:paraId="0A6DB94C" w14:textId="77777777" w:rsidR="00CF2FF5" w:rsidRDefault="00CF2FF5" w:rsidP="004147D6">
      <w:pPr>
        <w:pStyle w:val="BodyText"/>
      </w:pPr>
    </w:p>
    <w:p w14:paraId="2E6A61D1" w14:textId="77777777" w:rsidR="0006048D" w:rsidRDefault="0004127B" w:rsidP="006B527D">
      <w:pPr>
        <w:pStyle w:val="BodyText"/>
        <w:keepNext/>
      </w:pPr>
      <w:r>
        <w:rPr>
          <w:noProof/>
        </w:rPr>
        <w:drawing>
          <wp:inline distT="0" distB="0" distL="0" distR="0" wp14:anchorId="29FF3FCA" wp14:editId="233174C3">
            <wp:extent cx="5721985" cy="2771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1985" cy="2771140"/>
                    </a:xfrm>
                    <a:prstGeom prst="rect">
                      <a:avLst/>
                    </a:prstGeom>
                    <a:noFill/>
                    <a:ln>
                      <a:noFill/>
                    </a:ln>
                  </pic:spPr>
                </pic:pic>
              </a:graphicData>
            </a:graphic>
          </wp:inline>
        </w:drawing>
      </w:r>
    </w:p>
    <w:p w14:paraId="3670583E" w14:textId="1832D675" w:rsidR="0023202B" w:rsidRDefault="0006048D" w:rsidP="00F703E4">
      <w:pPr>
        <w:pStyle w:val="Caption"/>
        <w:jc w:val="center"/>
        <w:rPr>
          <w:i/>
          <w:szCs w:val="18"/>
        </w:rPr>
      </w:pPr>
      <w:bookmarkStart w:id="6" w:name="_Ref8034689"/>
      <w:r w:rsidRPr="006B527D">
        <w:rPr>
          <w:i/>
          <w:szCs w:val="18"/>
        </w:rPr>
        <w:t>F</w:t>
      </w:r>
      <w:r>
        <w:rPr>
          <w:i/>
          <w:szCs w:val="18"/>
        </w:rPr>
        <w:t>IG.</w:t>
      </w:r>
      <w:r w:rsidRPr="006B527D">
        <w:rPr>
          <w:i/>
          <w:szCs w:val="18"/>
        </w:rPr>
        <w:t xml:space="preserve"> </w:t>
      </w:r>
      <w:r w:rsidRPr="006B527D">
        <w:rPr>
          <w:i/>
          <w:szCs w:val="18"/>
        </w:rPr>
        <w:fldChar w:fldCharType="begin"/>
      </w:r>
      <w:r w:rsidRPr="006B527D">
        <w:rPr>
          <w:i/>
          <w:szCs w:val="18"/>
        </w:rPr>
        <w:instrText xml:space="preserve"> SEQ Figure \* ARABIC </w:instrText>
      </w:r>
      <w:r w:rsidRPr="006B527D">
        <w:rPr>
          <w:i/>
          <w:szCs w:val="18"/>
        </w:rPr>
        <w:fldChar w:fldCharType="separate"/>
      </w:r>
      <w:r w:rsidR="000F73B5">
        <w:rPr>
          <w:i/>
          <w:noProof/>
          <w:szCs w:val="18"/>
        </w:rPr>
        <w:t>3</w:t>
      </w:r>
      <w:r w:rsidRPr="006B527D">
        <w:rPr>
          <w:i/>
          <w:szCs w:val="18"/>
        </w:rPr>
        <w:fldChar w:fldCharType="end"/>
      </w:r>
      <w:bookmarkEnd w:id="6"/>
      <w:r>
        <w:rPr>
          <w:i/>
          <w:szCs w:val="18"/>
        </w:rPr>
        <w:t xml:space="preserve">. </w:t>
      </w:r>
      <w:r w:rsidRPr="006B527D">
        <w:rPr>
          <w:i/>
          <w:szCs w:val="18"/>
        </w:rPr>
        <w:t xml:space="preserve"> Calculating Present Value of Adaptive Phased Management (APM) spending for Decommissioning and SNF management </w:t>
      </w:r>
      <w:proofErr w:type="spellStart"/>
      <w:r w:rsidRPr="006B527D">
        <w:rPr>
          <w:i/>
          <w:szCs w:val="18"/>
        </w:rPr>
        <w:t>programme</w:t>
      </w:r>
      <w:proofErr w:type="spellEnd"/>
      <w:r w:rsidRPr="006B527D">
        <w:rPr>
          <w:i/>
          <w:szCs w:val="18"/>
        </w:rPr>
        <w:t>.</w:t>
      </w:r>
    </w:p>
    <w:p w14:paraId="715A028E" w14:textId="77777777" w:rsidR="000E4FD2" w:rsidRPr="00820940" w:rsidRDefault="000E4FD2" w:rsidP="00820940">
      <w:pPr>
        <w:rPr>
          <w:lang w:val="en-US"/>
        </w:rPr>
      </w:pPr>
    </w:p>
    <w:p w14:paraId="0EF60331" w14:textId="77777777" w:rsidR="000E1584" w:rsidRDefault="000E1584" w:rsidP="002F41FF">
      <w:pPr>
        <w:pStyle w:val="Heading2"/>
        <w:numPr>
          <w:ilvl w:val="1"/>
          <w:numId w:val="10"/>
        </w:numPr>
      </w:pPr>
      <w:bookmarkStart w:id="7" w:name="_Ref8035721"/>
      <w:r>
        <w:t xml:space="preserve">ONE-OFF AND ONGOING CONTRIBUTIONS TO </w:t>
      </w:r>
      <w:r w:rsidR="002F41FF">
        <w:t>FUND</w:t>
      </w:r>
      <w:bookmarkEnd w:id="7"/>
      <w:r>
        <w:t xml:space="preserve"> </w:t>
      </w:r>
    </w:p>
    <w:p w14:paraId="0EE518EA" w14:textId="2BCF710D" w:rsidR="004147D6" w:rsidRDefault="00935D26" w:rsidP="00935D26">
      <w:pPr>
        <w:pStyle w:val="BodyText"/>
      </w:pPr>
      <w:r w:rsidRPr="00935D26">
        <w:t>If an expenditure is to take place in T periods (e.g.</w:t>
      </w:r>
      <w:r w:rsidR="00C74379">
        <w:t>,</w:t>
      </w:r>
      <w:r w:rsidRPr="00935D26">
        <w:t xml:space="preserve"> </w:t>
      </w:r>
      <w:r w:rsidR="00E87658">
        <w:t>SNF disposal programme</w:t>
      </w:r>
      <w:r w:rsidRPr="00935D26">
        <w:t xml:space="preserve">) then discounting it (taking its PV) at </w:t>
      </w:r>
      <w:r w:rsidRPr="00603A13">
        <w:rPr>
          <w:b/>
          <w:i/>
        </w:rPr>
        <w:t>r*</w:t>
      </w:r>
      <w:r w:rsidRPr="00935D26">
        <w:t xml:space="preserve"> yields the one-off lump sum amount to be deposited in a (segregated) fund today to ensure the availability of funds to meet that expenditure when it falls due</w:t>
      </w:r>
      <w:r w:rsidR="00625511">
        <w:t>. The assumption here</w:t>
      </w:r>
      <w:r w:rsidR="00603A13">
        <w:t xml:space="preserve"> again</w:t>
      </w:r>
      <w:r w:rsidR="00625511">
        <w:t xml:space="preserve"> is that</w:t>
      </w:r>
      <w:r w:rsidRPr="00935D26">
        <w:t xml:space="preserve"> </w:t>
      </w:r>
      <w:r w:rsidRPr="00B3589D">
        <w:rPr>
          <w:b/>
          <w:i/>
        </w:rPr>
        <w:t>r*</w:t>
      </w:r>
      <w:r w:rsidRPr="00935D26">
        <w:t xml:space="preserve"> will be met</w:t>
      </w:r>
      <w:r w:rsidR="00B3589D">
        <w:t xml:space="preserve"> over the period of NPP operation and implementation of the </w:t>
      </w:r>
      <w:r w:rsidR="00B3589D" w:rsidRPr="00B3589D">
        <w:t xml:space="preserve">SNF </w:t>
      </w:r>
      <w:r w:rsidR="00450473">
        <w:t xml:space="preserve">disposal </w:t>
      </w:r>
      <w:r w:rsidR="00B3589D" w:rsidRPr="00B3589D">
        <w:t>programme</w:t>
      </w:r>
      <w:r w:rsidR="00B3589D">
        <w:t>.</w:t>
      </w:r>
      <w:r w:rsidR="00C7334E">
        <w:t xml:space="preserve"> Specifically, </w:t>
      </w:r>
      <w:r w:rsidR="005B6D36">
        <w:t xml:space="preserve">to accumulate </w:t>
      </w:r>
      <w:r w:rsidR="005B6D36" w:rsidRPr="00CD20D3">
        <w:lastRenderedPageBreak/>
        <w:t>$6.8B</w:t>
      </w:r>
      <w:r w:rsidR="005B6D36">
        <w:t xml:space="preserve"> by the NPP EOL</w:t>
      </w:r>
      <w:r w:rsidR="00851C00">
        <w:t xml:space="preserve"> (60 years in future)</w:t>
      </w:r>
      <w:r w:rsidR="005B6D36">
        <w:t xml:space="preserve"> that will be enough to fund cumulative spending </w:t>
      </w:r>
      <w:r w:rsidR="00851C00">
        <w:t xml:space="preserve">of </w:t>
      </w:r>
      <w:r w:rsidR="00851C00" w:rsidRPr="00CD20D3">
        <w:t>$</w:t>
      </w:r>
      <w:r w:rsidR="00851C00">
        <w:t>1</w:t>
      </w:r>
      <w:r w:rsidR="00851C00" w:rsidRPr="00CD20D3">
        <w:t>8B</w:t>
      </w:r>
      <w:r w:rsidR="00851C00">
        <w:t xml:space="preserve"> over 150 years (i.e., till the year 210 in future) </w:t>
      </w:r>
      <w:r w:rsidR="005B6D36">
        <w:t>with</w:t>
      </w:r>
      <w:r w:rsidR="00475DB3">
        <w:t xml:space="preserve"> assumption that</w:t>
      </w:r>
      <w:r w:rsidR="005B6D36">
        <w:t xml:space="preserve"> </w:t>
      </w:r>
      <w:r w:rsidR="005B6D36" w:rsidRPr="00E72D74">
        <w:rPr>
          <w:b/>
          <w:bCs/>
          <w:i/>
          <w:iCs/>
        </w:rPr>
        <w:t>r*</w:t>
      </w:r>
      <w:r w:rsidR="005B6D36" w:rsidRPr="00E72D74">
        <w:rPr>
          <w:b/>
          <w:i/>
        </w:rPr>
        <w:t>= 2.6%</w:t>
      </w:r>
      <w:r w:rsidR="005B6D36">
        <w:rPr>
          <w:b/>
          <w:i/>
        </w:rPr>
        <w:t xml:space="preserve"> </w:t>
      </w:r>
      <w:r w:rsidR="00475DB3">
        <w:t xml:space="preserve">over the whole period, it is enough to put in the fund </w:t>
      </w:r>
      <w:r w:rsidR="00475DB3" w:rsidRPr="00CD20D3">
        <w:t>$</w:t>
      </w:r>
      <w:r w:rsidR="00475DB3">
        <w:t>1</w:t>
      </w:r>
      <w:r w:rsidR="00475DB3" w:rsidRPr="00CD20D3">
        <w:t>.</w:t>
      </w:r>
      <w:r w:rsidR="00475DB3">
        <w:t>497</w:t>
      </w:r>
      <w:r w:rsidR="00475DB3" w:rsidRPr="00CD20D3">
        <w:t>B</w:t>
      </w:r>
      <w:r w:rsidR="00475DB3">
        <w:t xml:space="preserve"> in the beginning of NPP operation (see Fig.</w:t>
      </w:r>
      <w:r w:rsidR="00D62D52">
        <w:t xml:space="preserve"> 4</w:t>
      </w:r>
      <w:r w:rsidR="00475DB3">
        <w:t xml:space="preserve">). With the constant rate of return this amount will increase </w:t>
      </w:r>
      <w:r w:rsidR="00FA32E3">
        <w:t xml:space="preserve">to </w:t>
      </w:r>
      <w:r w:rsidR="00FA32E3" w:rsidRPr="00CD20D3">
        <w:t>$</w:t>
      </w:r>
      <w:r w:rsidR="00FA32E3">
        <w:t>4</w:t>
      </w:r>
      <w:r w:rsidR="00FA32E3" w:rsidRPr="00CD20D3">
        <w:t>.</w:t>
      </w:r>
      <w:r w:rsidR="00FA32E3">
        <w:t>513</w:t>
      </w:r>
      <w:r w:rsidR="00FA32E3" w:rsidRPr="00CD20D3">
        <w:t>B</w:t>
      </w:r>
      <w:r w:rsidR="00FA32E3">
        <w:t xml:space="preserve"> in year</w:t>
      </w:r>
      <w:r w:rsidR="009915F8">
        <w:t xml:space="preserve"> 44</w:t>
      </w:r>
      <w:r w:rsidR="00FA32E3">
        <w:t xml:space="preserve"> since the NPP commissioning, </w:t>
      </w:r>
      <w:r w:rsidR="00FA32E3" w:rsidRPr="00CD20D3">
        <w:t>$</w:t>
      </w:r>
      <w:r w:rsidR="00FA32E3">
        <w:t>5</w:t>
      </w:r>
      <w:r w:rsidR="00FA32E3" w:rsidRPr="00CD20D3">
        <w:t>.</w:t>
      </w:r>
      <w:r w:rsidR="00FA32E3">
        <w:t>402</w:t>
      </w:r>
      <w:r w:rsidR="00FA32E3" w:rsidRPr="00CD20D3">
        <w:t>B</w:t>
      </w:r>
      <w:r w:rsidR="0092765C">
        <w:t xml:space="preserve"> in year</w:t>
      </w:r>
      <w:r w:rsidR="009915F8">
        <w:t xml:space="preserve"> 51</w:t>
      </w:r>
      <w:r w:rsidR="0092765C">
        <w:t xml:space="preserve"> and will reach required </w:t>
      </w:r>
      <w:r w:rsidR="0092765C" w:rsidRPr="00CD20D3">
        <w:t>$</w:t>
      </w:r>
      <w:r w:rsidR="0092765C">
        <w:t>6</w:t>
      </w:r>
      <w:r w:rsidR="0092765C" w:rsidRPr="00CD20D3">
        <w:t>.</w:t>
      </w:r>
      <w:r w:rsidR="0092765C">
        <w:t>8</w:t>
      </w:r>
      <w:r w:rsidR="0092765C" w:rsidRPr="00CD20D3">
        <w:t>B</w:t>
      </w:r>
      <w:r w:rsidR="0092765C">
        <w:t xml:space="preserve"> in year 60.</w:t>
      </w:r>
    </w:p>
    <w:p w14:paraId="05F97FA2" w14:textId="77777777" w:rsidR="00C7334E" w:rsidRDefault="00C7334E" w:rsidP="00935D26">
      <w:pPr>
        <w:pStyle w:val="BodyText"/>
      </w:pPr>
    </w:p>
    <w:p w14:paraId="4FA22D49" w14:textId="77777777" w:rsidR="00945FB1" w:rsidRDefault="00B078DB" w:rsidP="00290AA5">
      <w:pPr>
        <w:pStyle w:val="BodyText"/>
        <w:keepNext/>
        <w:ind w:firstLine="0"/>
      </w:pPr>
      <w:r>
        <w:rPr>
          <w:noProof/>
        </w:rPr>
        <w:drawing>
          <wp:inline distT="0" distB="0" distL="0" distR="0" wp14:anchorId="327CA5F9" wp14:editId="68E9D223">
            <wp:extent cx="5723890" cy="30105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3890" cy="3010535"/>
                    </a:xfrm>
                    <a:prstGeom prst="rect">
                      <a:avLst/>
                    </a:prstGeom>
                    <a:noFill/>
                    <a:ln>
                      <a:noFill/>
                    </a:ln>
                  </pic:spPr>
                </pic:pic>
              </a:graphicData>
            </a:graphic>
          </wp:inline>
        </w:drawing>
      </w:r>
    </w:p>
    <w:p w14:paraId="1BB035A5" w14:textId="77777777" w:rsidR="00B078DB" w:rsidRPr="00290AA5" w:rsidRDefault="00945FB1" w:rsidP="00290AA5">
      <w:pPr>
        <w:pStyle w:val="Caption"/>
        <w:jc w:val="center"/>
        <w:rPr>
          <w:i/>
        </w:rPr>
      </w:pPr>
      <w:r w:rsidRPr="00290AA5">
        <w:rPr>
          <w:i/>
        </w:rPr>
        <w:t xml:space="preserve">FIG. </w:t>
      </w:r>
      <w:r w:rsidRPr="00290AA5">
        <w:rPr>
          <w:i/>
        </w:rPr>
        <w:fldChar w:fldCharType="begin"/>
      </w:r>
      <w:r w:rsidRPr="00290AA5">
        <w:rPr>
          <w:i/>
        </w:rPr>
        <w:instrText xml:space="preserve"> SEQ Figure \* ARABIC </w:instrText>
      </w:r>
      <w:r w:rsidRPr="00290AA5">
        <w:rPr>
          <w:i/>
        </w:rPr>
        <w:fldChar w:fldCharType="separate"/>
      </w:r>
      <w:r w:rsidR="000F73B5">
        <w:rPr>
          <w:i/>
          <w:noProof/>
        </w:rPr>
        <w:t>4</w:t>
      </w:r>
      <w:r w:rsidRPr="00290AA5">
        <w:rPr>
          <w:i/>
        </w:rPr>
        <w:fldChar w:fldCharType="end"/>
      </w:r>
      <w:r w:rsidRPr="00290AA5">
        <w:rPr>
          <w:i/>
        </w:rPr>
        <w:t xml:space="preserve"> Discounting for a lump sum contribution</w:t>
      </w:r>
    </w:p>
    <w:p w14:paraId="5206B28A" w14:textId="37422D7A" w:rsidR="00B078DB" w:rsidRDefault="00B078DB" w:rsidP="00B078DB">
      <w:pPr>
        <w:pStyle w:val="BodyText"/>
        <w:ind w:firstLine="0"/>
      </w:pPr>
    </w:p>
    <w:p w14:paraId="3F640659" w14:textId="0B9DC01D" w:rsidR="00AB1633" w:rsidRDefault="0092765C" w:rsidP="00AB1633">
      <w:pPr>
        <w:pStyle w:val="BodyText"/>
      </w:pPr>
      <w:r>
        <w:t>However, t</w:t>
      </w:r>
      <w:r w:rsidR="00AE7BDC" w:rsidRPr="00AE7BDC">
        <w:t>his “one-off funding” is not typical</w:t>
      </w:r>
      <w:r>
        <w:t xml:space="preserve"> as it requires investment</w:t>
      </w:r>
      <w:r w:rsidR="005B75AE">
        <w:t xml:space="preserve"> before the NPP is commissioned and starts generating revenue</w:t>
      </w:r>
      <w:r w:rsidR="006F3DED">
        <w:t xml:space="preserve">. </w:t>
      </w:r>
      <w:r w:rsidR="008D3625">
        <w:t>A m</w:t>
      </w:r>
      <w:r w:rsidR="006F3DED" w:rsidRPr="006F3DED">
        <w:t>ore typical</w:t>
      </w:r>
      <w:r w:rsidR="005B75AE">
        <w:t xml:space="preserve"> </w:t>
      </w:r>
      <w:r w:rsidR="008D3625">
        <w:t>arrangement</w:t>
      </w:r>
      <w:r w:rsidR="005B75AE">
        <w:t xml:space="preserve"> is</w:t>
      </w:r>
      <w:r w:rsidR="006F3DED" w:rsidRPr="006F3DED">
        <w:t xml:space="preserve"> </w:t>
      </w:r>
      <w:r w:rsidR="008D3625">
        <w:t xml:space="preserve">one of </w:t>
      </w:r>
      <w:r w:rsidR="006F3DED" w:rsidRPr="006F3DED">
        <w:t xml:space="preserve">“ongoing funding” </w:t>
      </w:r>
      <w:r w:rsidR="006F3DED" w:rsidRPr="00956FCE">
        <w:rPr>
          <w:i/>
        </w:rPr>
        <w:t>via</w:t>
      </w:r>
      <w:r w:rsidR="006F3DED" w:rsidRPr="006F3DED">
        <w:t xml:space="preserve"> a stream of contributions from station generation revenues over 60 years</w:t>
      </w:r>
      <w:r w:rsidR="006F3DED">
        <w:t xml:space="preserve">. </w:t>
      </w:r>
      <w:r w:rsidR="00AB1633">
        <w:t>For this strategy there are t</w:t>
      </w:r>
      <w:r w:rsidR="00AB1633" w:rsidRPr="00AB1633">
        <w:t>wo drivers of fund accumulation</w:t>
      </w:r>
      <w:r w:rsidR="00AB1633">
        <w:t>,</w:t>
      </w:r>
      <w:r w:rsidR="00AB1633" w:rsidRPr="00AB1633">
        <w:t xml:space="preserve"> both </w:t>
      </w:r>
      <w:r w:rsidR="00AB1633">
        <w:t xml:space="preserve">being </w:t>
      </w:r>
      <w:r w:rsidR="00AB1633" w:rsidRPr="00AB1633">
        <w:t>subject to risk:</w:t>
      </w:r>
    </w:p>
    <w:p w14:paraId="7B5461EA" w14:textId="77777777" w:rsidR="008130C8" w:rsidRDefault="008130C8" w:rsidP="00AB1633">
      <w:pPr>
        <w:pStyle w:val="BodyText"/>
      </w:pPr>
    </w:p>
    <w:p w14:paraId="6F3D4930" w14:textId="77777777" w:rsidR="008130C8" w:rsidRPr="00596ACA" w:rsidRDefault="00905A9E" w:rsidP="008130C8">
      <w:pPr>
        <w:pStyle w:val="ListNumbered"/>
        <w:numPr>
          <w:ilvl w:val="0"/>
          <w:numId w:val="36"/>
        </w:numPr>
      </w:pPr>
      <w:r w:rsidRPr="00AB1633">
        <w:t>Contributions</w:t>
      </w:r>
      <w:r w:rsidR="008130C8">
        <w:t>.</w:t>
      </w:r>
    </w:p>
    <w:p w14:paraId="1D2DA7F5" w14:textId="77777777" w:rsidR="008130C8" w:rsidRPr="00596ACA" w:rsidRDefault="00905A9E" w:rsidP="008130C8">
      <w:pPr>
        <w:pStyle w:val="BodyText"/>
        <w:numPr>
          <w:ilvl w:val="0"/>
          <w:numId w:val="24"/>
        </w:numPr>
        <w:ind w:left="1134" w:hanging="371"/>
      </w:pPr>
      <w:r w:rsidRPr="00AB1633">
        <w:t>Fixed amount or $/MWh-based contribution scheme</w:t>
      </w:r>
      <w:r w:rsidR="008130C8" w:rsidRPr="00596ACA">
        <w:t>;</w:t>
      </w:r>
    </w:p>
    <w:p w14:paraId="7B911CAB" w14:textId="3DDFD8D3" w:rsidR="008130C8" w:rsidRPr="00596ACA" w:rsidRDefault="00905A9E" w:rsidP="008130C8">
      <w:pPr>
        <w:pStyle w:val="BodyText"/>
        <w:numPr>
          <w:ilvl w:val="0"/>
          <w:numId w:val="24"/>
        </w:numPr>
        <w:ind w:left="1134" w:hanging="371"/>
      </w:pPr>
      <w:r w:rsidRPr="00AB1633">
        <w:t>Risks: (1) premature shutdown and/or operator bankruptcy; (2) lower than expected output</w:t>
      </w:r>
      <w:r w:rsidRPr="00596ACA">
        <w:t>.</w:t>
      </w:r>
      <w:r>
        <w:t xml:space="preserve"> </w:t>
      </w:r>
      <w:r w:rsidRPr="00AB1633">
        <w:t>Number (2) can be corrected during plan revisions</w:t>
      </w:r>
      <w:r w:rsidR="008130C8" w:rsidRPr="00596ACA">
        <w:t>.</w:t>
      </w:r>
    </w:p>
    <w:p w14:paraId="0905D4F2" w14:textId="77777777" w:rsidR="008130C8" w:rsidRPr="00596ACA" w:rsidRDefault="00424863" w:rsidP="008130C8">
      <w:pPr>
        <w:pStyle w:val="BodyText"/>
        <w:numPr>
          <w:ilvl w:val="0"/>
          <w:numId w:val="22"/>
        </w:numPr>
      </w:pPr>
      <w:r w:rsidRPr="00AB1633">
        <w:t>Returns</w:t>
      </w:r>
      <w:r>
        <w:t>.</w:t>
      </w:r>
    </w:p>
    <w:p w14:paraId="3FC6EF1A" w14:textId="77777777" w:rsidR="008455C6" w:rsidRDefault="00D15197" w:rsidP="008455C6">
      <w:pPr>
        <w:pStyle w:val="BodyText"/>
        <w:numPr>
          <w:ilvl w:val="0"/>
          <w:numId w:val="37"/>
        </w:numPr>
        <w:ind w:left="1134" w:hanging="371"/>
      </w:pPr>
      <w:r w:rsidRPr="00AB1633">
        <w:t>Risks: inadequate fund returns</w:t>
      </w:r>
      <w:r w:rsidR="008455C6" w:rsidRPr="00596ACA">
        <w:t>;</w:t>
      </w:r>
    </w:p>
    <w:p w14:paraId="4DCF9235" w14:textId="77777777" w:rsidR="008455C6" w:rsidRPr="00596ACA" w:rsidRDefault="008455C6" w:rsidP="008455C6">
      <w:pPr>
        <w:pStyle w:val="BodyText"/>
        <w:numPr>
          <w:ilvl w:val="0"/>
          <w:numId w:val="37"/>
        </w:numPr>
        <w:ind w:left="1134" w:hanging="371"/>
      </w:pPr>
      <w:r w:rsidRPr="00AB1633">
        <w:t>Risks</w:t>
      </w:r>
      <w:r w:rsidR="00D15197">
        <w:t xml:space="preserve"> c</w:t>
      </w:r>
      <w:r w:rsidR="00D15197" w:rsidRPr="00D15197">
        <w:t>an be corrected during plan revisions; asset composition of fund holdings can often lead to increased returns - at cost of more risk exposure</w:t>
      </w:r>
      <w:r w:rsidRPr="00596ACA">
        <w:t>.</w:t>
      </w:r>
    </w:p>
    <w:p w14:paraId="2F28EC52" w14:textId="77777777" w:rsidR="008455C6" w:rsidRPr="00AB1633" w:rsidRDefault="008455C6" w:rsidP="008221CE">
      <w:pPr>
        <w:pStyle w:val="BodyText"/>
        <w:ind w:left="567" w:firstLine="0"/>
      </w:pPr>
    </w:p>
    <w:p w14:paraId="4FFEE34D" w14:textId="7E241FA1" w:rsidR="00935D26" w:rsidRDefault="00197086" w:rsidP="00B8406C">
      <w:pPr>
        <w:pStyle w:val="BodyText"/>
        <w:rPr>
          <w:bCs/>
          <w:iCs/>
        </w:rPr>
      </w:pPr>
      <w:r w:rsidRPr="00B8406C">
        <w:t xml:space="preserve">One approach </w:t>
      </w:r>
      <w:r>
        <w:t xml:space="preserve">for </w:t>
      </w:r>
      <w:r w:rsidRPr="006F3DED">
        <w:t>“ongoing funding”</w:t>
      </w:r>
      <w:r>
        <w:t xml:space="preserve"> </w:t>
      </w:r>
      <w:r w:rsidRPr="00B8406C">
        <w:t>is to design a contribution schedule based on uniform (and ongoing) contributions</w:t>
      </w:r>
      <w:r w:rsidR="003D3801">
        <w:t xml:space="preserve">. </w:t>
      </w:r>
      <w:r w:rsidR="00311934">
        <w:t xml:space="preserve">To calculate these contributions the concept of the </w:t>
      </w:r>
      <w:r w:rsidR="00B8406C" w:rsidRPr="00B8406C">
        <w:t xml:space="preserve">Sinking Fund Factor (SFF) </w:t>
      </w:r>
      <w:r w:rsidR="008D3625">
        <w:t>is employed</w:t>
      </w:r>
      <w:r w:rsidR="005708AD">
        <w:t>.</w:t>
      </w:r>
      <w:r w:rsidR="0059081B">
        <w:t xml:space="preserve"> </w:t>
      </w:r>
      <w:r w:rsidR="00596FC1">
        <w:t xml:space="preserve">The </w:t>
      </w:r>
      <w:r w:rsidR="0059081B" w:rsidRPr="0059081B">
        <w:rPr>
          <w:bCs/>
        </w:rPr>
        <w:t>SFF</w:t>
      </w:r>
      <w:r w:rsidR="0059081B" w:rsidRPr="0059081B">
        <w:t xml:space="preserve"> is a factor which can be multiplied by a ‘target’ fund value</w:t>
      </w:r>
      <w:r w:rsidR="0059081B">
        <w:t xml:space="preserve"> </w:t>
      </w:r>
      <w:r w:rsidR="0059081B" w:rsidRPr="0059081B">
        <w:t xml:space="preserve">to compute the </w:t>
      </w:r>
      <w:r w:rsidR="0059081B" w:rsidRPr="0059081B">
        <w:rPr>
          <w:i/>
          <w:iCs/>
        </w:rPr>
        <w:t>uniform</w:t>
      </w:r>
      <w:r w:rsidR="0059081B" w:rsidRPr="0059081B">
        <w:t xml:space="preserve"> stream of periodic contributions needed to fund that target in </w:t>
      </w:r>
      <w:r w:rsidR="0059081B" w:rsidRPr="0059081B">
        <w:rPr>
          <w:b/>
          <w:bCs/>
          <w:i/>
          <w:iCs/>
        </w:rPr>
        <w:t>n</w:t>
      </w:r>
      <w:r w:rsidR="0059081B" w:rsidRPr="0059081B">
        <w:t xml:space="preserve"> periods if contributions earn a periodic return of </w:t>
      </w:r>
      <w:r w:rsidR="0059081B" w:rsidRPr="0059081B">
        <w:rPr>
          <w:b/>
          <w:bCs/>
          <w:i/>
          <w:iCs/>
        </w:rPr>
        <w:t>r*</w:t>
      </w:r>
      <w:r w:rsidR="002019B4">
        <w:rPr>
          <w:bCs/>
          <w:iCs/>
        </w:rPr>
        <w:t>.</w:t>
      </w:r>
      <w:r w:rsidR="0086503F">
        <w:rPr>
          <w:bCs/>
          <w:iCs/>
        </w:rPr>
        <w:t xml:space="preserve"> </w:t>
      </w:r>
      <w:r w:rsidR="00596FC1">
        <w:rPr>
          <w:bCs/>
          <w:iCs/>
        </w:rPr>
        <w:t xml:space="preserve">The </w:t>
      </w:r>
      <w:r w:rsidR="0086503F">
        <w:rPr>
          <w:bCs/>
          <w:iCs/>
        </w:rPr>
        <w:t xml:space="preserve">SFF </w:t>
      </w:r>
      <w:r w:rsidR="00596FC1">
        <w:rPr>
          <w:bCs/>
          <w:iCs/>
        </w:rPr>
        <w:t>is</w:t>
      </w:r>
      <w:r w:rsidR="0086503F">
        <w:rPr>
          <w:bCs/>
          <w:iCs/>
        </w:rPr>
        <w:t xml:space="preserve"> calculated using the following formula:</w:t>
      </w:r>
    </w:p>
    <w:p w14:paraId="0062CED4" w14:textId="77777777" w:rsidR="00A13BB6" w:rsidRPr="00804028" w:rsidRDefault="00A13BB6" w:rsidP="00A13BB6">
      <w:pPr>
        <w:pStyle w:val="BodyText"/>
        <w:rPr>
          <w:rFonts w:ascii="Cambria Math" w:hAnsi="Cambria Math"/>
        </w:rPr>
      </w:pPr>
      <m:oMathPara>
        <m:oMathParaPr>
          <m:jc m:val="left"/>
        </m:oMathParaPr>
        <m:oMath>
          <m:r>
            <m:rPr>
              <m:nor/>
            </m:rPr>
            <w:rPr>
              <w:rFonts w:ascii="Cambria Math" w:hAnsi="Cambria Math"/>
              <w:bCs/>
            </w:rPr>
            <m:t>SFF=</m:t>
          </m:r>
          <m:f>
            <m:fPr>
              <m:ctrlPr>
                <w:rPr>
                  <w:rFonts w:ascii="Cambria Math" w:hAnsi="Cambria Math"/>
                  <w:bCs/>
                  <w:iCs/>
                </w:rPr>
              </m:ctrlPr>
            </m:fPr>
            <m:num>
              <m:r>
                <m:rPr>
                  <m:nor/>
                </m:rPr>
                <w:rPr>
                  <w:rFonts w:ascii="Cambria Math" w:hAnsi="Cambria Math"/>
                  <w:bCs/>
                </w:rPr>
                <m:t>1</m:t>
              </m:r>
            </m:num>
            <m:den>
              <m:d>
                <m:dPr>
                  <m:ctrlPr>
                    <w:rPr>
                      <w:rFonts w:ascii="Cambria Math" w:hAnsi="Cambria Math"/>
                      <w:bCs/>
                      <w:iCs/>
                    </w:rPr>
                  </m:ctrlPr>
                </m:dPr>
                <m:e>
                  <m:f>
                    <m:fPr>
                      <m:ctrlPr>
                        <w:rPr>
                          <w:rFonts w:ascii="Cambria Math" w:hAnsi="Cambria Math"/>
                          <w:bCs/>
                          <w:iCs/>
                        </w:rPr>
                      </m:ctrlPr>
                    </m:fPr>
                    <m:num>
                      <m:sSup>
                        <m:sSupPr>
                          <m:ctrlPr>
                            <w:rPr>
                              <w:rFonts w:ascii="Cambria Math" w:hAnsi="Cambria Math"/>
                              <w:bCs/>
                              <w:iCs/>
                            </w:rPr>
                          </m:ctrlPr>
                        </m:sSupPr>
                        <m:e>
                          <m:d>
                            <m:dPr>
                              <m:ctrlPr>
                                <w:rPr>
                                  <w:rFonts w:ascii="Cambria Math" w:hAnsi="Cambria Math"/>
                                  <w:bCs/>
                                  <w:iCs/>
                                </w:rPr>
                              </m:ctrlPr>
                            </m:dPr>
                            <m:e>
                              <m:r>
                                <m:rPr>
                                  <m:nor/>
                                </m:rPr>
                                <w:rPr>
                                  <w:rFonts w:ascii="Cambria Math" w:hAnsi="Cambria Math"/>
                                  <w:bCs/>
                                </w:rPr>
                                <m:t>1+</m:t>
                              </m:r>
                              <m:sSup>
                                <m:sSupPr>
                                  <m:ctrlPr>
                                    <w:rPr>
                                      <w:rFonts w:ascii="Cambria Math" w:hAnsi="Cambria Math"/>
                                      <w:bCs/>
                                      <w:iCs/>
                                    </w:rPr>
                                  </m:ctrlPr>
                                </m:sSupPr>
                                <m:e>
                                  <m:r>
                                    <m:rPr>
                                      <m:nor/>
                                    </m:rPr>
                                    <w:rPr>
                                      <w:rFonts w:ascii="Cambria Math" w:hAnsi="Cambria Math"/>
                                      <w:bCs/>
                                      <w:iCs/>
                                    </w:rPr>
                                    <m:t>r</m:t>
                                  </m:r>
                                </m:e>
                                <m:sup>
                                  <m:r>
                                    <m:rPr>
                                      <m:nor/>
                                    </m:rPr>
                                    <w:rPr>
                                      <w:rFonts w:ascii="Cambria Math" w:hAnsi="Cambria Math"/>
                                      <w:bCs/>
                                      <w:iCs/>
                                    </w:rPr>
                                    <m:t>*</m:t>
                                  </m:r>
                                </m:sup>
                              </m:sSup>
                            </m:e>
                          </m:d>
                        </m:e>
                        <m:sup>
                          <m:r>
                            <m:rPr>
                              <m:nor/>
                            </m:rPr>
                            <w:rPr>
                              <w:rFonts w:ascii="Cambria Math" w:hAnsi="Cambria Math"/>
                              <w:bCs/>
                              <w:iCs/>
                            </w:rPr>
                            <m:t>n</m:t>
                          </m:r>
                        </m:sup>
                      </m:sSup>
                      <m:r>
                        <m:rPr>
                          <m:nor/>
                        </m:rPr>
                        <w:rPr>
                          <w:rFonts w:ascii="Cambria Math" w:hAnsi="Cambria Math"/>
                          <w:bCs/>
                        </w:rPr>
                        <m:t>-1</m:t>
                      </m:r>
                    </m:num>
                    <m:den>
                      <m:sSup>
                        <m:sSupPr>
                          <m:ctrlPr>
                            <w:rPr>
                              <w:rFonts w:ascii="Cambria Math" w:hAnsi="Cambria Math"/>
                              <w:bCs/>
                              <w:iCs/>
                            </w:rPr>
                          </m:ctrlPr>
                        </m:sSupPr>
                        <m:e>
                          <m:r>
                            <m:rPr>
                              <m:nor/>
                            </m:rPr>
                            <w:rPr>
                              <w:rFonts w:ascii="Cambria Math" w:hAnsi="Cambria Math"/>
                              <w:bCs/>
                              <w:iCs/>
                            </w:rPr>
                            <m:t>r</m:t>
                          </m:r>
                        </m:e>
                        <m:sup>
                          <m:r>
                            <m:rPr>
                              <m:nor/>
                            </m:rPr>
                            <w:rPr>
                              <w:rFonts w:ascii="Cambria Math" w:hAnsi="Cambria Math"/>
                              <w:bCs/>
                              <w:iCs/>
                            </w:rPr>
                            <m:t>*</m:t>
                          </m:r>
                        </m:sup>
                      </m:sSup>
                    </m:den>
                  </m:f>
                </m:e>
              </m:d>
            </m:den>
          </m:f>
        </m:oMath>
      </m:oMathPara>
    </w:p>
    <w:p w14:paraId="6D790B95" w14:textId="77777777" w:rsidR="00EA35ED" w:rsidRPr="002019B4" w:rsidRDefault="00EA35ED" w:rsidP="00B8406C">
      <w:pPr>
        <w:pStyle w:val="BodyText"/>
      </w:pPr>
    </w:p>
    <w:p w14:paraId="57BE4B9D" w14:textId="66B8570E" w:rsidR="00804028" w:rsidRDefault="00804028" w:rsidP="00C05321">
      <w:pPr>
        <w:pStyle w:val="BodyText"/>
        <w:ind w:firstLine="0"/>
      </w:pPr>
      <w:r w:rsidRPr="00804028">
        <w:t>where:</w:t>
      </w:r>
    </w:p>
    <w:p w14:paraId="48F09545" w14:textId="77777777" w:rsidR="002714E1" w:rsidRDefault="002714E1" w:rsidP="00C05321">
      <w:pPr>
        <w:pStyle w:val="BodyText"/>
        <w:ind w:firstLine="0"/>
      </w:pPr>
    </w:p>
    <w:p w14:paraId="3A67A2DF" w14:textId="77777777" w:rsidR="00BA4CE5" w:rsidRDefault="00BA4CE5" w:rsidP="00BA4CE5">
      <w:pPr>
        <w:pStyle w:val="ListEmdash"/>
      </w:pPr>
      <w:r w:rsidRPr="00804028">
        <w:rPr>
          <w:b/>
          <w:bCs/>
          <w:i/>
          <w:iCs/>
        </w:rPr>
        <w:t>r*</w:t>
      </w:r>
      <w:r w:rsidRPr="00804028">
        <w:t xml:space="preserve"> is the return on contributions</w:t>
      </w:r>
      <w:r>
        <w:t>.</w:t>
      </w:r>
    </w:p>
    <w:p w14:paraId="34E020E0" w14:textId="77777777" w:rsidR="00BA4CE5" w:rsidRDefault="00BA4CE5" w:rsidP="00BA4CE5">
      <w:pPr>
        <w:pStyle w:val="BodyText"/>
        <w:numPr>
          <w:ilvl w:val="0"/>
          <w:numId w:val="20"/>
        </w:numPr>
        <w:ind w:left="709"/>
      </w:pPr>
      <w:r w:rsidRPr="00804028">
        <w:rPr>
          <w:b/>
          <w:bCs/>
          <w:i/>
          <w:iCs/>
        </w:rPr>
        <w:t>n</w:t>
      </w:r>
      <w:r w:rsidRPr="00804028">
        <w:t xml:space="preserve"> is the number of periods over which contributions will be made</w:t>
      </w:r>
      <w:r>
        <w:t>.</w:t>
      </w:r>
    </w:p>
    <w:p w14:paraId="1559FF61" w14:textId="77777777" w:rsidR="00A56310" w:rsidRDefault="00A56310" w:rsidP="00BA4CE5">
      <w:pPr>
        <w:pStyle w:val="BodyText"/>
        <w:ind w:firstLine="0"/>
      </w:pPr>
    </w:p>
    <w:p w14:paraId="38A6E316" w14:textId="77777777" w:rsidR="00742F34" w:rsidRDefault="009524F9" w:rsidP="00742F34">
      <w:pPr>
        <w:pStyle w:val="BodyText"/>
      </w:pPr>
      <w:r>
        <w:t xml:space="preserve">In </w:t>
      </w:r>
      <w:r w:rsidR="00AE0DB6">
        <w:t>t</w:t>
      </w:r>
      <w:r w:rsidR="00520BC9">
        <w:t xml:space="preserve">he example </w:t>
      </w:r>
      <w:r w:rsidR="00AE0DB6">
        <w:t>of</w:t>
      </w:r>
      <w:r w:rsidR="00520BC9">
        <w:t xml:space="preserve"> the </w:t>
      </w:r>
      <w:r w:rsidR="00166479">
        <w:t>SNF management programme spanning for 150 years after the NPP operation for 60 years</w:t>
      </w:r>
      <w:r w:rsidR="00AE0DB6">
        <w:t xml:space="preserve"> t</w:t>
      </w:r>
      <w:r w:rsidR="00952596">
        <w:t>he inputs for the SFF formula are:</w:t>
      </w:r>
    </w:p>
    <w:p w14:paraId="75629B54" w14:textId="77777777" w:rsidR="00952596" w:rsidRDefault="00952596" w:rsidP="00742F34">
      <w:pPr>
        <w:pStyle w:val="BodyText"/>
      </w:pPr>
    </w:p>
    <w:p w14:paraId="62EDEBA3" w14:textId="77777777" w:rsidR="00952596" w:rsidRDefault="00952596" w:rsidP="00952596">
      <w:pPr>
        <w:pStyle w:val="ListEmdash"/>
      </w:pPr>
      <w:r w:rsidRPr="00AE0DB6">
        <w:rPr>
          <w:b/>
          <w:bCs/>
          <w:i/>
          <w:iCs/>
        </w:rPr>
        <w:t>r*</w:t>
      </w:r>
      <w:r w:rsidRPr="00AE0DB6">
        <w:rPr>
          <w:b/>
          <w:i/>
        </w:rPr>
        <w:t>= 2.6%</w:t>
      </w:r>
      <w:r w:rsidR="00B151C0">
        <w:t xml:space="preserve"> </w:t>
      </w:r>
      <w:r w:rsidR="00AE0DB6">
        <w:t>-</w:t>
      </w:r>
      <w:r w:rsidRPr="00804028">
        <w:t xml:space="preserve"> return on contributions</w:t>
      </w:r>
      <w:r>
        <w:t>.</w:t>
      </w:r>
    </w:p>
    <w:p w14:paraId="5C75AB73" w14:textId="77777777" w:rsidR="00952596" w:rsidRPr="007A2438" w:rsidRDefault="00952596" w:rsidP="00952596">
      <w:pPr>
        <w:pStyle w:val="BodyText"/>
        <w:numPr>
          <w:ilvl w:val="0"/>
          <w:numId w:val="20"/>
        </w:numPr>
        <w:ind w:left="709"/>
      </w:pPr>
      <w:r w:rsidRPr="00AE0DB6">
        <w:rPr>
          <w:b/>
          <w:bCs/>
          <w:i/>
          <w:iCs/>
        </w:rPr>
        <w:t>n=60</w:t>
      </w:r>
      <w:r w:rsidRPr="007A2438">
        <w:rPr>
          <w:bCs/>
          <w:iCs/>
        </w:rPr>
        <w:t xml:space="preserve"> </w:t>
      </w:r>
      <w:r w:rsidR="00AE0DB6">
        <w:rPr>
          <w:bCs/>
          <w:iCs/>
        </w:rPr>
        <w:t>-</w:t>
      </w:r>
      <w:r w:rsidRPr="007A2438">
        <w:rPr>
          <w:bCs/>
          <w:iCs/>
        </w:rPr>
        <w:t xml:space="preserve"> funds will accumulate over 60 years</w:t>
      </w:r>
      <w:r w:rsidRPr="007A2438">
        <w:t>.</w:t>
      </w:r>
    </w:p>
    <w:p w14:paraId="293F2F73" w14:textId="77777777" w:rsidR="00952596" w:rsidRDefault="00952596" w:rsidP="00742F34">
      <w:pPr>
        <w:pStyle w:val="BodyText"/>
      </w:pPr>
    </w:p>
    <w:p w14:paraId="780C0BFE" w14:textId="77777777" w:rsidR="007A2438" w:rsidRDefault="007A2438" w:rsidP="00742F34">
      <w:pPr>
        <w:pStyle w:val="BodyText"/>
      </w:pPr>
      <w:r>
        <w:t>Using these inputs SFF could be calculated:</w:t>
      </w:r>
    </w:p>
    <w:p w14:paraId="0134F87A" w14:textId="77777777" w:rsidR="007A2438" w:rsidRPr="00742F34" w:rsidRDefault="007A2438" w:rsidP="00742F34">
      <w:pPr>
        <w:pStyle w:val="BodyText"/>
      </w:pPr>
      <w:r>
        <w:t xml:space="preserve"> </w:t>
      </w:r>
    </w:p>
    <w:p w14:paraId="682D14B1" w14:textId="77777777" w:rsidR="00A1703C" w:rsidRPr="000A5A41" w:rsidRDefault="00A1703C" w:rsidP="00A1703C">
      <w:pPr>
        <w:pStyle w:val="BodyText"/>
        <w:rPr>
          <w:rFonts w:ascii="Cambria Math" w:hAnsi="Cambria Math"/>
        </w:rPr>
      </w:pPr>
      <m:oMathPara>
        <m:oMathParaPr>
          <m:jc m:val="left"/>
        </m:oMathParaPr>
        <m:oMath>
          <m:r>
            <m:rPr>
              <m:nor/>
            </m:rPr>
            <w:rPr>
              <w:rFonts w:ascii="Cambria Math" w:hAnsi="Cambria Math"/>
            </w:rPr>
            <m:t>SFF=</m:t>
          </m:r>
          <m:d>
            <m:dPr>
              <m:ctrlPr>
                <w:rPr>
                  <w:rFonts w:ascii="Cambria Math" w:hAnsi="Cambria Math"/>
                  <w:iCs/>
                </w:rPr>
              </m:ctrlPr>
            </m:dPr>
            <m:e>
              <m:f>
                <m:fPr>
                  <m:ctrlPr>
                    <w:rPr>
                      <w:rFonts w:ascii="Cambria Math" w:hAnsi="Cambria Math"/>
                      <w:iCs/>
                    </w:rPr>
                  </m:ctrlPr>
                </m:fPr>
                <m:num>
                  <m:r>
                    <m:rPr>
                      <m:nor/>
                    </m:rPr>
                    <w:rPr>
                      <w:rFonts w:ascii="Cambria Math" w:hAnsi="Cambria Math"/>
                    </w:rPr>
                    <m:t>1</m:t>
                  </m:r>
                </m:num>
                <m:den>
                  <m:d>
                    <m:dPr>
                      <m:ctrlPr>
                        <w:rPr>
                          <w:rFonts w:ascii="Cambria Math" w:hAnsi="Cambria Math"/>
                          <w:iCs/>
                        </w:rPr>
                      </m:ctrlPr>
                    </m:dPr>
                    <m:e>
                      <m:f>
                        <m:fPr>
                          <m:ctrlPr>
                            <w:rPr>
                              <w:rFonts w:ascii="Cambria Math" w:hAnsi="Cambria Math"/>
                              <w:iCs/>
                            </w:rPr>
                          </m:ctrlPr>
                        </m:fPr>
                        <m:num>
                          <m:sSup>
                            <m:sSupPr>
                              <m:ctrlPr>
                                <w:rPr>
                                  <w:rFonts w:ascii="Cambria Math" w:hAnsi="Cambria Math"/>
                                  <w:iCs/>
                                </w:rPr>
                              </m:ctrlPr>
                            </m:sSupPr>
                            <m:e>
                              <m:d>
                                <m:dPr>
                                  <m:ctrlPr>
                                    <w:rPr>
                                      <w:rFonts w:ascii="Cambria Math" w:hAnsi="Cambria Math"/>
                                      <w:iCs/>
                                    </w:rPr>
                                  </m:ctrlPr>
                                </m:dPr>
                                <m:e>
                                  <m:r>
                                    <m:rPr>
                                      <m:nor/>
                                    </m:rPr>
                                    <w:rPr>
                                      <w:rFonts w:ascii="Cambria Math" w:hAnsi="Cambria Math"/>
                                    </w:rPr>
                                    <m:t>1.026</m:t>
                                  </m:r>
                                </m:e>
                              </m:d>
                            </m:e>
                            <m:sup>
                              <m:r>
                                <m:rPr>
                                  <m:nor/>
                                </m:rPr>
                                <w:rPr>
                                  <w:rFonts w:ascii="Cambria Math" w:hAnsi="Cambria Math"/>
                                </w:rPr>
                                <m:t>60</m:t>
                              </m:r>
                            </m:sup>
                          </m:sSup>
                          <m:r>
                            <m:rPr>
                              <m:sty m:val="p"/>
                            </m:rPr>
                            <w:rPr>
                              <w:rFonts w:ascii="Cambria Math" w:hAnsi="Cambria Math"/>
                            </w:rPr>
                            <m:t>-</m:t>
                          </m:r>
                          <m:r>
                            <m:rPr>
                              <m:nor/>
                            </m:rPr>
                            <w:rPr>
                              <w:rFonts w:ascii="Cambria Math" w:hAnsi="Cambria Math"/>
                            </w:rPr>
                            <m:t>1</m:t>
                          </m:r>
                        </m:num>
                        <m:den>
                          <m:r>
                            <m:rPr>
                              <m:sty m:val="p"/>
                            </m:rPr>
                            <w:rPr>
                              <w:rFonts w:ascii="Cambria Math" w:hAnsi="Cambria Math"/>
                            </w:rPr>
                            <m:t>.</m:t>
                          </m:r>
                          <m:r>
                            <m:rPr>
                              <m:nor/>
                            </m:rPr>
                            <w:rPr>
                              <w:rFonts w:ascii="Cambria Math" w:hAnsi="Cambria Math"/>
                            </w:rPr>
                            <m:t>026</m:t>
                          </m:r>
                        </m:den>
                      </m:f>
                    </m:e>
                  </m:d>
                </m:den>
              </m:f>
            </m:e>
          </m:d>
          <m:r>
            <m:rPr>
              <m:sty m:val="p"/>
            </m:rPr>
            <w:rPr>
              <w:rFonts w:ascii="Cambria Math" w:hAnsi="Cambria Math"/>
            </w:rPr>
            <m:t xml:space="preserve"> = 0.007094342</m:t>
          </m:r>
        </m:oMath>
      </m:oMathPara>
    </w:p>
    <w:p w14:paraId="32E1765B" w14:textId="77777777" w:rsidR="007509A3" w:rsidRDefault="007509A3" w:rsidP="00166479">
      <w:pPr>
        <w:pStyle w:val="BodyText"/>
      </w:pPr>
    </w:p>
    <w:p w14:paraId="0E86585B" w14:textId="77777777" w:rsidR="00C47202" w:rsidRDefault="00AF4B2A" w:rsidP="00C47202">
      <w:pPr>
        <w:pStyle w:val="BodyText"/>
        <w:rPr>
          <w:b/>
          <w:bCs/>
        </w:rPr>
      </w:pPr>
      <w:r>
        <w:t xml:space="preserve">The periodic </w:t>
      </w:r>
      <w:r w:rsidR="00C47202">
        <w:t xml:space="preserve">(annual) </w:t>
      </w:r>
      <w:r>
        <w:t xml:space="preserve">contribution </w:t>
      </w:r>
      <w:r w:rsidR="00C47202">
        <w:t xml:space="preserve">will therefore be </w:t>
      </w:r>
      <m:oMath>
        <m:r>
          <w:rPr>
            <w:rFonts w:ascii="Cambria Math" w:hAnsi="Cambria Math"/>
          </w:rPr>
          <m:t xml:space="preserve">0.007094342 × $6,800M = </m:t>
        </m:r>
        <m:r>
          <m:rPr>
            <m:sty m:val="bi"/>
          </m:rPr>
          <w:rPr>
            <w:rFonts w:ascii="Cambria Math" w:hAnsi="Cambria Math"/>
          </w:rPr>
          <m:t>$48.24</m:t>
        </m:r>
        <m:r>
          <m:rPr>
            <m:sty m:val="bi"/>
          </m:rPr>
          <w:rPr>
            <w:rFonts w:ascii="Cambria Math" w:hAnsi="Cambria Math"/>
          </w:rPr>
          <m:t>M</m:t>
        </m:r>
      </m:oMath>
      <w:r w:rsidR="009622E7" w:rsidRPr="009622E7">
        <w:rPr>
          <w:bCs/>
        </w:rPr>
        <w:t>. This</w:t>
      </w:r>
      <w:r w:rsidR="009622E7">
        <w:rPr>
          <w:bCs/>
        </w:rPr>
        <w:t xml:space="preserve"> means that to accumulate the </w:t>
      </w:r>
      <w:r w:rsidR="009622E7" w:rsidRPr="00CD20D3">
        <w:t>$6.8B</w:t>
      </w:r>
      <w:r w:rsidR="009622E7">
        <w:t xml:space="preserve"> by the NPP EOL</w:t>
      </w:r>
      <w:r w:rsidR="00EE5CE6">
        <w:t xml:space="preserve"> it will be necessary to contribute </w:t>
      </w:r>
      <w:r w:rsidR="00EE5CE6" w:rsidRPr="00CD20D3">
        <w:t>$</w:t>
      </w:r>
      <w:r w:rsidR="00EE5CE6">
        <w:t>48.24M annually over the period of 60 years.</w:t>
      </w:r>
    </w:p>
    <w:p w14:paraId="52F856A0" w14:textId="60A37E1E" w:rsidR="00683C7E" w:rsidRPr="00683C7E" w:rsidRDefault="00F752FE" w:rsidP="00C47202">
      <w:pPr>
        <w:pStyle w:val="BodyText"/>
        <w:rPr>
          <w:bCs/>
        </w:rPr>
      </w:pPr>
      <w:r>
        <w:rPr>
          <w:bCs/>
        </w:rPr>
        <w:fldChar w:fldCharType="begin"/>
      </w:r>
      <w:r>
        <w:rPr>
          <w:bCs/>
        </w:rPr>
        <w:instrText xml:space="preserve"> REF _Ref8058186 </w:instrText>
      </w:r>
      <w:r>
        <w:rPr>
          <w:bCs/>
        </w:rPr>
        <w:fldChar w:fldCharType="separate"/>
      </w:r>
      <w:r>
        <w:t xml:space="preserve">Fig. </w:t>
      </w:r>
      <w:r>
        <w:rPr>
          <w:noProof/>
        </w:rPr>
        <w:t>5</w:t>
      </w:r>
      <w:r>
        <w:rPr>
          <w:bCs/>
        </w:rPr>
        <w:fldChar w:fldCharType="end"/>
      </w:r>
      <w:r w:rsidR="00956FCE">
        <w:rPr>
          <w:bCs/>
        </w:rPr>
        <w:t xml:space="preserve"> </w:t>
      </w:r>
      <w:r w:rsidR="00683C7E">
        <w:rPr>
          <w:bCs/>
        </w:rPr>
        <w:t>below illustrates</w:t>
      </w:r>
      <w:r w:rsidR="0073703A">
        <w:rPr>
          <w:bCs/>
        </w:rPr>
        <w:t xml:space="preserve"> this contribution schedule with the</w:t>
      </w:r>
      <w:r w:rsidR="00877A59">
        <w:rPr>
          <w:bCs/>
        </w:rPr>
        <w:t xml:space="preserve"> </w:t>
      </w:r>
      <w:r w:rsidR="00EE5CE6">
        <w:rPr>
          <w:bCs/>
        </w:rPr>
        <w:t>elements</w:t>
      </w:r>
      <w:r w:rsidR="00877A59">
        <w:rPr>
          <w:bCs/>
        </w:rPr>
        <w:t xml:space="preserve"> in green showing contributions over the 60 years of NPP operation </w:t>
      </w:r>
      <w:r w:rsidR="008A603C">
        <w:rPr>
          <w:bCs/>
        </w:rPr>
        <w:t>accumulating in the fund that will be able to fund expenditures (in red) over the pe</w:t>
      </w:r>
      <w:r w:rsidR="007E0DDA">
        <w:rPr>
          <w:bCs/>
        </w:rPr>
        <w:t>riod of 150 years in future</w:t>
      </w:r>
      <w:r w:rsidR="008609DF">
        <w:t>.</w:t>
      </w:r>
    </w:p>
    <w:p w14:paraId="1C20217A" w14:textId="77777777" w:rsidR="00D36732" w:rsidRDefault="00D36732" w:rsidP="00C47202">
      <w:pPr>
        <w:pStyle w:val="BodyText"/>
        <w:rPr>
          <w:b/>
          <w:bCs/>
        </w:rPr>
      </w:pPr>
    </w:p>
    <w:p w14:paraId="17B107A2" w14:textId="4489241C" w:rsidR="00373082" w:rsidRDefault="005C086D" w:rsidP="00956FCE">
      <w:pPr>
        <w:pStyle w:val="BodyText"/>
        <w:keepNext/>
        <w:ind w:firstLine="0"/>
      </w:pPr>
      <w:r>
        <w:rPr>
          <w:rFonts w:ascii="Cambria Math" w:hAnsi="Cambria Math"/>
          <w:i/>
          <w:noProof/>
        </w:rPr>
        <w:drawing>
          <wp:inline distT="0" distB="0" distL="0" distR="0" wp14:anchorId="3D874A52" wp14:editId="2A3AC761">
            <wp:extent cx="5721985" cy="2771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1985" cy="2771140"/>
                    </a:xfrm>
                    <a:prstGeom prst="rect">
                      <a:avLst/>
                    </a:prstGeom>
                    <a:noFill/>
                    <a:ln>
                      <a:noFill/>
                    </a:ln>
                  </pic:spPr>
                </pic:pic>
              </a:graphicData>
            </a:graphic>
          </wp:inline>
        </w:drawing>
      </w:r>
    </w:p>
    <w:p w14:paraId="6BD2F440" w14:textId="77777777" w:rsidR="00AF4B2A" w:rsidRPr="00956FCE" w:rsidRDefault="00373082" w:rsidP="00956FCE">
      <w:pPr>
        <w:pStyle w:val="Caption"/>
        <w:jc w:val="center"/>
        <w:rPr>
          <w:rFonts w:ascii="Cambria Math" w:hAnsi="Cambria Math"/>
          <w:i/>
        </w:rPr>
      </w:pPr>
      <w:bookmarkStart w:id="8" w:name="_Ref8058186"/>
      <w:r w:rsidRPr="00956FCE">
        <w:rPr>
          <w:i/>
        </w:rPr>
        <w:t>F</w:t>
      </w:r>
      <w:r w:rsidR="00F752FE" w:rsidRPr="00956FCE">
        <w:rPr>
          <w:i/>
        </w:rPr>
        <w:t>IG.</w:t>
      </w:r>
      <w:r w:rsidRPr="00956FCE">
        <w:rPr>
          <w:i/>
        </w:rPr>
        <w:t xml:space="preserve"> </w:t>
      </w:r>
      <w:r w:rsidRPr="00956FCE">
        <w:rPr>
          <w:i/>
        </w:rPr>
        <w:fldChar w:fldCharType="begin"/>
      </w:r>
      <w:r w:rsidRPr="00956FCE">
        <w:rPr>
          <w:i/>
        </w:rPr>
        <w:instrText xml:space="preserve"> SEQ Figure \* ARABIC </w:instrText>
      </w:r>
      <w:r w:rsidRPr="00956FCE">
        <w:rPr>
          <w:i/>
        </w:rPr>
        <w:fldChar w:fldCharType="separate"/>
      </w:r>
      <w:r w:rsidR="000F73B5" w:rsidRPr="00956FCE">
        <w:rPr>
          <w:i/>
          <w:noProof/>
        </w:rPr>
        <w:t>5</w:t>
      </w:r>
      <w:r w:rsidRPr="00956FCE">
        <w:rPr>
          <w:i/>
        </w:rPr>
        <w:fldChar w:fldCharType="end"/>
      </w:r>
      <w:bookmarkEnd w:id="8"/>
      <w:r w:rsidR="00F752FE" w:rsidRPr="00956FCE">
        <w:rPr>
          <w:i/>
        </w:rPr>
        <w:t>.</w:t>
      </w:r>
      <w:r w:rsidRPr="00956FCE">
        <w:rPr>
          <w:i/>
        </w:rPr>
        <w:t xml:space="preserve"> Contributions and disbursements over 210 years to fund APM</w:t>
      </w:r>
    </w:p>
    <w:p w14:paraId="3BDC6CFE" w14:textId="77777777" w:rsidR="002F41FF" w:rsidRDefault="002F41FF" w:rsidP="00956FCE">
      <w:pPr>
        <w:pStyle w:val="BodyText"/>
        <w:ind w:firstLine="0"/>
      </w:pPr>
    </w:p>
    <w:p w14:paraId="124E303B" w14:textId="77777777" w:rsidR="002F41FF" w:rsidRDefault="002F41FF" w:rsidP="0002253C">
      <w:pPr>
        <w:pStyle w:val="Heading2"/>
        <w:numPr>
          <w:ilvl w:val="1"/>
          <w:numId w:val="10"/>
        </w:numPr>
      </w:pPr>
      <w:bookmarkStart w:id="9" w:name="_Ref8035983"/>
      <w:r>
        <w:t xml:space="preserve">EVOLUTION OF THE FUND AND </w:t>
      </w:r>
      <w:r w:rsidR="0002253C">
        <w:t>CONCEPTUAL OVERVIEW OF THE STRATEGY</w:t>
      </w:r>
      <w:bookmarkEnd w:id="9"/>
      <w:r w:rsidR="00F752FE">
        <w:t xml:space="preserve"> IN A WORLD OF UNCERTAINTY AND FIXED PRICES</w:t>
      </w:r>
      <w:r>
        <w:t xml:space="preserve"> </w:t>
      </w:r>
    </w:p>
    <w:p w14:paraId="5C9D06BF" w14:textId="0C4282E3" w:rsidR="0060274D" w:rsidRDefault="00C457F8" w:rsidP="00166479">
      <w:pPr>
        <w:pStyle w:val="BodyText"/>
      </w:pPr>
      <w:r>
        <w:t>The</w:t>
      </w:r>
      <w:r w:rsidR="00DA00D9">
        <w:t xml:space="preserve"> fund will exist for the whole period of NPP</w:t>
      </w:r>
      <w:r w:rsidR="00E412ED">
        <w:t xml:space="preserve"> operation and</w:t>
      </w:r>
      <w:r>
        <w:t xml:space="preserve"> </w:t>
      </w:r>
      <w:r w:rsidR="00E412ED">
        <w:t>implementation of decommissioning and waste management programme. Over the first 60 years (period of NPP operation)</w:t>
      </w:r>
      <w:r w:rsidR="00C551B9">
        <w:t xml:space="preserve"> there will be no expenditures and the fund will </w:t>
      </w:r>
      <w:r w:rsidR="00F75CEA">
        <w:t xml:space="preserve">be expanding up to the level of </w:t>
      </w:r>
      <w:r w:rsidR="00F75CEA" w:rsidRPr="00CD20D3">
        <w:t>$6.8B</w:t>
      </w:r>
      <w:r w:rsidR="00F75CEA">
        <w:t xml:space="preserve"> </w:t>
      </w:r>
      <w:r w:rsidR="00E311C1">
        <w:t xml:space="preserve">in the year 60. Expenditures will start after this (year 61), however, </w:t>
      </w:r>
      <w:r w:rsidR="005B5ED2">
        <w:t xml:space="preserve">the fund will </w:t>
      </w:r>
      <w:r w:rsidR="00A36F09">
        <w:t>continue</w:t>
      </w:r>
      <w:r w:rsidR="005B5ED2">
        <w:t xml:space="preserve"> expanding for some </w:t>
      </w:r>
      <w:r w:rsidR="008C6879">
        <w:t xml:space="preserve">time as the </w:t>
      </w:r>
      <w:r w:rsidR="002F4658">
        <w:t xml:space="preserve">revenue on </w:t>
      </w:r>
      <w:r w:rsidR="004D616B">
        <w:t>the accumulated funds will continue</w:t>
      </w:r>
      <w:r w:rsidR="00A36F09">
        <w:t xml:space="preserve"> adding up. At</w:t>
      </w:r>
      <w:r w:rsidR="005B5ED2">
        <w:t xml:space="preserve"> </w:t>
      </w:r>
      <w:r w:rsidR="009B65B4">
        <w:t xml:space="preserve">its maximal expansion the fund will be nearly </w:t>
      </w:r>
      <w:r w:rsidR="009B65B4" w:rsidRPr="00CD20D3">
        <w:t>$</w:t>
      </w:r>
      <w:r w:rsidR="009B65B4">
        <w:t>10</w:t>
      </w:r>
      <w:r w:rsidR="009B65B4" w:rsidRPr="00CD20D3">
        <w:t>B</w:t>
      </w:r>
      <w:r w:rsidR="0077600C">
        <w:t xml:space="preserve"> a few decades after the end of the NPP operation</w:t>
      </w:r>
      <w:r w:rsidR="005C6A4E">
        <w:t>, afterwards</w:t>
      </w:r>
      <w:r w:rsidR="0013381B">
        <w:t xml:space="preserve"> it will start declining</w:t>
      </w:r>
      <w:r w:rsidR="005C6A4E">
        <w:t xml:space="preserve"> </w:t>
      </w:r>
      <w:r w:rsidR="008476AF">
        <w:t xml:space="preserve">being completely exhausted by the end of the </w:t>
      </w:r>
      <w:r w:rsidR="008476AF" w:rsidRPr="008476AF">
        <w:t>Decommissioning and SNF management programme</w:t>
      </w:r>
      <w:r w:rsidR="008476AF">
        <w:t xml:space="preserve"> implementation. Illustration of this evolution over the period 210 years is shown in </w:t>
      </w:r>
      <w:r w:rsidR="004958F2">
        <w:fldChar w:fldCharType="begin"/>
      </w:r>
      <w:r w:rsidR="004958F2">
        <w:instrText xml:space="preserve"> REF _Ref8058361 </w:instrText>
      </w:r>
      <w:r w:rsidR="004958F2">
        <w:fldChar w:fldCharType="separate"/>
      </w:r>
      <w:r w:rsidR="000F73B5">
        <w:t xml:space="preserve">Fig. </w:t>
      </w:r>
      <w:r w:rsidR="000F73B5">
        <w:rPr>
          <w:noProof/>
        </w:rPr>
        <w:t>6</w:t>
      </w:r>
      <w:r w:rsidR="004958F2">
        <w:rPr>
          <w:noProof/>
        </w:rPr>
        <w:fldChar w:fldCharType="end"/>
      </w:r>
      <w:r w:rsidR="008476AF">
        <w:t>.</w:t>
      </w:r>
      <w:r w:rsidR="005B5ED2">
        <w:t xml:space="preserve"> </w:t>
      </w:r>
      <w:r w:rsidR="00F75CEA">
        <w:t xml:space="preserve"> </w:t>
      </w:r>
    </w:p>
    <w:p w14:paraId="0F18B9E3" w14:textId="77777777" w:rsidR="00387EB1" w:rsidRDefault="00387EB1" w:rsidP="00166479">
      <w:pPr>
        <w:pStyle w:val="BodyText"/>
      </w:pPr>
    </w:p>
    <w:p w14:paraId="429FED8A" w14:textId="77777777" w:rsidR="00F752FE" w:rsidRDefault="00387EB1" w:rsidP="00B160AF">
      <w:pPr>
        <w:pStyle w:val="BodyText"/>
        <w:keepNext/>
        <w:ind w:firstLine="0"/>
      </w:pPr>
      <w:r>
        <w:rPr>
          <w:noProof/>
        </w:rPr>
        <w:lastRenderedPageBreak/>
        <w:drawing>
          <wp:inline distT="0" distB="0" distL="0" distR="0" wp14:anchorId="5093EA03" wp14:editId="4ECCFD0C">
            <wp:extent cx="5723890" cy="25533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23890" cy="2553335"/>
                    </a:xfrm>
                    <a:prstGeom prst="rect">
                      <a:avLst/>
                    </a:prstGeom>
                    <a:noFill/>
                    <a:ln>
                      <a:noFill/>
                    </a:ln>
                  </pic:spPr>
                </pic:pic>
              </a:graphicData>
            </a:graphic>
          </wp:inline>
        </w:drawing>
      </w:r>
    </w:p>
    <w:p w14:paraId="163D2E3F" w14:textId="63221707" w:rsidR="00B64B64" w:rsidRDefault="00F752FE" w:rsidP="005F5BBB">
      <w:pPr>
        <w:pStyle w:val="Caption"/>
        <w:jc w:val="center"/>
      </w:pPr>
      <w:bookmarkStart w:id="10" w:name="_Ref8058361"/>
      <w:r w:rsidRPr="00B160AF">
        <w:rPr>
          <w:i/>
        </w:rPr>
        <w:t xml:space="preserve">FIG. </w:t>
      </w:r>
      <w:r w:rsidRPr="00B160AF">
        <w:rPr>
          <w:i/>
        </w:rPr>
        <w:fldChar w:fldCharType="begin"/>
      </w:r>
      <w:r w:rsidRPr="00B160AF">
        <w:rPr>
          <w:i/>
        </w:rPr>
        <w:instrText xml:space="preserve"> SEQ Figure \* ARABIC </w:instrText>
      </w:r>
      <w:r w:rsidRPr="00B160AF">
        <w:rPr>
          <w:i/>
        </w:rPr>
        <w:fldChar w:fldCharType="separate"/>
      </w:r>
      <w:r w:rsidR="000F73B5" w:rsidRPr="00B160AF">
        <w:rPr>
          <w:i/>
          <w:noProof/>
        </w:rPr>
        <w:t>6</w:t>
      </w:r>
      <w:r w:rsidRPr="00B160AF">
        <w:rPr>
          <w:i/>
        </w:rPr>
        <w:fldChar w:fldCharType="end"/>
      </w:r>
      <w:bookmarkEnd w:id="10"/>
      <w:r w:rsidRPr="00B160AF">
        <w:rPr>
          <w:i/>
        </w:rPr>
        <w:t>. Fund evolution over 210 years</w:t>
      </w:r>
    </w:p>
    <w:p w14:paraId="0F87CCF8" w14:textId="77777777" w:rsidR="005F5BBB" w:rsidRDefault="005F5BBB" w:rsidP="00B64B64">
      <w:pPr>
        <w:pStyle w:val="BodyText"/>
      </w:pPr>
    </w:p>
    <w:p w14:paraId="4423EC0C" w14:textId="742D78FF" w:rsidR="00B64B64" w:rsidRDefault="00B64B64" w:rsidP="00B64B64">
      <w:pPr>
        <w:pStyle w:val="BodyText"/>
      </w:pPr>
      <w:r>
        <w:t xml:space="preserve">If we now allow for uncertainty, a key component of ensuring that the fund achieves its target value by the NPP EOL is the regular revision of the target value of the fund and the contributions based on amount already accumulated in the fund. The conceptual representation of this iterative revision is shown in Fig. 7. The assumption is that revisions will be done regularly (e.g., every five years) and scheme on </w:t>
      </w:r>
      <w:r w:rsidR="003D34A0">
        <w:t>Fig. 7</w:t>
      </w:r>
      <w:r>
        <w:t xml:space="preserve"> shows the revision done in the cycle k. Different types of inputs used for the analysis are shown in the boxes of different colours.</w:t>
      </w:r>
    </w:p>
    <w:p w14:paraId="312354F0" w14:textId="77777777" w:rsidR="00F550B6" w:rsidRDefault="00713838" w:rsidP="000F73B5">
      <w:pPr>
        <w:pStyle w:val="BodyText"/>
      </w:pPr>
      <w:r>
        <w:t xml:space="preserve">‘Green’ boxes include the </w:t>
      </w:r>
      <w:r w:rsidR="00B43BC6">
        <w:t>inputs</w:t>
      </w:r>
      <w:r>
        <w:t xml:space="preserve"> used </w:t>
      </w:r>
      <w:r w:rsidR="00B43BC6">
        <w:t xml:space="preserve">for the revision of the target value of the fund, specifically, the overnight cost estimate of the </w:t>
      </w:r>
      <w:r w:rsidR="00360FAA">
        <w:t xml:space="preserve">Decommissioning and </w:t>
      </w:r>
      <w:r w:rsidR="00B43BC6">
        <w:t>SNF</w:t>
      </w:r>
      <w:r w:rsidR="008A5CD9">
        <w:t xml:space="preserve"> management programme made in the cycle </w:t>
      </w:r>
      <w:r w:rsidR="008A5CD9" w:rsidRPr="00D66F8D">
        <w:rPr>
          <w:b/>
          <w:i/>
        </w:rPr>
        <w:t>k</w:t>
      </w:r>
      <w:r w:rsidR="008A5CD9">
        <w:t xml:space="preserve"> </w:t>
      </w:r>
      <w:r w:rsidR="00717AC4">
        <w:t>and</w:t>
      </w:r>
      <w:r w:rsidR="008A5CD9">
        <w:t xml:space="preserve"> the discounting factor (which could p</w:t>
      </w:r>
      <w:r w:rsidR="00717AC4">
        <w:t>otentially change over time as well)</w:t>
      </w:r>
      <w:r w:rsidR="006866B0">
        <w:t>. These inputs allow calculating the PV of the necessar</w:t>
      </w:r>
      <w:r w:rsidR="00034F27">
        <w:t>y funds by the NPP EOL, i.e. target value of the fund</w:t>
      </w:r>
      <w:r w:rsidR="00AB1140">
        <w:t xml:space="preserve"> </w:t>
      </w:r>
      <w:r w:rsidR="00AB1140">
        <w:rPr>
          <w:b/>
          <w:i/>
        </w:rPr>
        <w:t>C</w:t>
      </w:r>
      <w:r w:rsidR="00AB1140" w:rsidRPr="001A7B6D">
        <w:rPr>
          <w:b/>
          <w:i/>
          <w:vertAlign w:val="subscript"/>
        </w:rPr>
        <w:t>k</w:t>
      </w:r>
      <w:r w:rsidR="00034F27">
        <w:t>.</w:t>
      </w:r>
      <w:r w:rsidR="00BE1EF5">
        <w:t xml:space="preserve"> ‘Yellow’ box represents the amount </w:t>
      </w:r>
      <w:proofErr w:type="spellStart"/>
      <w:r w:rsidR="001A7B6D" w:rsidRPr="001A7B6D">
        <w:rPr>
          <w:b/>
          <w:i/>
        </w:rPr>
        <w:t>V</w:t>
      </w:r>
      <w:r w:rsidR="001A7B6D" w:rsidRPr="001A7B6D">
        <w:rPr>
          <w:b/>
          <w:i/>
          <w:vertAlign w:val="subscript"/>
        </w:rPr>
        <w:t>k</w:t>
      </w:r>
      <w:proofErr w:type="spellEnd"/>
      <w:r w:rsidR="001A7B6D">
        <w:t xml:space="preserve"> </w:t>
      </w:r>
      <w:r w:rsidR="00BE1EF5">
        <w:t xml:space="preserve">already accumulated in the fund by the time of revision in the cycle </w:t>
      </w:r>
      <w:r w:rsidR="00BE1EF5" w:rsidRPr="00BE1EF5">
        <w:rPr>
          <w:b/>
          <w:i/>
        </w:rPr>
        <w:t>k</w:t>
      </w:r>
      <w:r w:rsidR="00BE1EF5">
        <w:t>.</w:t>
      </w:r>
      <w:r w:rsidR="00360FAA">
        <w:t xml:space="preserve"> </w:t>
      </w:r>
      <w:r w:rsidR="003C4F5C">
        <w:t>‘</w:t>
      </w:r>
      <w:r w:rsidR="00360FAA">
        <w:t>Red</w:t>
      </w:r>
      <w:r w:rsidR="003C4F5C">
        <w:t>’</w:t>
      </w:r>
      <w:r w:rsidR="00360FAA">
        <w:t xml:space="preserve"> boxes </w:t>
      </w:r>
      <w:r w:rsidR="003C4F5C">
        <w:t xml:space="preserve">show the inputs necessary to recalculate the SFF in the revision cycle </w:t>
      </w:r>
      <w:r w:rsidR="003C4F5C" w:rsidRPr="003C4F5C">
        <w:rPr>
          <w:b/>
          <w:i/>
        </w:rPr>
        <w:t>k</w:t>
      </w:r>
      <w:r w:rsidR="003C4F5C">
        <w:t xml:space="preserve">, specifically, the projected return on funds </w:t>
      </w:r>
      <w:r w:rsidR="003C4F5C" w:rsidRPr="00804028">
        <w:rPr>
          <w:b/>
          <w:bCs/>
          <w:i/>
          <w:iCs/>
        </w:rPr>
        <w:t>r*</w:t>
      </w:r>
      <w:r w:rsidR="003C4F5C">
        <w:rPr>
          <w:bCs/>
          <w:iCs/>
        </w:rPr>
        <w:t xml:space="preserve">, and the strategy </w:t>
      </w:r>
      <w:r w:rsidR="007C7748">
        <w:rPr>
          <w:bCs/>
          <w:iCs/>
        </w:rPr>
        <w:t xml:space="preserve">for the implementation of </w:t>
      </w:r>
      <w:r w:rsidR="007C7748">
        <w:t>the Decommissioning and SNF management programme, i.e. over how many periods the contributions will be made.</w:t>
      </w:r>
    </w:p>
    <w:p w14:paraId="0E7A1746" w14:textId="0847B795" w:rsidR="00A676B6" w:rsidRDefault="007C7748" w:rsidP="00166479">
      <w:pPr>
        <w:pStyle w:val="BodyText"/>
      </w:pPr>
      <w:r>
        <w:t>These inputs provide, within the framework of the model in fixed-price world and no uncertainty,</w:t>
      </w:r>
      <w:r w:rsidR="005E082E">
        <w:t xml:space="preserve"> enough information to recalculate the amount of </w:t>
      </w:r>
      <w:r w:rsidR="00FF5CBF">
        <w:t>periodic (annual) contribution</w:t>
      </w:r>
      <w:r w:rsidR="00923083">
        <w:t>. This amount</w:t>
      </w:r>
      <w:r w:rsidR="006329F0">
        <w:t xml:space="preserve"> is the</w:t>
      </w:r>
      <w:r w:rsidR="006E0B71">
        <w:t xml:space="preserve"> difference between the </w:t>
      </w:r>
      <w:r w:rsidR="00347D57">
        <w:t xml:space="preserve">estimated </w:t>
      </w:r>
      <w:r w:rsidR="006E0B71">
        <w:t xml:space="preserve">target value of the fund and </w:t>
      </w:r>
      <w:r w:rsidR="001C4E90">
        <w:t>amount that has already been accumulated</w:t>
      </w:r>
      <w:r w:rsidR="00501353">
        <w:t xml:space="preserve"> (this amount should also be normalized to</w:t>
      </w:r>
      <w:r w:rsidR="00EF3E5E">
        <w:t xml:space="preserve"> the moment of the NPP EOL given the </w:t>
      </w:r>
      <w:r w:rsidR="00923083">
        <w:t xml:space="preserve">estimate of the projected return on funds </w:t>
      </w:r>
      <w:r w:rsidR="00923083" w:rsidRPr="00804028">
        <w:rPr>
          <w:b/>
          <w:bCs/>
          <w:i/>
          <w:iCs/>
        </w:rPr>
        <w:t>r*</w:t>
      </w:r>
      <w:r w:rsidR="00923083">
        <w:rPr>
          <w:bCs/>
          <w:iCs/>
        </w:rPr>
        <w:t>)</w:t>
      </w:r>
      <w:r w:rsidR="00EF3E5E">
        <w:t xml:space="preserve"> </w:t>
      </w:r>
      <w:r w:rsidR="00923083">
        <w:t>and</w:t>
      </w:r>
      <w:r w:rsidR="001C4E90">
        <w:t xml:space="preserve"> multiplied by the </w:t>
      </w:r>
      <w:r w:rsidR="00346E21">
        <w:t>SFF.</w:t>
      </w:r>
      <w:r w:rsidR="00784856">
        <w:t xml:space="preserve"> </w:t>
      </w:r>
      <w:r w:rsidR="00784856" w:rsidRPr="003C4F5C" w:rsidDel="00784856">
        <w:t xml:space="preserve"> </w:t>
      </w:r>
    </w:p>
    <w:p w14:paraId="7CDB8AB4" w14:textId="77777777" w:rsidR="000F73B5" w:rsidRDefault="00F45D97" w:rsidP="000F73B5">
      <w:pPr>
        <w:pStyle w:val="BodyText"/>
        <w:keepNext/>
        <w:ind w:firstLine="0"/>
        <w:jc w:val="center"/>
      </w:pPr>
      <w:r>
        <w:rPr>
          <w:noProof/>
        </w:rPr>
        <w:lastRenderedPageBreak/>
        <w:drawing>
          <wp:inline distT="0" distB="0" distL="0" distR="0" wp14:anchorId="6EC32775" wp14:editId="7061DDFB">
            <wp:extent cx="4563242" cy="318258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1466" cy="3188323"/>
                    </a:xfrm>
                    <a:prstGeom prst="rect">
                      <a:avLst/>
                    </a:prstGeom>
                    <a:noFill/>
                    <a:ln>
                      <a:noFill/>
                    </a:ln>
                  </pic:spPr>
                </pic:pic>
              </a:graphicData>
            </a:graphic>
          </wp:inline>
        </w:drawing>
      </w:r>
    </w:p>
    <w:p w14:paraId="0D651707" w14:textId="77777777" w:rsidR="000F73B5" w:rsidRDefault="000F73B5" w:rsidP="000F73B5">
      <w:pPr>
        <w:pStyle w:val="BodyText"/>
        <w:keepNext/>
        <w:ind w:firstLine="0"/>
        <w:jc w:val="center"/>
      </w:pPr>
    </w:p>
    <w:p w14:paraId="7A310FED" w14:textId="77777777" w:rsidR="00626A89" w:rsidRPr="00181553" w:rsidRDefault="000F73B5" w:rsidP="00181553">
      <w:pPr>
        <w:pStyle w:val="Caption"/>
        <w:jc w:val="center"/>
        <w:rPr>
          <w:i/>
        </w:rPr>
      </w:pPr>
      <w:r w:rsidRPr="00181553">
        <w:rPr>
          <w:i/>
        </w:rPr>
        <w:t>FIG.</w:t>
      </w:r>
      <w:r w:rsidR="00A315BD" w:rsidRPr="00181553">
        <w:rPr>
          <w:i/>
        </w:rPr>
        <w:t xml:space="preserve"> 7</w:t>
      </w:r>
      <w:r w:rsidRPr="00181553">
        <w:rPr>
          <w:i/>
        </w:rPr>
        <w:t>. Inputs to the k</w:t>
      </w:r>
      <w:r w:rsidRPr="00181553">
        <w:rPr>
          <w:i/>
          <w:vertAlign w:val="superscript"/>
        </w:rPr>
        <w:t>th</w:t>
      </w:r>
      <w:r w:rsidRPr="00181553">
        <w:rPr>
          <w:i/>
        </w:rPr>
        <w:t xml:space="preserve"> revision of a contribution schedule</w:t>
      </w:r>
    </w:p>
    <w:p w14:paraId="028A7D03" w14:textId="77777777" w:rsidR="0088014F" w:rsidRDefault="0088014F" w:rsidP="00622AB8">
      <w:pPr>
        <w:pStyle w:val="BodyText"/>
        <w:ind w:firstLine="0"/>
      </w:pPr>
    </w:p>
    <w:p w14:paraId="15EAA0F4" w14:textId="77777777" w:rsidR="0088014F" w:rsidRDefault="0088014F" w:rsidP="0088014F">
      <w:pPr>
        <w:pStyle w:val="Heading2"/>
        <w:numPr>
          <w:ilvl w:val="1"/>
          <w:numId w:val="10"/>
        </w:numPr>
      </w:pPr>
      <w:bookmarkStart w:id="11" w:name="_Ref8036235"/>
      <w:r>
        <w:t>CONCLUSIONS</w:t>
      </w:r>
      <w:bookmarkEnd w:id="11"/>
      <w:r w:rsidR="00DD5D2E">
        <w:t xml:space="preserve"> </w:t>
      </w:r>
    </w:p>
    <w:p w14:paraId="652D6158" w14:textId="633753E2" w:rsidR="00373082" w:rsidRDefault="00466BA4" w:rsidP="00373082">
      <w:pPr>
        <w:pStyle w:val="BodyText"/>
      </w:pPr>
      <w:r>
        <w:t>Funding strategies designed to meet</w:t>
      </w:r>
      <w:r w:rsidR="00626A89">
        <w:t xml:space="preserve"> liabilities arising from the need to dispose SNF </w:t>
      </w:r>
      <w:r>
        <w:t xml:space="preserve">are an integral part of ensuring that nuclear power generation is carried out in an environmentally conscientious and sustainable manner. </w:t>
      </w:r>
      <w:r w:rsidR="00626A89">
        <w:t xml:space="preserve">In this paper we have emphasized the role of the intergenerational equity principle in shaping such strategies, demonstrated the role of discounting in identifying a target for funds to attain by an NPP’s EOL, demonstrated the use of the SFF in deriving a uniform contribution schedule, and stressed the importance of periodic re-estimation and plan revision (as shown in </w:t>
      </w:r>
      <w:r w:rsidR="004958F2">
        <w:fldChar w:fldCharType="begin"/>
      </w:r>
      <w:r w:rsidR="004958F2">
        <w:instrText xml:space="preserve"> REF _Ref8053485 </w:instrText>
      </w:r>
      <w:r w:rsidR="004958F2">
        <w:fldChar w:fldCharType="separate"/>
      </w:r>
      <w:r w:rsidR="001B5DD0">
        <w:t>Fig</w:t>
      </w:r>
      <w:r w:rsidR="006F72A6">
        <w:t>.</w:t>
      </w:r>
      <w:r w:rsidR="00272D38">
        <w:t xml:space="preserve"> </w:t>
      </w:r>
      <w:r w:rsidR="001B5DD0">
        <w:rPr>
          <w:noProof/>
        </w:rPr>
        <w:t>7</w:t>
      </w:r>
      <w:r w:rsidR="004958F2">
        <w:rPr>
          <w:noProof/>
        </w:rPr>
        <w:fldChar w:fldCharType="end"/>
      </w:r>
      <w:r w:rsidR="00373082">
        <w:t xml:space="preserve">) in order to address uncertainty. </w:t>
      </w:r>
      <w:r w:rsidR="00541891">
        <w:t xml:space="preserve">Two examples of ‘contribution schedules’ have been presented: the ‘lump sum’ case and the ‘continuous uniform contributions’ case. These may be thought of as polar cases, with the former removing all funding risk arising from the possibility of premature shutdown. It is straightforward to derive an intermediate case in which funding is front-end loaded – i.e. weighted so that larger contributions are made earlier in an NPP’s operating life. It is also relatively straightforward to relax the ‘fixed price’ assumption – made here for simplicity; in the real world this will necessitate the forecasting of price escalation and the incorporation of this forecast into the revision process shown in </w:t>
      </w:r>
      <w:r w:rsidR="004958F2">
        <w:fldChar w:fldCharType="begin"/>
      </w:r>
      <w:r w:rsidR="004958F2">
        <w:instrText xml:space="preserve"> REF _Ref8053485 </w:instrText>
      </w:r>
      <w:r w:rsidR="004958F2">
        <w:fldChar w:fldCharType="separate"/>
      </w:r>
      <w:r w:rsidR="001B5DD0">
        <w:t>Fig</w:t>
      </w:r>
      <w:r w:rsidR="0098473D">
        <w:t>.</w:t>
      </w:r>
      <w:r w:rsidR="001B5DD0">
        <w:t xml:space="preserve"> </w:t>
      </w:r>
      <w:r w:rsidR="001B5DD0">
        <w:rPr>
          <w:noProof/>
        </w:rPr>
        <w:t>7</w:t>
      </w:r>
      <w:r w:rsidR="004958F2">
        <w:rPr>
          <w:noProof/>
        </w:rPr>
        <w:fldChar w:fldCharType="end"/>
      </w:r>
      <w:r w:rsidR="00541891">
        <w:t xml:space="preserve">, but this modification is also relatively straightforward. </w:t>
      </w:r>
    </w:p>
    <w:p w14:paraId="18FC605C" w14:textId="77777777" w:rsidR="00373082" w:rsidRDefault="00373082" w:rsidP="00622AB8">
      <w:pPr>
        <w:pStyle w:val="BodyText"/>
        <w:ind w:firstLine="0"/>
      </w:pPr>
    </w:p>
    <w:p w14:paraId="250978C6" w14:textId="77777777" w:rsidR="00373082" w:rsidRDefault="00373082" w:rsidP="00373082">
      <w:pPr>
        <w:pStyle w:val="BodyText"/>
      </w:pPr>
    </w:p>
    <w:sdt>
      <w:sdtPr>
        <w:rPr>
          <w:rFonts w:ascii="Times New Roman" w:hAnsi="Times New Roman"/>
          <w:b w:val="0"/>
          <w:caps w:val="0"/>
          <w:sz w:val="22"/>
          <w:lang w:val="en-GB"/>
        </w:rPr>
        <w:id w:val="-1519854945"/>
        <w:docPartObj>
          <w:docPartGallery w:val="Bibliographies"/>
          <w:docPartUnique/>
        </w:docPartObj>
      </w:sdtPr>
      <w:sdtEndPr/>
      <w:sdtContent>
        <w:p w14:paraId="776B051D" w14:textId="77777777" w:rsidR="00B30E0A" w:rsidRDefault="00B30E0A" w:rsidP="001041AC">
          <w:pPr>
            <w:pStyle w:val="Heading1"/>
            <w:ind w:left="0"/>
            <w:jc w:val="center"/>
          </w:pPr>
          <w:r>
            <w:t>REFERENCES</w:t>
          </w:r>
        </w:p>
        <w:sdt>
          <w:sdtPr>
            <w:id w:val="111145805"/>
            <w:bibliography/>
          </w:sdtPr>
          <w:sdtEndPr/>
          <w:sdtContent>
            <w:p w14:paraId="5FB02AC9" w14:textId="77777777" w:rsidR="005A2A8F" w:rsidRDefault="00B30E0A">
              <w:pPr>
                <w:rPr>
                  <w:noProof/>
                  <w:sz w:val="20"/>
                  <w:lang w:eastAsia="en-GB"/>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
                <w:gridCol w:w="8695"/>
              </w:tblGrid>
              <w:tr w:rsidR="005A2A8F" w14:paraId="34738106" w14:textId="77777777">
                <w:trPr>
                  <w:divId w:val="799422973"/>
                  <w:tblCellSpacing w:w="15" w:type="dxa"/>
                </w:trPr>
                <w:tc>
                  <w:tcPr>
                    <w:tcW w:w="50" w:type="pct"/>
                    <w:hideMark/>
                  </w:tcPr>
                  <w:p w14:paraId="0466479A" w14:textId="77777777" w:rsidR="005A2A8F" w:rsidRDefault="005A2A8F">
                    <w:pPr>
                      <w:pStyle w:val="Bibliography"/>
                      <w:rPr>
                        <w:noProof/>
                        <w:sz w:val="24"/>
                        <w:szCs w:val="24"/>
                        <w:lang w:val="en-US"/>
                      </w:rPr>
                    </w:pPr>
                    <w:r>
                      <w:rPr>
                        <w:noProof/>
                        <w:lang w:val="en-US"/>
                      </w:rPr>
                      <w:t xml:space="preserve">[1] </w:t>
                    </w:r>
                  </w:p>
                </w:tc>
                <w:tc>
                  <w:tcPr>
                    <w:tcW w:w="0" w:type="auto"/>
                    <w:hideMark/>
                  </w:tcPr>
                  <w:p w14:paraId="62D5859B" w14:textId="77777777" w:rsidR="005A2A8F" w:rsidRDefault="005A2A8F">
                    <w:pPr>
                      <w:pStyle w:val="Bibliography"/>
                      <w:rPr>
                        <w:noProof/>
                        <w:lang w:val="en-US"/>
                      </w:rPr>
                    </w:pPr>
                    <w:r>
                      <w:rPr>
                        <w:noProof/>
                        <w:lang w:val="en-US"/>
                      </w:rPr>
                      <w:t>IAEA, "Joint Convention on the Safety of Spent Fuel Management and on the Safety of Radioactive Waste Management, INFCIRC/546," IAEA, Vienna, 1997.</w:t>
                    </w:r>
                  </w:p>
                </w:tc>
              </w:tr>
              <w:tr w:rsidR="005A2A8F" w14:paraId="74AA70C5" w14:textId="77777777">
                <w:trPr>
                  <w:divId w:val="799422973"/>
                  <w:tblCellSpacing w:w="15" w:type="dxa"/>
                </w:trPr>
                <w:tc>
                  <w:tcPr>
                    <w:tcW w:w="50" w:type="pct"/>
                    <w:hideMark/>
                  </w:tcPr>
                  <w:p w14:paraId="4E29845E" w14:textId="77777777" w:rsidR="005A2A8F" w:rsidRDefault="005A2A8F">
                    <w:pPr>
                      <w:pStyle w:val="Bibliography"/>
                      <w:rPr>
                        <w:noProof/>
                        <w:lang w:val="en-US"/>
                      </w:rPr>
                    </w:pPr>
                    <w:r>
                      <w:rPr>
                        <w:noProof/>
                        <w:lang w:val="en-US"/>
                      </w:rPr>
                      <w:t xml:space="preserve">[2] </w:t>
                    </w:r>
                  </w:p>
                </w:tc>
                <w:tc>
                  <w:tcPr>
                    <w:tcW w:w="0" w:type="auto"/>
                    <w:hideMark/>
                  </w:tcPr>
                  <w:p w14:paraId="29C7E50A" w14:textId="77777777" w:rsidR="005A2A8F" w:rsidRDefault="005A2A8F">
                    <w:pPr>
                      <w:pStyle w:val="Bibliography"/>
                      <w:rPr>
                        <w:noProof/>
                        <w:lang w:val="en-US"/>
                      </w:rPr>
                    </w:pPr>
                    <w:r>
                      <w:rPr>
                        <w:noProof/>
                        <w:lang w:val="en-US"/>
                      </w:rPr>
                      <w:t>Nuclear Waste Management Organisation, "APM Conceptual Design and Cost Estimate for a Deep Geological Repository in Crystalline Rock Summary Report, APM-REP-00440-0011," Toronto, October, 2011.</w:t>
                    </w:r>
                  </w:p>
                </w:tc>
              </w:tr>
            </w:tbl>
            <w:p w14:paraId="49B521FD" w14:textId="77777777" w:rsidR="005A2A8F" w:rsidRDefault="005A2A8F">
              <w:pPr>
                <w:divId w:val="799422973"/>
                <w:rPr>
                  <w:noProof/>
                </w:rPr>
              </w:pPr>
            </w:p>
            <w:p w14:paraId="44E5BA75" w14:textId="77777777" w:rsidR="00B30E0A" w:rsidRDefault="00B30E0A">
              <w:r>
                <w:rPr>
                  <w:b/>
                  <w:bCs/>
                  <w:noProof/>
                </w:rPr>
                <w:fldChar w:fldCharType="end"/>
              </w:r>
            </w:p>
          </w:sdtContent>
        </w:sdt>
      </w:sdtContent>
    </w:sdt>
    <w:p w14:paraId="3C2EE249" w14:textId="77777777" w:rsidR="000030D1" w:rsidRDefault="000030D1" w:rsidP="003B5CAB">
      <w:pPr>
        <w:pStyle w:val="BodyText"/>
      </w:pPr>
    </w:p>
    <w:p w14:paraId="6DABE4CE" w14:textId="77777777" w:rsidR="000030D1" w:rsidRPr="00F271D2" w:rsidRDefault="000030D1" w:rsidP="003B5CAB">
      <w:pPr>
        <w:pStyle w:val="BodyText"/>
        <w:rPr>
          <w:lang w:val="en-US"/>
        </w:rPr>
      </w:pPr>
    </w:p>
    <w:p w14:paraId="43EC4906" w14:textId="77777777" w:rsidR="00F45EEE" w:rsidRPr="00662532" w:rsidRDefault="00F45EEE" w:rsidP="00537496">
      <w:pPr>
        <w:pStyle w:val="BodyText"/>
        <w:ind w:firstLine="0"/>
        <w:jc w:val="left"/>
      </w:pPr>
    </w:p>
    <w:sectPr w:rsidR="00F45EEE" w:rsidRPr="00662532" w:rsidSect="0026525A">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22838" w14:textId="77777777" w:rsidR="003F71CE" w:rsidRDefault="003F71CE">
      <w:r>
        <w:separator/>
      </w:r>
    </w:p>
  </w:endnote>
  <w:endnote w:type="continuationSeparator" w:id="0">
    <w:p w14:paraId="0ABF3CDB" w14:textId="77777777" w:rsidR="003F71CE" w:rsidRDefault="003F7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903C7" w14:textId="77777777" w:rsidR="00E20E70" w:rsidRDefault="00E20E70">
    <w:pPr>
      <w:pStyle w:val="zyxClassification1"/>
    </w:pPr>
    <w:r>
      <w:fldChar w:fldCharType="begin"/>
    </w:r>
    <w:r>
      <w:instrText xml:space="preserve"> DOCPROPERTY "IaeaClassification"  \* MERGEFORMAT </w:instrText>
    </w:r>
    <w:r>
      <w:fldChar w:fldCharType="end"/>
    </w:r>
  </w:p>
  <w:p w14:paraId="6B129799"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F8A2B" w14:textId="77777777" w:rsidR="00E20E70" w:rsidRDefault="00E20E70">
    <w:pPr>
      <w:pStyle w:val="zyxClassification1"/>
    </w:pPr>
    <w:r>
      <w:fldChar w:fldCharType="begin"/>
    </w:r>
    <w:r>
      <w:instrText xml:space="preserve"> DOCPROPERTY "IaeaClassification"  \* MERGEFORMAT </w:instrText>
    </w:r>
    <w:r>
      <w:fldChar w:fldCharType="end"/>
    </w:r>
  </w:p>
  <w:p w14:paraId="06D47555" w14:textId="77777777"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26525A">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29EA793A" w14:textId="77777777">
      <w:trPr>
        <w:cantSplit/>
      </w:trPr>
      <w:tc>
        <w:tcPr>
          <w:tcW w:w="4644" w:type="dxa"/>
        </w:tcPr>
        <w:p w14:paraId="0033E786"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6245AFB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3" w:name="DOC_bkmClassification2"/>
      <w:tc>
        <w:tcPr>
          <w:tcW w:w="5670" w:type="dxa"/>
          <w:tcMar>
            <w:right w:w="249" w:type="dxa"/>
          </w:tcMar>
        </w:tcPr>
        <w:p w14:paraId="26729D28"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3"/>
        <w:p w14:paraId="1603C6B3"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14" w:name="DOC_bkmFileName"/>
  <w:p w14:paraId="23396264" w14:textId="48B6B8C8" w:rsidR="00E20E70" w:rsidRDefault="00E20E70">
    <w:r>
      <w:rPr>
        <w:sz w:val="16"/>
      </w:rPr>
      <w:fldChar w:fldCharType="begin"/>
    </w:r>
    <w:r>
      <w:rPr>
        <w:sz w:val="16"/>
      </w:rPr>
      <w:instrText xml:space="preserve"> FILENAME \* MERGEFORMAT </w:instrText>
    </w:r>
    <w:r>
      <w:rPr>
        <w:sz w:val="16"/>
      </w:rPr>
      <w:fldChar w:fldCharType="separate"/>
    </w:r>
    <w:r w:rsidR="001B5DD0">
      <w:rPr>
        <w:noProof/>
        <w:sz w:val="16"/>
      </w:rPr>
      <w:t>Conference_Proceedings_Funding Strategies for Spent Fuel Liabilities - v4.docx</w:t>
    </w:r>
    <w:r>
      <w:rPr>
        <w:sz w:val="16"/>
      </w:rPr>
      <w:fldChar w:fldCharType="end"/>
    </w:r>
    <w:bookmarkEnd w:id="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68D55" w14:textId="77777777" w:rsidR="003F71CE" w:rsidRDefault="003F71CE">
      <w:r>
        <w:t>___________________________________________________________________________</w:t>
      </w:r>
    </w:p>
  </w:footnote>
  <w:footnote w:type="continuationSeparator" w:id="0">
    <w:p w14:paraId="5D8C1A1A" w14:textId="77777777" w:rsidR="003F71CE" w:rsidRDefault="003F71CE">
      <w:r>
        <w:t>___________________________________________________________________________</w:t>
      </w:r>
    </w:p>
  </w:footnote>
  <w:footnote w:type="continuationNotice" w:id="1">
    <w:p w14:paraId="3582C624" w14:textId="77777777" w:rsidR="003F71CE" w:rsidRDefault="003F71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D75F2" w14:textId="77777777" w:rsidR="00CF7AF3" w:rsidRDefault="00CF7AF3" w:rsidP="00CF7AF3">
    <w:pPr>
      <w:pStyle w:val="Runninghead"/>
    </w:pPr>
    <w:r>
      <w:tab/>
      <w:t>IAEA-</w:t>
    </w:r>
    <w:r w:rsidR="001B0874">
      <w:t>SFM19</w:t>
    </w:r>
    <w:r>
      <w:t>-</w:t>
    </w:r>
    <w:r w:rsidR="00DE6FDC">
      <w:t>149</w:t>
    </w:r>
  </w:p>
  <w:p w14:paraId="77728E31" w14:textId="77777777" w:rsidR="00E20E70" w:rsidRDefault="00CF7AF3" w:rsidP="001B0874">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r w:rsidR="00E20E70">
      <w:fldChar w:fldCharType="begin"/>
    </w:r>
    <w:r w:rsidR="00E20E70">
      <w:instrText>DOCPROPERTY "IaeaClassification2"  \* MERGEFORMAT</w:instrText>
    </w:r>
    <w:r w:rsidR="00E20E70">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D45A6" w14:textId="77777777" w:rsidR="00A0082A" w:rsidRPr="009E1558" w:rsidRDefault="00A0082A" w:rsidP="00A0082A">
    <w:pPr>
      <w:pStyle w:val="Runninghead"/>
      <w:rPr>
        <w:color w:val="BFBFBF" w:themeColor="background1" w:themeShade="BF"/>
      </w:rPr>
    </w:pPr>
    <w:r>
      <w:t xml:space="preserve">D. </w:t>
    </w:r>
    <w:r w:rsidR="00A7048D">
      <w:t xml:space="preserve">SUBBOTNITSKIY, </w:t>
    </w:r>
    <w:r>
      <w:t>P. WARREN, and S. DARDOUR</w:t>
    </w:r>
  </w:p>
  <w:p w14:paraId="43A5C06E" w14:textId="77777777" w:rsidR="00037321" w:rsidRPr="009E1558" w:rsidRDefault="00037321" w:rsidP="00037321">
    <w:pPr>
      <w:jc w:val="center"/>
      <w:rPr>
        <w:color w:val="BFBFBF" w:themeColor="background1" w:themeShade="BF"/>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515268FC" w14:textId="77777777">
      <w:trPr>
        <w:cantSplit/>
        <w:trHeight w:val="716"/>
      </w:trPr>
      <w:tc>
        <w:tcPr>
          <w:tcW w:w="979" w:type="dxa"/>
          <w:vMerge w:val="restart"/>
        </w:tcPr>
        <w:p w14:paraId="3B5A0B0B" w14:textId="77777777" w:rsidR="00E20E70" w:rsidRDefault="00E20E70">
          <w:pPr>
            <w:spacing w:before="180"/>
            <w:ind w:left="17"/>
          </w:pPr>
        </w:p>
      </w:tc>
      <w:tc>
        <w:tcPr>
          <w:tcW w:w="3638" w:type="dxa"/>
          <w:vAlign w:val="bottom"/>
        </w:tcPr>
        <w:p w14:paraId="08667433" w14:textId="77777777" w:rsidR="00E20E70" w:rsidRDefault="00E20E70">
          <w:pPr>
            <w:spacing w:after="20"/>
          </w:pPr>
        </w:p>
      </w:tc>
      <w:bookmarkStart w:id="12" w:name="DOC_bkmClassification1"/>
      <w:tc>
        <w:tcPr>
          <w:tcW w:w="5702" w:type="dxa"/>
          <w:vMerge w:val="restart"/>
          <w:tcMar>
            <w:right w:w="193" w:type="dxa"/>
          </w:tcMar>
        </w:tcPr>
        <w:p w14:paraId="5D847BC7"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2"/>
        <w:p w14:paraId="3E8D646C" w14:textId="77777777" w:rsidR="00E20E70" w:rsidRDefault="00E20E70">
          <w:pPr>
            <w:pStyle w:val="zyxConfid2Red"/>
          </w:pPr>
          <w:r>
            <w:fldChar w:fldCharType="begin"/>
          </w:r>
          <w:r>
            <w:instrText>DOCPROPERTY "IaeaClassification2"  \* MERGEFORMAT</w:instrText>
          </w:r>
          <w:r>
            <w:fldChar w:fldCharType="end"/>
          </w:r>
        </w:p>
      </w:tc>
    </w:tr>
    <w:tr w:rsidR="00E20E70" w14:paraId="39CAB3E1" w14:textId="77777777">
      <w:trPr>
        <w:cantSplit/>
        <w:trHeight w:val="167"/>
      </w:trPr>
      <w:tc>
        <w:tcPr>
          <w:tcW w:w="979" w:type="dxa"/>
          <w:vMerge/>
        </w:tcPr>
        <w:p w14:paraId="61927F02" w14:textId="77777777" w:rsidR="00E20E70" w:rsidRDefault="00E20E70">
          <w:pPr>
            <w:spacing w:before="57"/>
          </w:pPr>
        </w:p>
      </w:tc>
      <w:tc>
        <w:tcPr>
          <w:tcW w:w="3638" w:type="dxa"/>
          <w:vAlign w:val="bottom"/>
        </w:tcPr>
        <w:p w14:paraId="4C1F6C68" w14:textId="77777777" w:rsidR="00E20E70" w:rsidRDefault="00E20E70">
          <w:pPr>
            <w:pStyle w:val="Heading9"/>
            <w:spacing w:before="0" w:after="10"/>
          </w:pPr>
        </w:p>
      </w:tc>
      <w:tc>
        <w:tcPr>
          <w:tcW w:w="5702" w:type="dxa"/>
          <w:vMerge/>
          <w:vAlign w:val="bottom"/>
        </w:tcPr>
        <w:p w14:paraId="6C8EB535" w14:textId="77777777" w:rsidR="00E20E70" w:rsidRDefault="00E20E70">
          <w:pPr>
            <w:pStyle w:val="Heading9"/>
            <w:spacing w:before="0" w:after="10"/>
          </w:pPr>
        </w:p>
      </w:tc>
    </w:tr>
  </w:tbl>
  <w:p w14:paraId="3063A1DF"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29F3"/>
    <w:multiLevelType w:val="hybridMultilevel"/>
    <w:tmpl w:val="B43A93BA"/>
    <w:lvl w:ilvl="0" w:tplc="CFBE2F44">
      <w:start w:val="1"/>
      <w:numFmt w:val="lowerRoman"/>
      <w:lvlText w:val="(%1)"/>
      <w:lvlJc w:val="left"/>
      <w:pPr>
        <w:ind w:left="1483" w:hanging="720"/>
      </w:pPr>
      <w:rPr>
        <w:rFonts w:hint="default"/>
      </w:rPr>
    </w:lvl>
    <w:lvl w:ilvl="1" w:tplc="08090019" w:tentative="1">
      <w:start w:val="1"/>
      <w:numFmt w:val="lowerLetter"/>
      <w:lvlText w:val="%2."/>
      <w:lvlJc w:val="left"/>
      <w:pPr>
        <w:ind w:left="1843" w:hanging="360"/>
      </w:pPr>
    </w:lvl>
    <w:lvl w:ilvl="2" w:tplc="0809001B" w:tentative="1">
      <w:start w:val="1"/>
      <w:numFmt w:val="lowerRoman"/>
      <w:lvlText w:val="%3."/>
      <w:lvlJc w:val="right"/>
      <w:pPr>
        <w:ind w:left="2563" w:hanging="180"/>
      </w:pPr>
    </w:lvl>
    <w:lvl w:ilvl="3" w:tplc="0809000F" w:tentative="1">
      <w:start w:val="1"/>
      <w:numFmt w:val="decimal"/>
      <w:lvlText w:val="%4."/>
      <w:lvlJc w:val="left"/>
      <w:pPr>
        <w:ind w:left="3283" w:hanging="360"/>
      </w:pPr>
    </w:lvl>
    <w:lvl w:ilvl="4" w:tplc="08090019" w:tentative="1">
      <w:start w:val="1"/>
      <w:numFmt w:val="lowerLetter"/>
      <w:lvlText w:val="%5."/>
      <w:lvlJc w:val="left"/>
      <w:pPr>
        <w:ind w:left="4003" w:hanging="360"/>
      </w:pPr>
    </w:lvl>
    <w:lvl w:ilvl="5" w:tplc="0809001B" w:tentative="1">
      <w:start w:val="1"/>
      <w:numFmt w:val="lowerRoman"/>
      <w:lvlText w:val="%6."/>
      <w:lvlJc w:val="right"/>
      <w:pPr>
        <w:ind w:left="4723" w:hanging="180"/>
      </w:pPr>
    </w:lvl>
    <w:lvl w:ilvl="6" w:tplc="0809000F" w:tentative="1">
      <w:start w:val="1"/>
      <w:numFmt w:val="decimal"/>
      <w:lvlText w:val="%7."/>
      <w:lvlJc w:val="left"/>
      <w:pPr>
        <w:ind w:left="5443" w:hanging="360"/>
      </w:pPr>
    </w:lvl>
    <w:lvl w:ilvl="7" w:tplc="08090019" w:tentative="1">
      <w:start w:val="1"/>
      <w:numFmt w:val="lowerLetter"/>
      <w:lvlText w:val="%8."/>
      <w:lvlJc w:val="left"/>
      <w:pPr>
        <w:ind w:left="6163" w:hanging="360"/>
      </w:pPr>
    </w:lvl>
    <w:lvl w:ilvl="8" w:tplc="0809001B" w:tentative="1">
      <w:start w:val="1"/>
      <w:numFmt w:val="lowerRoman"/>
      <w:lvlText w:val="%9."/>
      <w:lvlJc w:val="right"/>
      <w:pPr>
        <w:ind w:left="6883" w:hanging="180"/>
      </w:pPr>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8F47CAB"/>
    <w:multiLevelType w:val="hybridMultilevel"/>
    <w:tmpl w:val="1018E628"/>
    <w:lvl w:ilvl="0" w:tplc="39C2404E">
      <w:start w:val="1"/>
      <w:numFmt w:val="bullet"/>
      <w:lvlText w:val="•"/>
      <w:lvlJc w:val="left"/>
      <w:pPr>
        <w:tabs>
          <w:tab w:val="num" w:pos="720"/>
        </w:tabs>
        <w:ind w:left="720" w:hanging="360"/>
      </w:pPr>
      <w:rPr>
        <w:rFonts w:ascii="Arial" w:hAnsi="Arial" w:hint="default"/>
      </w:rPr>
    </w:lvl>
    <w:lvl w:ilvl="1" w:tplc="60CCFA98">
      <w:start w:val="1"/>
      <w:numFmt w:val="bullet"/>
      <w:lvlText w:val="•"/>
      <w:lvlJc w:val="left"/>
      <w:pPr>
        <w:tabs>
          <w:tab w:val="num" w:pos="1440"/>
        </w:tabs>
        <w:ind w:left="1440" w:hanging="360"/>
      </w:pPr>
      <w:rPr>
        <w:rFonts w:ascii="Arial" w:hAnsi="Arial" w:hint="default"/>
      </w:rPr>
    </w:lvl>
    <w:lvl w:ilvl="2" w:tplc="51B2B436" w:tentative="1">
      <w:start w:val="1"/>
      <w:numFmt w:val="bullet"/>
      <w:lvlText w:val="•"/>
      <w:lvlJc w:val="left"/>
      <w:pPr>
        <w:tabs>
          <w:tab w:val="num" w:pos="2160"/>
        </w:tabs>
        <w:ind w:left="2160" w:hanging="360"/>
      </w:pPr>
      <w:rPr>
        <w:rFonts w:ascii="Arial" w:hAnsi="Arial" w:hint="default"/>
      </w:rPr>
    </w:lvl>
    <w:lvl w:ilvl="3" w:tplc="F080E75A" w:tentative="1">
      <w:start w:val="1"/>
      <w:numFmt w:val="bullet"/>
      <w:lvlText w:val="•"/>
      <w:lvlJc w:val="left"/>
      <w:pPr>
        <w:tabs>
          <w:tab w:val="num" w:pos="2880"/>
        </w:tabs>
        <w:ind w:left="2880" w:hanging="360"/>
      </w:pPr>
      <w:rPr>
        <w:rFonts w:ascii="Arial" w:hAnsi="Arial" w:hint="default"/>
      </w:rPr>
    </w:lvl>
    <w:lvl w:ilvl="4" w:tplc="FFD40AB4" w:tentative="1">
      <w:start w:val="1"/>
      <w:numFmt w:val="bullet"/>
      <w:lvlText w:val="•"/>
      <w:lvlJc w:val="left"/>
      <w:pPr>
        <w:tabs>
          <w:tab w:val="num" w:pos="3600"/>
        </w:tabs>
        <w:ind w:left="3600" w:hanging="360"/>
      </w:pPr>
      <w:rPr>
        <w:rFonts w:ascii="Arial" w:hAnsi="Arial" w:hint="default"/>
      </w:rPr>
    </w:lvl>
    <w:lvl w:ilvl="5" w:tplc="01EAD71E" w:tentative="1">
      <w:start w:val="1"/>
      <w:numFmt w:val="bullet"/>
      <w:lvlText w:val="•"/>
      <w:lvlJc w:val="left"/>
      <w:pPr>
        <w:tabs>
          <w:tab w:val="num" w:pos="4320"/>
        </w:tabs>
        <w:ind w:left="4320" w:hanging="360"/>
      </w:pPr>
      <w:rPr>
        <w:rFonts w:ascii="Arial" w:hAnsi="Arial" w:hint="default"/>
      </w:rPr>
    </w:lvl>
    <w:lvl w:ilvl="6" w:tplc="1C7063EE" w:tentative="1">
      <w:start w:val="1"/>
      <w:numFmt w:val="bullet"/>
      <w:lvlText w:val="•"/>
      <w:lvlJc w:val="left"/>
      <w:pPr>
        <w:tabs>
          <w:tab w:val="num" w:pos="5040"/>
        </w:tabs>
        <w:ind w:left="5040" w:hanging="360"/>
      </w:pPr>
      <w:rPr>
        <w:rFonts w:ascii="Arial" w:hAnsi="Arial" w:hint="default"/>
      </w:rPr>
    </w:lvl>
    <w:lvl w:ilvl="7" w:tplc="36468F18" w:tentative="1">
      <w:start w:val="1"/>
      <w:numFmt w:val="bullet"/>
      <w:lvlText w:val="•"/>
      <w:lvlJc w:val="left"/>
      <w:pPr>
        <w:tabs>
          <w:tab w:val="num" w:pos="5760"/>
        </w:tabs>
        <w:ind w:left="5760" w:hanging="360"/>
      </w:pPr>
      <w:rPr>
        <w:rFonts w:ascii="Arial" w:hAnsi="Arial" w:hint="default"/>
      </w:rPr>
    </w:lvl>
    <w:lvl w:ilvl="8" w:tplc="03EE0D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3B362B"/>
    <w:multiLevelType w:val="hybridMultilevel"/>
    <w:tmpl w:val="A4500A6E"/>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9"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423C76"/>
    <w:multiLevelType w:val="hybridMultilevel"/>
    <w:tmpl w:val="92F8A182"/>
    <w:lvl w:ilvl="0" w:tplc="8E8E4F3E">
      <w:start w:val="1"/>
      <w:numFmt w:val="bullet"/>
      <w:lvlText w:val="•"/>
      <w:lvlJc w:val="left"/>
      <w:pPr>
        <w:tabs>
          <w:tab w:val="num" w:pos="720"/>
        </w:tabs>
        <w:ind w:left="720" w:hanging="360"/>
      </w:pPr>
      <w:rPr>
        <w:rFonts w:ascii="Arial" w:hAnsi="Arial" w:hint="default"/>
      </w:rPr>
    </w:lvl>
    <w:lvl w:ilvl="1" w:tplc="68760FB2" w:tentative="1">
      <w:start w:val="1"/>
      <w:numFmt w:val="bullet"/>
      <w:lvlText w:val="•"/>
      <w:lvlJc w:val="left"/>
      <w:pPr>
        <w:tabs>
          <w:tab w:val="num" w:pos="1440"/>
        </w:tabs>
        <w:ind w:left="1440" w:hanging="360"/>
      </w:pPr>
      <w:rPr>
        <w:rFonts w:ascii="Arial" w:hAnsi="Arial" w:hint="default"/>
      </w:rPr>
    </w:lvl>
    <w:lvl w:ilvl="2" w:tplc="8E3288D4" w:tentative="1">
      <w:start w:val="1"/>
      <w:numFmt w:val="bullet"/>
      <w:lvlText w:val="•"/>
      <w:lvlJc w:val="left"/>
      <w:pPr>
        <w:tabs>
          <w:tab w:val="num" w:pos="2160"/>
        </w:tabs>
        <w:ind w:left="2160" w:hanging="360"/>
      </w:pPr>
      <w:rPr>
        <w:rFonts w:ascii="Arial" w:hAnsi="Arial" w:hint="default"/>
      </w:rPr>
    </w:lvl>
    <w:lvl w:ilvl="3" w:tplc="CA023D42" w:tentative="1">
      <w:start w:val="1"/>
      <w:numFmt w:val="bullet"/>
      <w:lvlText w:val="•"/>
      <w:lvlJc w:val="left"/>
      <w:pPr>
        <w:tabs>
          <w:tab w:val="num" w:pos="2880"/>
        </w:tabs>
        <w:ind w:left="2880" w:hanging="360"/>
      </w:pPr>
      <w:rPr>
        <w:rFonts w:ascii="Arial" w:hAnsi="Arial" w:hint="default"/>
      </w:rPr>
    </w:lvl>
    <w:lvl w:ilvl="4" w:tplc="90F698C4" w:tentative="1">
      <w:start w:val="1"/>
      <w:numFmt w:val="bullet"/>
      <w:lvlText w:val="•"/>
      <w:lvlJc w:val="left"/>
      <w:pPr>
        <w:tabs>
          <w:tab w:val="num" w:pos="3600"/>
        </w:tabs>
        <w:ind w:left="3600" w:hanging="360"/>
      </w:pPr>
      <w:rPr>
        <w:rFonts w:ascii="Arial" w:hAnsi="Arial" w:hint="default"/>
      </w:rPr>
    </w:lvl>
    <w:lvl w:ilvl="5" w:tplc="3DD0AE7A" w:tentative="1">
      <w:start w:val="1"/>
      <w:numFmt w:val="bullet"/>
      <w:lvlText w:val="•"/>
      <w:lvlJc w:val="left"/>
      <w:pPr>
        <w:tabs>
          <w:tab w:val="num" w:pos="4320"/>
        </w:tabs>
        <w:ind w:left="4320" w:hanging="360"/>
      </w:pPr>
      <w:rPr>
        <w:rFonts w:ascii="Arial" w:hAnsi="Arial" w:hint="default"/>
      </w:rPr>
    </w:lvl>
    <w:lvl w:ilvl="6" w:tplc="01080388" w:tentative="1">
      <w:start w:val="1"/>
      <w:numFmt w:val="bullet"/>
      <w:lvlText w:val="•"/>
      <w:lvlJc w:val="left"/>
      <w:pPr>
        <w:tabs>
          <w:tab w:val="num" w:pos="5040"/>
        </w:tabs>
        <w:ind w:left="5040" w:hanging="360"/>
      </w:pPr>
      <w:rPr>
        <w:rFonts w:ascii="Arial" w:hAnsi="Arial" w:hint="default"/>
      </w:rPr>
    </w:lvl>
    <w:lvl w:ilvl="7" w:tplc="B79E9D62" w:tentative="1">
      <w:start w:val="1"/>
      <w:numFmt w:val="bullet"/>
      <w:lvlText w:val="•"/>
      <w:lvlJc w:val="left"/>
      <w:pPr>
        <w:tabs>
          <w:tab w:val="num" w:pos="5760"/>
        </w:tabs>
        <w:ind w:left="5760" w:hanging="360"/>
      </w:pPr>
      <w:rPr>
        <w:rFonts w:ascii="Arial" w:hAnsi="Arial" w:hint="default"/>
      </w:rPr>
    </w:lvl>
    <w:lvl w:ilvl="8" w:tplc="6070346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2"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D825B6"/>
    <w:multiLevelType w:val="multilevel"/>
    <w:tmpl w:val="EC1226DE"/>
    <w:lvl w:ilvl="0">
      <w:start w:val="1"/>
      <w:numFmt w:val="lowerLetter"/>
      <w:lvlText w:val="(%1 )"/>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6"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1"/>
  </w:num>
  <w:num w:numId="2">
    <w:abstractNumId w:val="7"/>
  </w:num>
  <w:num w:numId="3">
    <w:abstractNumId w:val="15"/>
  </w:num>
  <w:num w:numId="4">
    <w:abstractNumId w:val="15"/>
  </w:num>
  <w:num w:numId="5">
    <w:abstractNumId w:val="15"/>
  </w:num>
  <w:num w:numId="6">
    <w:abstractNumId w:val="8"/>
  </w:num>
  <w:num w:numId="7">
    <w:abstractNumId w:val="12"/>
  </w:num>
  <w:num w:numId="8">
    <w:abstractNumId w:val="16"/>
  </w:num>
  <w:num w:numId="9">
    <w:abstractNumId w:val="2"/>
  </w:num>
  <w:num w:numId="10">
    <w:abstractNumId w:val="15"/>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5"/>
  </w:num>
  <w:num w:numId="12">
    <w:abstractNumId w:val="15"/>
  </w:num>
  <w:num w:numId="13">
    <w:abstractNumId w:val="15"/>
  </w:num>
  <w:num w:numId="14">
    <w:abstractNumId w:val="15"/>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5"/>
  </w:num>
  <w:num w:numId="16">
    <w:abstractNumId w:val="15"/>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3"/>
  </w:num>
  <w:num w:numId="21">
    <w:abstractNumId w:val="15"/>
  </w:num>
  <w:num w:numId="22">
    <w:abstractNumId w:val="6"/>
  </w:num>
  <w:num w:numId="23">
    <w:abstractNumId w:val="1"/>
  </w:num>
  <w:num w:numId="24">
    <w:abstractNumId w:val="14"/>
  </w:num>
  <w:num w:numId="25">
    <w:abstractNumId w:val="15"/>
  </w:num>
  <w:num w:numId="26">
    <w:abstractNumId w:val="15"/>
  </w:num>
  <w:num w:numId="27">
    <w:abstractNumId w:val="15"/>
  </w:num>
  <w:num w:numId="28">
    <w:abstractNumId w:val="15"/>
  </w:num>
  <w:num w:numId="29">
    <w:abstractNumId w:val="15"/>
  </w:num>
  <w:num w:numId="30">
    <w:abstractNumId w:val="9"/>
  </w:num>
  <w:num w:numId="31">
    <w:abstractNumId w:val="9"/>
  </w:num>
  <w:num w:numId="32">
    <w:abstractNumId w:val="15"/>
  </w:num>
  <w:num w:numId="33">
    <w:abstractNumId w:val="5"/>
  </w:num>
  <w:num w:numId="34">
    <w:abstractNumId w:val="6"/>
    <w:lvlOverride w:ilvl="0">
      <w:startOverride w:val="1"/>
    </w:lvlOverride>
  </w:num>
  <w:num w:numId="35">
    <w:abstractNumId w:val="13"/>
  </w:num>
  <w:num w:numId="36">
    <w:abstractNumId w:val="6"/>
    <w:lvlOverride w:ilvl="0">
      <w:startOverride w:val="1"/>
    </w:lvlOverride>
  </w:num>
  <w:num w:numId="37">
    <w:abstractNumId w:val="0"/>
  </w:num>
  <w:num w:numId="38">
    <w:abstractNumId w:val="10"/>
  </w:num>
  <w:num w:numId="39">
    <w:abstractNumId w:val="4"/>
  </w:num>
  <w:num w:numId="40">
    <w:abstractNumId w:val="6"/>
    <w:lvlOverride w:ilvl="0">
      <w:startOverride w:val="1"/>
    </w:lvlOverride>
  </w:num>
  <w:num w:numId="41">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0D1"/>
    <w:rsid w:val="00005398"/>
    <w:rsid w:val="000075CE"/>
    <w:rsid w:val="000109FD"/>
    <w:rsid w:val="00015830"/>
    <w:rsid w:val="0002253C"/>
    <w:rsid w:val="000229AB"/>
    <w:rsid w:val="00025361"/>
    <w:rsid w:val="0002569A"/>
    <w:rsid w:val="00034F27"/>
    <w:rsid w:val="00037321"/>
    <w:rsid w:val="0004127B"/>
    <w:rsid w:val="00043CDC"/>
    <w:rsid w:val="00045CA0"/>
    <w:rsid w:val="0006048D"/>
    <w:rsid w:val="00063C6A"/>
    <w:rsid w:val="00077889"/>
    <w:rsid w:val="000822A5"/>
    <w:rsid w:val="0009133F"/>
    <w:rsid w:val="000939B8"/>
    <w:rsid w:val="00096424"/>
    <w:rsid w:val="000A0299"/>
    <w:rsid w:val="000A3945"/>
    <w:rsid w:val="000A5A41"/>
    <w:rsid w:val="000A7A09"/>
    <w:rsid w:val="000B1238"/>
    <w:rsid w:val="000B1964"/>
    <w:rsid w:val="000B1BE0"/>
    <w:rsid w:val="000B2AB1"/>
    <w:rsid w:val="000C1BEF"/>
    <w:rsid w:val="000D17DE"/>
    <w:rsid w:val="000D1A01"/>
    <w:rsid w:val="000D44C5"/>
    <w:rsid w:val="000D776F"/>
    <w:rsid w:val="000E1584"/>
    <w:rsid w:val="000E4FD2"/>
    <w:rsid w:val="000F1161"/>
    <w:rsid w:val="000F5C4F"/>
    <w:rsid w:val="000F73B5"/>
    <w:rsid w:val="000F7E94"/>
    <w:rsid w:val="001023B7"/>
    <w:rsid w:val="001041AC"/>
    <w:rsid w:val="00107109"/>
    <w:rsid w:val="0010734C"/>
    <w:rsid w:val="00110768"/>
    <w:rsid w:val="001119D6"/>
    <w:rsid w:val="001173AD"/>
    <w:rsid w:val="00120E12"/>
    <w:rsid w:val="001308F2"/>
    <w:rsid w:val="001313E8"/>
    <w:rsid w:val="0013381B"/>
    <w:rsid w:val="0013643C"/>
    <w:rsid w:val="00143FB1"/>
    <w:rsid w:val="00147A0F"/>
    <w:rsid w:val="001518B4"/>
    <w:rsid w:val="00154BE9"/>
    <w:rsid w:val="001553F4"/>
    <w:rsid w:val="00162A84"/>
    <w:rsid w:val="00163282"/>
    <w:rsid w:val="0016557E"/>
    <w:rsid w:val="00166479"/>
    <w:rsid w:val="001674CD"/>
    <w:rsid w:val="001732D0"/>
    <w:rsid w:val="00181553"/>
    <w:rsid w:val="0018650F"/>
    <w:rsid w:val="0019240E"/>
    <w:rsid w:val="00193DD3"/>
    <w:rsid w:val="0019499F"/>
    <w:rsid w:val="00194F6A"/>
    <w:rsid w:val="00197086"/>
    <w:rsid w:val="00197A23"/>
    <w:rsid w:val="001A10CE"/>
    <w:rsid w:val="001A72B9"/>
    <w:rsid w:val="001A7B6D"/>
    <w:rsid w:val="001B0874"/>
    <w:rsid w:val="001B5AE6"/>
    <w:rsid w:val="001B5DD0"/>
    <w:rsid w:val="001C4E90"/>
    <w:rsid w:val="001C58F5"/>
    <w:rsid w:val="001D2D96"/>
    <w:rsid w:val="001D5CEE"/>
    <w:rsid w:val="001D6E25"/>
    <w:rsid w:val="001D75EE"/>
    <w:rsid w:val="001E04D3"/>
    <w:rsid w:val="001E1FB9"/>
    <w:rsid w:val="001E3798"/>
    <w:rsid w:val="001E3BC4"/>
    <w:rsid w:val="001E55A0"/>
    <w:rsid w:val="001E7775"/>
    <w:rsid w:val="001F05B5"/>
    <w:rsid w:val="001F5BEE"/>
    <w:rsid w:val="002019B4"/>
    <w:rsid w:val="00201F06"/>
    <w:rsid w:val="002071D9"/>
    <w:rsid w:val="0023202B"/>
    <w:rsid w:val="00235DC2"/>
    <w:rsid w:val="00242D0D"/>
    <w:rsid w:val="00244FEB"/>
    <w:rsid w:val="00253093"/>
    <w:rsid w:val="00256035"/>
    <w:rsid w:val="00256822"/>
    <w:rsid w:val="0026423B"/>
    <w:rsid w:val="0026525A"/>
    <w:rsid w:val="002714E1"/>
    <w:rsid w:val="002725CF"/>
    <w:rsid w:val="00272D38"/>
    <w:rsid w:val="00274790"/>
    <w:rsid w:val="0027547E"/>
    <w:rsid w:val="00276467"/>
    <w:rsid w:val="00285755"/>
    <w:rsid w:val="00287A45"/>
    <w:rsid w:val="00287D58"/>
    <w:rsid w:val="00287F12"/>
    <w:rsid w:val="00290AA5"/>
    <w:rsid w:val="0029442F"/>
    <w:rsid w:val="00297B14"/>
    <w:rsid w:val="002A1F9C"/>
    <w:rsid w:val="002A5350"/>
    <w:rsid w:val="002B1B35"/>
    <w:rsid w:val="002B29C2"/>
    <w:rsid w:val="002B43EA"/>
    <w:rsid w:val="002C4208"/>
    <w:rsid w:val="002D0C18"/>
    <w:rsid w:val="002D547A"/>
    <w:rsid w:val="002D6912"/>
    <w:rsid w:val="002E0AC7"/>
    <w:rsid w:val="002E3366"/>
    <w:rsid w:val="002E4E49"/>
    <w:rsid w:val="002F27D7"/>
    <w:rsid w:val="002F41FF"/>
    <w:rsid w:val="002F4658"/>
    <w:rsid w:val="002F4C40"/>
    <w:rsid w:val="002F5F03"/>
    <w:rsid w:val="00303514"/>
    <w:rsid w:val="00311934"/>
    <w:rsid w:val="00314858"/>
    <w:rsid w:val="00322865"/>
    <w:rsid w:val="00324A98"/>
    <w:rsid w:val="00342796"/>
    <w:rsid w:val="00346E21"/>
    <w:rsid w:val="00347D57"/>
    <w:rsid w:val="0035000E"/>
    <w:rsid w:val="0035051A"/>
    <w:rsid w:val="00351906"/>
    <w:rsid w:val="00351B7D"/>
    <w:rsid w:val="00352DE1"/>
    <w:rsid w:val="00357DF9"/>
    <w:rsid w:val="00360FAA"/>
    <w:rsid w:val="003611BE"/>
    <w:rsid w:val="003672D6"/>
    <w:rsid w:val="00367BCD"/>
    <w:rsid w:val="003728E6"/>
    <w:rsid w:val="00373082"/>
    <w:rsid w:val="003834FA"/>
    <w:rsid w:val="0038417A"/>
    <w:rsid w:val="00387EB1"/>
    <w:rsid w:val="0039691E"/>
    <w:rsid w:val="003B5CAB"/>
    <w:rsid w:val="003B5E0E"/>
    <w:rsid w:val="003C198A"/>
    <w:rsid w:val="003C380D"/>
    <w:rsid w:val="003C4F5C"/>
    <w:rsid w:val="003C5C2D"/>
    <w:rsid w:val="003D255A"/>
    <w:rsid w:val="003D302E"/>
    <w:rsid w:val="003D34A0"/>
    <w:rsid w:val="003D3801"/>
    <w:rsid w:val="003D7DEF"/>
    <w:rsid w:val="003E0E07"/>
    <w:rsid w:val="003E695F"/>
    <w:rsid w:val="003E778B"/>
    <w:rsid w:val="003F2F11"/>
    <w:rsid w:val="003F3EE1"/>
    <w:rsid w:val="003F71CE"/>
    <w:rsid w:val="0040420E"/>
    <w:rsid w:val="00404900"/>
    <w:rsid w:val="00412C2B"/>
    <w:rsid w:val="004147D6"/>
    <w:rsid w:val="00416949"/>
    <w:rsid w:val="00416CDE"/>
    <w:rsid w:val="00421B56"/>
    <w:rsid w:val="00424863"/>
    <w:rsid w:val="00426C93"/>
    <w:rsid w:val="004370D8"/>
    <w:rsid w:val="00443A69"/>
    <w:rsid w:val="00450473"/>
    <w:rsid w:val="004623A6"/>
    <w:rsid w:val="00466BA4"/>
    <w:rsid w:val="00472C43"/>
    <w:rsid w:val="00474024"/>
    <w:rsid w:val="00474218"/>
    <w:rsid w:val="00475DB3"/>
    <w:rsid w:val="00477FDA"/>
    <w:rsid w:val="00481C22"/>
    <w:rsid w:val="004901DF"/>
    <w:rsid w:val="0049056E"/>
    <w:rsid w:val="00490A30"/>
    <w:rsid w:val="004958F2"/>
    <w:rsid w:val="004A14E8"/>
    <w:rsid w:val="004A2067"/>
    <w:rsid w:val="004A5896"/>
    <w:rsid w:val="004B0F1A"/>
    <w:rsid w:val="004B6E44"/>
    <w:rsid w:val="004B72D9"/>
    <w:rsid w:val="004C1951"/>
    <w:rsid w:val="004D0CBB"/>
    <w:rsid w:val="004D616B"/>
    <w:rsid w:val="004E1F28"/>
    <w:rsid w:val="004F6E56"/>
    <w:rsid w:val="00501353"/>
    <w:rsid w:val="00510345"/>
    <w:rsid w:val="005154F6"/>
    <w:rsid w:val="00520BC9"/>
    <w:rsid w:val="00524A5D"/>
    <w:rsid w:val="00527A96"/>
    <w:rsid w:val="00535EF0"/>
    <w:rsid w:val="00537496"/>
    <w:rsid w:val="00541891"/>
    <w:rsid w:val="00544ED3"/>
    <w:rsid w:val="005515A1"/>
    <w:rsid w:val="0055216F"/>
    <w:rsid w:val="00552A0C"/>
    <w:rsid w:val="005554A9"/>
    <w:rsid w:val="0055658A"/>
    <w:rsid w:val="005708AD"/>
    <w:rsid w:val="005712C6"/>
    <w:rsid w:val="005740BA"/>
    <w:rsid w:val="0058114E"/>
    <w:rsid w:val="0058477B"/>
    <w:rsid w:val="00584F6E"/>
    <w:rsid w:val="0058654F"/>
    <w:rsid w:val="0059081B"/>
    <w:rsid w:val="00591D0E"/>
    <w:rsid w:val="00596ACA"/>
    <w:rsid w:val="00596FC1"/>
    <w:rsid w:val="0059736B"/>
    <w:rsid w:val="005A2A8F"/>
    <w:rsid w:val="005B5420"/>
    <w:rsid w:val="005B5ED2"/>
    <w:rsid w:val="005B6D36"/>
    <w:rsid w:val="005B75AE"/>
    <w:rsid w:val="005C086D"/>
    <w:rsid w:val="005C6A4E"/>
    <w:rsid w:val="005D3B7C"/>
    <w:rsid w:val="005D730C"/>
    <w:rsid w:val="005E082E"/>
    <w:rsid w:val="005E28AB"/>
    <w:rsid w:val="005E39BC"/>
    <w:rsid w:val="005E418E"/>
    <w:rsid w:val="005F00A0"/>
    <w:rsid w:val="005F4EF1"/>
    <w:rsid w:val="005F5BBB"/>
    <w:rsid w:val="0060274D"/>
    <w:rsid w:val="00603A13"/>
    <w:rsid w:val="00604720"/>
    <w:rsid w:val="00606230"/>
    <w:rsid w:val="006118B9"/>
    <w:rsid w:val="00617563"/>
    <w:rsid w:val="00621613"/>
    <w:rsid w:val="00622AB8"/>
    <w:rsid w:val="00625386"/>
    <w:rsid w:val="00625511"/>
    <w:rsid w:val="00625CC8"/>
    <w:rsid w:val="00626A89"/>
    <w:rsid w:val="00627472"/>
    <w:rsid w:val="00632060"/>
    <w:rsid w:val="006329F0"/>
    <w:rsid w:val="006335CB"/>
    <w:rsid w:val="00640ACC"/>
    <w:rsid w:val="00647F33"/>
    <w:rsid w:val="006600B8"/>
    <w:rsid w:val="00662532"/>
    <w:rsid w:val="006701B6"/>
    <w:rsid w:val="00672F33"/>
    <w:rsid w:val="006736D7"/>
    <w:rsid w:val="006746FF"/>
    <w:rsid w:val="00682F98"/>
    <w:rsid w:val="00683640"/>
    <w:rsid w:val="00683C7E"/>
    <w:rsid w:val="006866B0"/>
    <w:rsid w:val="006877A6"/>
    <w:rsid w:val="006B00C9"/>
    <w:rsid w:val="006B2274"/>
    <w:rsid w:val="006B39C3"/>
    <w:rsid w:val="006B4C04"/>
    <w:rsid w:val="006B527D"/>
    <w:rsid w:val="006C0050"/>
    <w:rsid w:val="006D1438"/>
    <w:rsid w:val="006E0B71"/>
    <w:rsid w:val="006E23D5"/>
    <w:rsid w:val="006F3857"/>
    <w:rsid w:val="006F3DED"/>
    <w:rsid w:val="006F72A6"/>
    <w:rsid w:val="00701B87"/>
    <w:rsid w:val="00705D8C"/>
    <w:rsid w:val="00710EC0"/>
    <w:rsid w:val="00713838"/>
    <w:rsid w:val="00717AC4"/>
    <w:rsid w:val="00717C6F"/>
    <w:rsid w:val="00722EA9"/>
    <w:rsid w:val="00727212"/>
    <w:rsid w:val="007308E3"/>
    <w:rsid w:val="00734346"/>
    <w:rsid w:val="0073503B"/>
    <w:rsid w:val="0073660D"/>
    <w:rsid w:val="0073703A"/>
    <w:rsid w:val="00742F34"/>
    <w:rsid w:val="007445DA"/>
    <w:rsid w:val="007509A3"/>
    <w:rsid w:val="00756BC6"/>
    <w:rsid w:val="00756CA0"/>
    <w:rsid w:val="007613EF"/>
    <w:rsid w:val="00763F13"/>
    <w:rsid w:val="0077600C"/>
    <w:rsid w:val="00777482"/>
    <w:rsid w:val="00777F8E"/>
    <w:rsid w:val="00784856"/>
    <w:rsid w:val="00784F06"/>
    <w:rsid w:val="00794EB6"/>
    <w:rsid w:val="00795006"/>
    <w:rsid w:val="0079554B"/>
    <w:rsid w:val="00797CD5"/>
    <w:rsid w:val="007A2438"/>
    <w:rsid w:val="007B189F"/>
    <w:rsid w:val="007B4FD1"/>
    <w:rsid w:val="007C1732"/>
    <w:rsid w:val="007C2A1A"/>
    <w:rsid w:val="007C7748"/>
    <w:rsid w:val="007D2AD2"/>
    <w:rsid w:val="007D50EC"/>
    <w:rsid w:val="007D7FB1"/>
    <w:rsid w:val="007E0DDA"/>
    <w:rsid w:val="007E536B"/>
    <w:rsid w:val="007F2519"/>
    <w:rsid w:val="007F658A"/>
    <w:rsid w:val="00802381"/>
    <w:rsid w:val="00804028"/>
    <w:rsid w:val="008130C8"/>
    <w:rsid w:val="00820940"/>
    <w:rsid w:val="008221CE"/>
    <w:rsid w:val="00834FA7"/>
    <w:rsid w:val="008352C0"/>
    <w:rsid w:val="00835A8F"/>
    <w:rsid w:val="00842DEA"/>
    <w:rsid w:val="008455C6"/>
    <w:rsid w:val="008472E3"/>
    <w:rsid w:val="008476AF"/>
    <w:rsid w:val="00851C00"/>
    <w:rsid w:val="008609DF"/>
    <w:rsid w:val="00862357"/>
    <w:rsid w:val="0086503F"/>
    <w:rsid w:val="008707A8"/>
    <w:rsid w:val="00871645"/>
    <w:rsid w:val="008745FA"/>
    <w:rsid w:val="008764F8"/>
    <w:rsid w:val="008768AE"/>
    <w:rsid w:val="00877A59"/>
    <w:rsid w:val="0088014F"/>
    <w:rsid w:val="00882E64"/>
    <w:rsid w:val="00883848"/>
    <w:rsid w:val="00887AD1"/>
    <w:rsid w:val="00895A2E"/>
    <w:rsid w:val="00895ED2"/>
    <w:rsid w:val="008960FB"/>
    <w:rsid w:val="00897ED5"/>
    <w:rsid w:val="008A4CC1"/>
    <w:rsid w:val="008A5CD9"/>
    <w:rsid w:val="008A603C"/>
    <w:rsid w:val="008B6BB9"/>
    <w:rsid w:val="008C455C"/>
    <w:rsid w:val="008C6879"/>
    <w:rsid w:val="008C7D00"/>
    <w:rsid w:val="008D0BD2"/>
    <w:rsid w:val="008D2CAF"/>
    <w:rsid w:val="008D3625"/>
    <w:rsid w:val="008E1EB2"/>
    <w:rsid w:val="008E4FD0"/>
    <w:rsid w:val="008F2394"/>
    <w:rsid w:val="008F5F56"/>
    <w:rsid w:val="0090481F"/>
    <w:rsid w:val="00905A9E"/>
    <w:rsid w:val="00911543"/>
    <w:rsid w:val="00913BDD"/>
    <w:rsid w:val="00915A59"/>
    <w:rsid w:val="009217B7"/>
    <w:rsid w:val="00923083"/>
    <w:rsid w:val="0092765C"/>
    <w:rsid w:val="009337CF"/>
    <w:rsid w:val="00933B65"/>
    <w:rsid w:val="00935193"/>
    <w:rsid w:val="00935D26"/>
    <w:rsid w:val="009412C2"/>
    <w:rsid w:val="00941B25"/>
    <w:rsid w:val="00945FB1"/>
    <w:rsid w:val="00946BFF"/>
    <w:rsid w:val="009519C9"/>
    <w:rsid w:val="009524F9"/>
    <w:rsid w:val="00952596"/>
    <w:rsid w:val="00956FCE"/>
    <w:rsid w:val="009576BF"/>
    <w:rsid w:val="00960728"/>
    <w:rsid w:val="00961C02"/>
    <w:rsid w:val="009622E7"/>
    <w:rsid w:val="009722A4"/>
    <w:rsid w:val="009761DB"/>
    <w:rsid w:val="00983FB8"/>
    <w:rsid w:val="0098473D"/>
    <w:rsid w:val="00986772"/>
    <w:rsid w:val="009870E3"/>
    <w:rsid w:val="009915F8"/>
    <w:rsid w:val="00996BEB"/>
    <w:rsid w:val="009A72CA"/>
    <w:rsid w:val="009A7A36"/>
    <w:rsid w:val="009B1065"/>
    <w:rsid w:val="009B65B4"/>
    <w:rsid w:val="009D0496"/>
    <w:rsid w:val="009D0B86"/>
    <w:rsid w:val="009D0F33"/>
    <w:rsid w:val="009E0D5B"/>
    <w:rsid w:val="009E1558"/>
    <w:rsid w:val="009E5845"/>
    <w:rsid w:val="009F63AD"/>
    <w:rsid w:val="00A0082A"/>
    <w:rsid w:val="00A00DE8"/>
    <w:rsid w:val="00A0263A"/>
    <w:rsid w:val="00A13BB6"/>
    <w:rsid w:val="00A15D18"/>
    <w:rsid w:val="00A165C4"/>
    <w:rsid w:val="00A1703C"/>
    <w:rsid w:val="00A1758D"/>
    <w:rsid w:val="00A23B0E"/>
    <w:rsid w:val="00A27B2C"/>
    <w:rsid w:val="00A315BD"/>
    <w:rsid w:val="00A36F09"/>
    <w:rsid w:val="00A37DDD"/>
    <w:rsid w:val="00A40CAC"/>
    <w:rsid w:val="00A41C03"/>
    <w:rsid w:val="00A42898"/>
    <w:rsid w:val="00A46C20"/>
    <w:rsid w:val="00A56310"/>
    <w:rsid w:val="00A57720"/>
    <w:rsid w:val="00A676B6"/>
    <w:rsid w:val="00A7048D"/>
    <w:rsid w:val="00A70A2C"/>
    <w:rsid w:val="00A858EC"/>
    <w:rsid w:val="00A9307A"/>
    <w:rsid w:val="00AA13AC"/>
    <w:rsid w:val="00AA1795"/>
    <w:rsid w:val="00AB1140"/>
    <w:rsid w:val="00AB13F3"/>
    <w:rsid w:val="00AB1633"/>
    <w:rsid w:val="00AB4222"/>
    <w:rsid w:val="00AB5969"/>
    <w:rsid w:val="00AB6ACE"/>
    <w:rsid w:val="00AC319E"/>
    <w:rsid w:val="00AC5A3A"/>
    <w:rsid w:val="00AC6377"/>
    <w:rsid w:val="00AD6F5C"/>
    <w:rsid w:val="00AE0DB6"/>
    <w:rsid w:val="00AE75ED"/>
    <w:rsid w:val="00AE7BDC"/>
    <w:rsid w:val="00AF4B2A"/>
    <w:rsid w:val="00AF7704"/>
    <w:rsid w:val="00B05A43"/>
    <w:rsid w:val="00B074CF"/>
    <w:rsid w:val="00B078DB"/>
    <w:rsid w:val="00B151C0"/>
    <w:rsid w:val="00B160AF"/>
    <w:rsid w:val="00B23172"/>
    <w:rsid w:val="00B30E0A"/>
    <w:rsid w:val="00B3589D"/>
    <w:rsid w:val="00B43707"/>
    <w:rsid w:val="00B43BC6"/>
    <w:rsid w:val="00B619F4"/>
    <w:rsid w:val="00B64B64"/>
    <w:rsid w:val="00B73D0D"/>
    <w:rsid w:val="00B74C4A"/>
    <w:rsid w:val="00B82FA5"/>
    <w:rsid w:val="00B8406C"/>
    <w:rsid w:val="00B96A7C"/>
    <w:rsid w:val="00BA396E"/>
    <w:rsid w:val="00BA427D"/>
    <w:rsid w:val="00BA4CE5"/>
    <w:rsid w:val="00BA79DD"/>
    <w:rsid w:val="00BB16F0"/>
    <w:rsid w:val="00BB3F1D"/>
    <w:rsid w:val="00BC7412"/>
    <w:rsid w:val="00BD1400"/>
    <w:rsid w:val="00BD605C"/>
    <w:rsid w:val="00BE1EF5"/>
    <w:rsid w:val="00BE2A76"/>
    <w:rsid w:val="00BE33CF"/>
    <w:rsid w:val="00BE3BED"/>
    <w:rsid w:val="00BF1615"/>
    <w:rsid w:val="00BF213E"/>
    <w:rsid w:val="00C05321"/>
    <w:rsid w:val="00C139CC"/>
    <w:rsid w:val="00C268BA"/>
    <w:rsid w:val="00C457F8"/>
    <w:rsid w:val="00C47202"/>
    <w:rsid w:val="00C502D4"/>
    <w:rsid w:val="00C53193"/>
    <w:rsid w:val="00C5383F"/>
    <w:rsid w:val="00C551B9"/>
    <w:rsid w:val="00C63885"/>
    <w:rsid w:val="00C65E60"/>
    <w:rsid w:val="00C7334E"/>
    <w:rsid w:val="00C74379"/>
    <w:rsid w:val="00C9145E"/>
    <w:rsid w:val="00C917D9"/>
    <w:rsid w:val="00C96EA3"/>
    <w:rsid w:val="00C9756E"/>
    <w:rsid w:val="00CB1ABB"/>
    <w:rsid w:val="00CD20D3"/>
    <w:rsid w:val="00CE22AF"/>
    <w:rsid w:val="00CE5A52"/>
    <w:rsid w:val="00CF2FF5"/>
    <w:rsid w:val="00CF5FA9"/>
    <w:rsid w:val="00CF7AF3"/>
    <w:rsid w:val="00D07213"/>
    <w:rsid w:val="00D10165"/>
    <w:rsid w:val="00D1119C"/>
    <w:rsid w:val="00D11FC0"/>
    <w:rsid w:val="00D135A6"/>
    <w:rsid w:val="00D15197"/>
    <w:rsid w:val="00D20228"/>
    <w:rsid w:val="00D20EAB"/>
    <w:rsid w:val="00D266F0"/>
    <w:rsid w:val="00D26ADA"/>
    <w:rsid w:val="00D31BFF"/>
    <w:rsid w:val="00D33D84"/>
    <w:rsid w:val="00D35A78"/>
    <w:rsid w:val="00D36732"/>
    <w:rsid w:val="00D376E0"/>
    <w:rsid w:val="00D45AF3"/>
    <w:rsid w:val="00D555A1"/>
    <w:rsid w:val="00D62D52"/>
    <w:rsid w:val="00D64DC2"/>
    <w:rsid w:val="00D65ADF"/>
    <w:rsid w:val="00D66F8D"/>
    <w:rsid w:val="00D72655"/>
    <w:rsid w:val="00D75588"/>
    <w:rsid w:val="00D87C71"/>
    <w:rsid w:val="00D90A02"/>
    <w:rsid w:val="00D9724C"/>
    <w:rsid w:val="00DA00D9"/>
    <w:rsid w:val="00DA46CA"/>
    <w:rsid w:val="00DA70EF"/>
    <w:rsid w:val="00DB601C"/>
    <w:rsid w:val="00DC2C52"/>
    <w:rsid w:val="00DC531D"/>
    <w:rsid w:val="00DC6704"/>
    <w:rsid w:val="00DD12B8"/>
    <w:rsid w:val="00DD5D2E"/>
    <w:rsid w:val="00DE2EF0"/>
    <w:rsid w:val="00DE6EC1"/>
    <w:rsid w:val="00DE6FDC"/>
    <w:rsid w:val="00DF21EB"/>
    <w:rsid w:val="00DF2CBC"/>
    <w:rsid w:val="00DF6636"/>
    <w:rsid w:val="00E02F69"/>
    <w:rsid w:val="00E03D70"/>
    <w:rsid w:val="00E13B58"/>
    <w:rsid w:val="00E16129"/>
    <w:rsid w:val="00E20E70"/>
    <w:rsid w:val="00E21BA2"/>
    <w:rsid w:val="00E25B68"/>
    <w:rsid w:val="00E311C1"/>
    <w:rsid w:val="00E412ED"/>
    <w:rsid w:val="00E44144"/>
    <w:rsid w:val="00E508D1"/>
    <w:rsid w:val="00E57C98"/>
    <w:rsid w:val="00E72D74"/>
    <w:rsid w:val="00E73295"/>
    <w:rsid w:val="00E84003"/>
    <w:rsid w:val="00E8597F"/>
    <w:rsid w:val="00E87658"/>
    <w:rsid w:val="00E920AA"/>
    <w:rsid w:val="00EA1DE7"/>
    <w:rsid w:val="00EA300A"/>
    <w:rsid w:val="00EA35ED"/>
    <w:rsid w:val="00EA4E5C"/>
    <w:rsid w:val="00EA5ACC"/>
    <w:rsid w:val="00EB5E0F"/>
    <w:rsid w:val="00EB677A"/>
    <w:rsid w:val="00EC10FC"/>
    <w:rsid w:val="00EC11AB"/>
    <w:rsid w:val="00EC699D"/>
    <w:rsid w:val="00ED2D9A"/>
    <w:rsid w:val="00ED593D"/>
    <w:rsid w:val="00EE0041"/>
    <w:rsid w:val="00EE1C2A"/>
    <w:rsid w:val="00EE29B9"/>
    <w:rsid w:val="00EE358E"/>
    <w:rsid w:val="00EE5CE6"/>
    <w:rsid w:val="00EF3E5E"/>
    <w:rsid w:val="00F004EE"/>
    <w:rsid w:val="00F06B29"/>
    <w:rsid w:val="00F06D3C"/>
    <w:rsid w:val="00F235FE"/>
    <w:rsid w:val="00F26987"/>
    <w:rsid w:val="00F271D2"/>
    <w:rsid w:val="00F27C18"/>
    <w:rsid w:val="00F42E23"/>
    <w:rsid w:val="00F45D97"/>
    <w:rsid w:val="00F45EEE"/>
    <w:rsid w:val="00F45FE5"/>
    <w:rsid w:val="00F501DB"/>
    <w:rsid w:val="00F51C22"/>
    <w:rsid w:val="00F51E9C"/>
    <w:rsid w:val="00F523CA"/>
    <w:rsid w:val="00F53AF8"/>
    <w:rsid w:val="00F550B6"/>
    <w:rsid w:val="00F623D7"/>
    <w:rsid w:val="00F65DAA"/>
    <w:rsid w:val="00F703E4"/>
    <w:rsid w:val="00F719E8"/>
    <w:rsid w:val="00F74A9D"/>
    <w:rsid w:val="00F752FE"/>
    <w:rsid w:val="00F75CEA"/>
    <w:rsid w:val="00F77B42"/>
    <w:rsid w:val="00F85B26"/>
    <w:rsid w:val="00F93CF9"/>
    <w:rsid w:val="00FA32E3"/>
    <w:rsid w:val="00FB63DA"/>
    <w:rsid w:val="00FC488D"/>
    <w:rsid w:val="00FC4AAE"/>
    <w:rsid w:val="00FC4ED2"/>
    <w:rsid w:val="00FC5312"/>
    <w:rsid w:val="00FC5CA6"/>
    <w:rsid w:val="00FD46A0"/>
    <w:rsid w:val="00FE4E9C"/>
    <w:rsid w:val="00FE6B5C"/>
    <w:rsid w:val="00FF386F"/>
    <w:rsid w:val="00FF5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E02DAA"/>
  <w15:docId w15:val="{EA656EA6-B487-4F18-8312-CE8BA756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5">
    <w:lsdException w:name="Normal" w:locked="0"/>
    <w:lsdException w:name="heading 1" w:locked="0" w:uiPriority="9" w:qFormat="1"/>
    <w:lsdException w:name="heading 2" w:locked="0" w:uiPriority="4"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iPriority="99"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link w:val="Heading1Char"/>
    <w:uiPriority w:val="9"/>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styleId="PlaceholderText">
    <w:name w:val="Placeholder Text"/>
    <w:basedOn w:val="DefaultParagraphFont"/>
    <w:uiPriority w:val="99"/>
    <w:semiHidden/>
    <w:locked/>
    <w:rsid w:val="001518B4"/>
    <w:rPr>
      <w:color w:val="808080"/>
    </w:rPr>
  </w:style>
  <w:style w:type="paragraph" w:styleId="NormalWeb">
    <w:name w:val="Normal (Web)"/>
    <w:basedOn w:val="Normal"/>
    <w:uiPriority w:val="99"/>
    <w:semiHidden/>
    <w:unhideWhenUsed/>
    <w:locked/>
    <w:rsid w:val="00A13BB6"/>
    <w:pPr>
      <w:overflowPunct/>
      <w:autoSpaceDE/>
      <w:autoSpaceDN/>
      <w:adjustRightInd/>
      <w:spacing w:before="100" w:beforeAutospacing="1" w:after="100" w:afterAutospacing="1"/>
      <w:textAlignment w:val="auto"/>
    </w:pPr>
    <w:rPr>
      <w:sz w:val="24"/>
      <w:szCs w:val="24"/>
      <w:lang w:eastAsia="en-GB"/>
    </w:rPr>
  </w:style>
  <w:style w:type="paragraph" w:styleId="ListParagraph">
    <w:name w:val="List Paragraph"/>
    <w:basedOn w:val="Normal"/>
    <w:uiPriority w:val="49"/>
    <w:locked/>
    <w:rsid w:val="00952596"/>
    <w:pPr>
      <w:ind w:left="720"/>
      <w:contextualSpacing/>
    </w:pPr>
  </w:style>
  <w:style w:type="paragraph" w:styleId="Revision">
    <w:name w:val="Revision"/>
    <w:hidden/>
    <w:uiPriority w:val="99"/>
    <w:semiHidden/>
    <w:rsid w:val="00EB5E0F"/>
    <w:rPr>
      <w:sz w:val="22"/>
      <w:lang w:eastAsia="en-US"/>
    </w:rPr>
  </w:style>
  <w:style w:type="character" w:customStyle="1" w:styleId="Heading1Char">
    <w:name w:val="Heading 1 Char"/>
    <w:aliases w:val="Paper title Char"/>
    <w:basedOn w:val="DefaultParagraphFont"/>
    <w:link w:val="Heading1"/>
    <w:uiPriority w:val="9"/>
    <w:rsid w:val="000030D1"/>
    <w:rPr>
      <w:rFonts w:ascii="Times New Roman Bold" w:hAnsi="Times New Roman Bold"/>
      <w:b/>
      <w:caps/>
      <w:sz w:val="24"/>
      <w:lang w:val="en-US" w:eastAsia="en-US"/>
    </w:rPr>
  </w:style>
  <w:style w:type="paragraph" w:styleId="Bibliography">
    <w:name w:val="Bibliography"/>
    <w:basedOn w:val="Normal"/>
    <w:next w:val="Normal"/>
    <w:uiPriority w:val="37"/>
    <w:unhideWhenUsed/>
    <w:locked/>
    <w:rsid w:val="00003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04599">
      <w:bodyDiv w:val="1"/>
      <w:marLeft w:val="0"/>
      <w:marRight w:val="0"/>
      <w:marTop w:val="0"/>
      <w:marBottom w:val="0"/>
      <w:divBdr>
        <w:top w:val="none" w:sz="0" w:space="0" w:color="auto"/>
        <w:left w:val="none" w:sz="0" w:space="0" w:color="auto"/>
        <w:bottom w:val="none" w:sz="0" w:space="0" w:color="auto"/>
        <w:right w:val="none" w:sz="0" w:space="0" w:color="auto"/>
      </w:divBdr>
      <w:divsChild>
        <w:div w:id="78449912">
          <w:marLeft w:val="1080"/>
          <w:marRight w:val="0"/>
          <w:marTop w:val="0"/>
          <w:marBottom w:val="0"/>
          <w:divBdr>
            <w:top w:val="none" w:sz="0" w:space="0" w:color="auto"/>
            <w:left w:val="none" w:sz="0" w:space="0" w:color="auto"/>
            <w:bottom w:val="none" w:sz="0" w:space="0" w:color="auto"/>
            <w:right w:val="none" w:sz="0" w:space="0" w:color="auto"/>
          </w:divBdr>
        </w:div>
        <w:div w:id="856384249">
          <w:marLeft w:val="1080"/>
          <w:marRight w:val="0"/>
          <w:marTop w:val="0"/>
          <w:marBottom w:val="0"/>
          <w:divBdr>
            <w:top w:val="none" w:sz="0" w:space="0" w:color="auto"/>
            <w:left w:val="none" w:sz="0" w:space="0" w:color="auto"/>
            <w:bottom w:val="none" w:sz="0" w:space="0" w:color="auto"/>
            <w:right w:val="none" w:sz="0" w:space="0" w:color="auto"/>
          </w:divBdr>
        </w:div>
      </w:divsChild>
    </w:div>
    <w:div w:id="119426032">
      <w:bodyDiv w:val="1"/>
      <w:marLeft w:val="0"/>
      <w:marRight w:val="0"/>
      <w:marTop w:val="0"/>
      <w:marBottom w:val="0"/>
      <w:divBdr>
        <w:top w:val="none" w:sz="0" w:space="0" w:color="auto"/>
        <w:left w:val="none" w:sz="0" w:space="0" w:color="auto"/>
        <w:bottom w:val="none" w:sz="0" w:space="0" w:color="auto"/>
        <w:right w:val="none" w:sz="0" w:space="0" w:color="auto"/>
      </w:divBdr>
    </w:div>
    <w:div w:id="433525161">
      <w:bodyDiv w:val="1"/>
      <w:marLeft w:val="0"/>
      <w:marRight w:val="0"/>
      <w:marTop w:val="0"/>
      <w:marBottom w:val="0"/>
      <w:divBdr>
        <w:top w:val="none" w:sz="0" w:space="0" w:color="auto"/>
        <w:left w:val="none" w:sz="0" w:space="0" w:color="auto"/>
        <w:bottom w:val="none" w:sz="0" w:space="0" w:color="auto"/>
        <w:right w:val="none" w:sz="0" w:space="0" w:color="auto"/>
      </w:divBdr>
    </w:div>
    <w:div w:id="774247130">
      <w:bodyDiv w:val="1"/>
      <w:marLeft w:val="0"/>
      <w:marRight w:val="0"/>
      <w:marTop w:val="0"/>
      <w:marBottom w:val="0"/>
      <w:divBdr>
        <w:top w:val="none" w:sz="0" w:space="0" w:color="auto"/>
        <w:left w:val="none" w:sz="0" w:space="0" w:color="auto"/>
        <w:bottom w:val="none" w:sz="0" w:space="0" w:color="auto"/>
        <w:right w:val="none" w:sz="0" w:space="0" w:color="auto"/>
      </w:divBdr>
      <w:divsChild>
        <w:div w:id="1709527083">
          <w:marLeft w:val="720"/>
          <w:marRight w:val="0"/>
          <w:marTop w:val="0"/>
          <w:marBottom w:val="0"/>
          <w:divBdr>
            <w:top w:val="none" w:sz="0" w:space="0" w:color="auto"/>
            <w:left w:val="none" w:sz="0" w:space="0" w:color="auto"/>
            <w:bottom w:val="none" w:sz="0" w:space="0" w:color="auto"/>
            <w:right w:val="none" w:sz="0" w:space="0" w:color="auto"/>
          </w:divBdr>
        </w:div>
        <w:div w:id="190803897">
          <w:marLeft w:val="720"/>
          <w:marRight w:val="0"/>
          <w:marTop w:val="0"/>
          <w:marBottom w:val="0"/>
          <w:divBdr>
            <w:top w:val="none" w:sz="0" w:space="0" w:color="auto"/>
            <w:left w:val="none" w:sz="0" w:space="0" w:color="auto"/>
            <w:bottom w:val="none" w:sz="0" w:space="0" w:color="auto"/>
            <w:right w:val="none" w:sz="0" w:space="0" w:color="auto"/>
          </w:divBdr>
        </w:div>
      </w:divsChild>
    </w:div>
    <w:div w:id="799422973">
      <w:bodyDiv w:val="1"/>
      <w:marLeft w:val="0"/>
      <w:marRight w:val="0"/>
      <w:marTop w:val="0"/>
      <w:marBottom w:val="0"/>
      <w:divBdr>
        <w:top w:val="none" w:sz="0" w:space="0" w:color="auto"/>
        <w:left w:val="none" w:sz="0" w:space="0" w:color="auto"/>
        <w:bottom w:val="none" w:sz="0" w:space="0" w:color="auto"/>
        <w:right w:val="none" w:sz="0" w:space="0" w:color="auto"/>
      </w:divBdr>
    </w:div>
    <w:div w:id="1108700616">
      <w:bodyDiv w:val="1"/>
      <w:marLeft w:val="0"/>
      <w:marRight w:val="0"/>
      <w:marTop w:val="0"/>
      <w:marBottom w:val="0"/>
      <w:divBdr>
        <w:top w:val="none" w:sz="0" w:space="0" w:color="auto"/>
        <w:left w:val="none" w:sz="0" w:space="0" w:color="auto"/>
        <w:bottom w:val="none" w:sz="0" w:space="0" w:color="auto"/>
        <w:right w:val="none" w:sz="0" w:space="0" w:color="auto"/>
      </w:divBdr>
    </w:div>
    <w:div w:id="1293052415">
      <w:bodyDiv w:val="1"/>
      <w:marLeft w:val="0"/>
      <w:marRight w:val="0"/>
      <w:marTop w:val="0"/>
      <w:marBottom w:val="0"/>
      <w:divBdr>
        <w:top w:val="none" w:sz="0" w:space="0" w:color="auto"/>
        <w:left w:val="none" w:sz="0" w:space="0" w:color="auto"/>
        <w:bottom w:val="none" w:sz="0" w:space="0" w:color="auto"/>
        <w:right w:val="none" w:sz="0" w:space="0" w:color="auto"/>
      </w:divBdr>
    </w:div>
    <w:div w:id="1497526480">
      <w:bodyDiv w:val="1"/>
      <w:marLeft w:val="0"/>
      <w:marRight w:val="0"/>
      <w:marTop w:val="0"/>
      <w:marBottom w:val="0"/>
      <w:divBdr>
        <w:top w:val="none" w:sz="0" w:space="0" w:color="auto"/>
        <w:left w:val="none" w:sz="0" w:space="0" w:color="auto"/>
        <w:bottom w:val="none" w:sz="0" w:space="0" w:color="auto"/>
        <w:right w:val="none" w:sz="0" w:space="0" w:color="auto"/>
      </w:divBdr>
    </w:div>
    <w:div w:id="1572616148">
      <w:bodyDiv w:val="1"/>
      <w:marLeft w:val="0"/>
      <w:marRight w:val="0"/>
      <w:marTop w:val="0"/>
      <w:marBottom w:val="0"/>
      <w:divBdr>
        <w:top w:val="none" w:sz="0" w:space="0" w:color="auto"/>
        <w:left w:val="none" w:sz="0" w:space="0" w:color="auto"/>
        <w:bottom w:val="none" w:sz="0" w:space="0" w:color="auto"/>
        <w:right w:val="none" w:sz="0" w:space="0" w:color="auto"/>
      </w:divBdr>
    </w:div>
    <w:div w:id="1644920554">
      <w:bodyDiv w:val="1"/>
      <w:marLeft w:val="0"/>
      <w:marRight w:val="0"/>
      <w:marTop w:val="0"/>
      <w:marBottom w:val="0"/>
      <w:divBdr>
        <w:top w:val="none" w:sz="0" w:space="0" w:color="auto"/>
        <w:left w:val="none" w:sz="0" w:space="0" w:color="auto"/>
        <w:bottom w:val="none" w:sz="0" w:space="0" w:color="auto"/>
        <w:right w:val="none" w:sz="0" w:space="0" w:color="auto"/>
      </w:divBdr>
    </w:div>
    <w:div w:id="1665356914">
      <w:bodyDiv w:val="1"/>
      <w:marLeft w:val="0"/>
      <w:marRight w:val="0"/>
      <w:marTop w:val="0"/>
      <w:marBottom w:val="0"/>
      <w:divBdr>
        <w:top w:val="none" w:sz="0" w:space="0" w:color="auto"/>
        <w:left w:val="none" w:sz="0" w:space="0" w:color="auto"/>
        <w:bottom w:val="none" w:sz="0" w:space="0" w:color="auto"/>
        <w:right w:val="none" w:sz="0" w:space="0" w:color="auto"/>
      </w:divBdr>
    </w:div>
    <w:div w:id="1730499219">
      <w:bodyDiv w:val="1"/>
      <w:marLeft w:val="0"/>
      <w:marRight w:val="0"/>
      <w:marTop w:val="0"/>
      <w:marBottom w:val="0"/>
      <w:divBdr>
        <w:top w:val="none" w:sz="0" w:space="0" w:color="auto"/>
        <w:left w:val="none" w:sz="0" w:space="0" w:color="auto"/>
        <w:bottom w:val="none" w:sz="0" w:space="0" w:color="auto"/>
        <w:right w:val="none" w:sz="0" w:space="0" w:color="auto"/>
      </w:divBdr>
    </w:div>
    <w:div w:id="189873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IAE97</b:Tag>
    <b:SourceType>Report</b:SourceType>
    <b:Guid>{1B2EB609-C942-E348-BB38-7E16954A1576}</b:Guid>
    <b:Author>
      <b:Author>
        <b:Corporate>IAEA</b:Corporate>
      </b:Author>
    </b:Author>
    <b:Title>Joint Convention on the Safety of Spent Fuel Management and on the Safety of Radioactive Waste Management, INFCIRC/546</b:Title>
    <b:Year>1997</b:Year>
    <b:City>Vienna</b:City>
    <b:Publisher>IAEA</b:Publisher>
    <b:RefOrder>1</b:RefOrder>
  </b:Source>
  <b:Source>
    <b:Tag>Nuc11</b:Tag>
    <b:SourceType>Report</b:SourceType>
    <b:Guid>{6D82C6E9-BC3A-A14B-B18F-78D82FCFE565}</b:Guid>
    <b:Author>
      <b:Author>
        <b:Corporate>Nuclear Waste Management Organisation</b:Corporate>
      </b:Author>
    </b:Author>
    <b:Title>APM Conceptual Design and Cost Estimate for a Deep Geological Repository in Crystalline Rock Summary Report, APM-REP-00440-0011</b:Title>
    <b:City>Toronto</b:City>
    <b:Year>October, 2011</b:Year>
    <b:RefOrder>2</b:RefOrder>
  </b:Source>
</b:Sources>
</file>

<file path=customXml/itemProps1.xml><?xml version="1.0" encoding="utf-8"?>
<ds:datastoreItem xmlns:ds="http://schemas.openxmlformats.org/officeDocument/2006/customXml" ds:itemID="{E0BE57F5-C0E0-4E3C-8680-537AD13E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456</TotalTime>
  <Pages>9</Pages>
  <Words>3440</Words>
  <Characters>18444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SUBBOTNITSKIY, Denis</cp:lastModifiedBy>
  <cp:revision>137</cp:revision>
  <cp:lastPrinted>2019-05-07T00:12:00Z</cp:lastPrinted>
  <dcterms:created xsi:type="dcterms:W3CDTF">2019-03-22T17:07:00Z</dcterms:created>
  <dcterms:modified xsi:type="dcterms:W3CDTF">2019-05-08T14:12:00Z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