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5A759" w14:textId="7193965B" w:rsidR="001F1914" w:rsidRPr="00D62CF4" w:rsidRDefault="001F1914" w:rsidP="00D027A3">
      <w:pPr>
        <w:ind w:left="562"/>
        <w:rPr>
          <w:b/>
          <w:caps/>
          <w:sz w:val="24"/>
          <w:szCs w:val="24"/>
        </w:rPr>
      </w:pPr>
      <w:r w:rsidRPr="00D62CF4">
        <w:rPr>
          <w:b/>
          <w:caps/>
          <w:sz w:val="24"/>
          <w:szCs w:val="24"/>
        </w:rPr>
        <w:t xml:space="preserve">Perspective on Thermal Creep and </w:t>
      </w:r>
      <w:r w:rsidR="00D027A3">
        <w:rPr>
          <w:b/>
          <w:caps/>
          <w:sz w:val="24"/>
          <w:szCs w:val="24"/>
        </w:rPr>
        <w:br/>
      </w:r>
      <w:r w:rsidRPr="00D62CF4">
        <w:rPr>
          <w:b/>
          <w:caps/>
          <w:sz w:val="24"/>
          <w:szCs w:val="24"/>
        </w:rPr>
        <w:t>Hydride</w:t>
      </w:r>
      <w:r w:rsidR="00D027A3">
        <w:rPr>
          <w:b/>
          <w:caps/>
          <w:sz w:val="24"/>
          <w:szCs w:val="24"/>
        </w:rPr>
        <w:t xml:space="preserve"> </w:t>
      </w:r>
      <w:r w:rsidRPr="00D62CF4">
        <w:rPr>
          <w:b/>
          <w:caps/>
          <w:sz w:val="24"/>
          <w:szCs w:val="24"/>
        </w:rPr>
        <w:t>Reorientation for</w:t>
      </w:r>
      <w:r w:rsidR="00595A4E">
        <w:rPr>
          <w:b/>
          <w:caps/>
          <w:sz w:val="24"/>
          <w:szCs w:val="24"/>
        </w:rPr>
        <w:t xml:space="preserve"> </w:t>
      </w:r>
      <w:r w:rsidRPr="00D62CF4">
        <w:rPr>
          <w:b/>
          <w:caps/>
          <w:sz w:val="24"/>
          <w:szCs w:val="24"/>
        </w:rPr>
        <w:t xml:space="preserve">Dry </w:t>
      </w:r>
      <w:r w:rsidR="00595A4E">
        <w:rPr>
          <w:b/>
          <w:caps/>
          <w:sz w:val="24"/>
          <w:szCs w:val="24"/>
        </w:rPr>
        <w:br/>
      </w:r>
      <w:r w:rsidRPr="00D62CF4">
        <w:rPr>
          <w:b/>
          <w:caps/>
          <w:sz w:val="24"/>
          <w:szCs w:val="24"/>
        </w:rPr>
        <w:t>Storage and Transportation</w:t>
      </w:r>
      <w:r w:rsidR="00595A4E">
        <w:rPr>
          <w:b/>
          <w:caps/>
          <w:sz w:val="24"/>
          <w:szCs w:val="24"/>
        </w:rPr>
        <w:t xml:space="preserve"> </w:t>
      </w:r>
      <w:r w:rsidRPr="00D62CF4">
        <w:rPr>
          <w:b/>
          <w:caps/>
          <w:sz w:val="24"/>
          <w:szCs w:val="24"/>
        </w:rPr>
        <w:t>Applications</w:t>
      </w:r>
    </w:p>
    <w:p w14:paraId="42D16585" w14:textId="3D73F5B3" w:rsidR="00E20E70" w:rsidRPr="00EE29B9" w:rsidRDefault="00E20E70" w:rsidP="00537496">
      <w:pPr>
        <w:pStyle w:val="Heading1"/>
      </w:pPr>
    </w:p>
    <w:p w14:paraId="121C31D9" w14:textId="77777777" w:rsidR="00802381" w:rsidRDefault="00802381" w:rsidP="00537496">
      <w:pPr>
        <w:pStyle w:val="Authornameandaffiliation"/>
      </w:pPr>
    </w:p>
    <w:p w14:paraId="5EB0FAE4" w14:textId="637FDDBF" w:rsidR="003B5E0E" w:rsidRDefault="00FF386F" w:rsidP="00D027A3">
      <w:pPr>
        <w:pStyle w:val="Authornameandaffiliation"/>
        <w:ind w:left="562"/>
      </w:pPr>
      <w:r>
        <w:t>A</w:t>
      </w:r>
      <w:r w:rsidRPr="00FF386F">
        <w:t>.</w:t>
      </w:r>
      <w:r w:rsidR="00D62CF4">
        <w:t>J</w:t>
      </w:r>
      <w:r w:rsidR="00537496">
        <w:t>.</w:t>
      </w:r>
      <w:r w:rsidRPr="00FF386F">
        <w:t xml:space="preserve"> </w:t>
      </w:r>
      <w:r w:rsidR="00D62CF4">
        <w:t>MACHIELS</w:t>
      </w:r>
    </w:p>
    <w:p w14:paraId="4695EB59" w14:textId="242F71F0" w:rsidR="00FF386F" w:rsidRDefault="00D62CF4" w:rsidP="00D027A3">
      <w:pPr>
        <w:pStyle w:val="Authornameandaffiliation"/>
        <w:ind w:left="562"/>
      </w:pPr>
      <w:r>
        <w:t>Albert Machiels Consulting</w:t>
      </w:r>
    </w:p>
    <w:p w14:paraId="00728C1A" w14:textId="5D407059" w:rsidR="00FF386F" w:rsidRDefault="00D62CF4" w:rsidP="00D027A3">
      <w:pPr>
        <w:pStyle w:val="Authornameandaffiliation"/>
        <w:ind w:left="562"/>
      </w:pPr>
      <w:r>
        <w:t>Brentwood</w:t>
      </w:r>
      <w:r w:rsidR="00FF386F">
        <w:t>,</w:t>
      </w:r>
      <w:r>
        <w:t xml:space="preserve"> California,</w:t>
      </w:r>
      <w:r w:rsidR="00FF386F">
        <w:t xml:space="preserve"> </w:t>
      </w:r>
      <w:r>
        <w:t>USA</w:t>
      </w:r>
    </w:p>
    <w:p w14:paraId="457581F5" w14:textId="41F6FC3C" w:rsidR="00FF386F" w:rsidRDefault="00FF386F" w:rsidP="00D027A3">
      <w:pPr>
        <w:pStyle w:val="Authornameandaffiliation"/>
        <w:ind w:left="562"/>
      </w:pPr>
      <w:r>
        <w:t xml:space="preserve">Email: </w:t>
      </w:r>
      <w:r w:rsidR="00D62CF4">
        <w:t>ajmachiels</w:t>
      </w:r>
      <w:r>
        <w:t>@</w:t>
      </w:r>
      <w:r w:rsidR="00D62CF4">
        <w:t>gmail</w:t>
      </w:r>
      <w:r>
        <w:t>.com</w:t>
      </w:r>
    </w:p>
    <w:p w14:paraId="48077CE8" w14:textId="77777777" w:rsidR="00FF386F" w:rsidRDefault="00FF386F" w:rsidP="00537496">
      <w:pPr>
        <w:pStyle w:val="Authornameandaffiliation"/>
      </w:pPr>
    </w:p>
    <w:p w14:paraId="624F9A9C" w14:textId="7C52E0BA" w:rsidR="00FF386F" w:rsidRPr="00FF386F" w:rsidRDefault="00D62CF4" w:rsidP="00537496">
      <w:pPr>
        <w:pStyle w:val="Authornameandaffiliation"/>
      </w:pPr>
      <w:r>
        <w:t>K.</w:t>
      </w:r>
      <w:r w:rsidR="00081E67">
        <w:t>P</w:t>
      </w:r>
      <w:r>
        <w:t>. Waldrop</w:t>
      </w:r>
    </w:p>
    <w:p w14:paraId="22EB33B5" w14:textId="1414D3D3" w:rsidR="00FF386F" w:rsidRPr="00FF386F" w:rsidRDefault="00D62CF4" w:rsidP="00537496">
      <w:pPr>
        <w:pStyle w:val="Authornameandaffiliation"/>
      </w:pPr>
      <w:r>
        <w:t>E</w:t>
      </w:r>
      <w:r w:rsidR="008079B5">
        <w:t>lectric Power Research Institute, Inc.</w:t>
      </w:r>
    </w:p>
    <w:p w14:paraId="342B62D9" w14:textId="79B34BA0" w:rsidR="00FF386F" w:rsidRDefault="00081E67" w:rsidP="00537496">
      <w:pPr>
        <w:pStyle w:val="Authornameandaffiliation"/>
      </w:pPr>
      <w:r>
        <w:t>Palo Alto</w:t>
      </w:r>
      <w:r w:rsidR="00FF386F" w:rsidRPr="00FF386F">
        <w:t xml:space="preserve">, </w:t>
      </w:r>
      <w:r>
        <w:t>Californi</w:t>
      </w:r>
      <w:r w:rsidR="00D62CF4">
        <w:t>a, USA</w:t>
      </w:r>
    </w:p>
    <w:p w14:paraId="3EEDB07F" w14:textId="3F98C550" w:rsidR="00D62CF4" w:rsidRDefault="00D62CF4" w:rsidP="00537496">
      <w:pPr>
        <w:pStyle w:val="Authornameandaffiliation"/>
      </w:pPr>
    </w:p>
    <w:p w14:paraId="62D66B59" w14:textId="4A444FD0" w:rsidR="00D62CF4" w:rsidRDefault="00D62CF4" w:rsidP="00537496">
      <w:pPr>
        <w:pStyle w:val="Authornameandaffiliation"/>
      </w:pPr>
      <w:r>
        <w:t>P. Rudling</w:t>
      </w:r>
    </w:p>
    <w:p w14:paraId="39B6CAC2" w14:textId="342A8722" w:rsidR="00D62CF4" w:rsidRDefault="00D62CF4" w:rsidP="00537496">
      <w:pPr>
        <w:pStyle w:val="Authornameandaffiliation"/>
      </w:pPr>
      <w:r>
        <w:t>A</w:t>
      </w:r>
      <w:r w:rsidR="00595A4E">
        <w:t xml:space="preserve">dvanced </w:t>
      </w:r>
      <w:r>
        <w:t>N</w:t>
      </w:r>
      <w:r w:rsidR="00595A4E">
        <w:t xml:space="preserve">uclear </w:t>
      </w:r>
      <w:r>
        <w:t>T</w:t>
      </w:r>
      <w:r w:rsidR="00595A4E">
        <w:t>echnology</w:t>
      </w:r>
      <w:r>
        <w:t xml:space="preserve"> International</w:t>
      </w:r>
    </w:p>
    <w:p w14:paraId="1CA2D25D" w14:textId="000067FB" w:rsidR="00D62CF4" w:rsidRPr="00FF386F" w:rsidRDefault="00595A4E" w:rsidP="00537496">
      <w:pPr>
        <w:pStyle w:val="Authornameandaffiliation"/>
      </w:pPr>
      <w:r>
        <w:t>Tollered</w:t>
      </w:r>
      <w:r w:rsidR="00D62CF4">
        <w:t>,</w:t>
      </w:r>
      <w:r>
        <w:t xml:space="preserve"> </w:t>
      </w:r>
      <w:r w:rsidR="00D62CF4">
        <w:t>Sweden</w:t>
      </w:r>
    </w:p>
    <w:p w14:paraId="7F7BEC3B" w14:textId="77777777" w:rsidR="00FF386F" w:rsidRDefault="00FF386F" w:rsidP="00537496">
      <w:pPr>
        <w:pStyle w:val="Authornameandaffiliation"/>
      </w:pPr>
    </w:p>
    <w:p w14:paraId="502285A0" w14:textId="77777777" w:rsidR="00647F33" w:rsidRPr="00647F33" w:rsidRDefault="00647F33" w:rsidP="00537496">
      <w:pPr>
        <w:pStyle w:val="Authornameandaffiliation"/>
        <w:rPr>
          <w:b/>
        </w:rPr>
      </w:pPr>
      <w:r w:rsidRPr="00647F33">
        <w:rPr>
          <w:b/>
        </w:rPr>
        <w:t>Abstract</w:t>
      </w:r>
    </w:p>
    <w:p w14:paraId="576D1E12" w14:textId="77777777" w:rsidR="00647F33" w:rsidRDefault="00647F33" w:rsidP="00537496">
      <w:pPr>
        <w:pStyle w:val="Authornameandaffiliation"/>
      </w:pPr>
    </w:p>
    <w:p w14:paraId="38F03ECA" w14:textId="34064555" w:rsidR="00946FA5" w:rsidRPr="007B32A3" w:rsidRDefault="00946FA5" w:rsidP="004044AF">
      <w:pPr>
        <w:pStyle w:val="BodyText"/>
        <w:rPr>
          <w:sz w:val="18"/>
          <w:szCs w:val="18"/>
        </w:rPr>
      </w:pPr>
      <w:r w:rsidRPr="007B32A3">
        <w:rPr>
          <w:sz w:val="18"/>
          <w:szCs w:val="18"/>
        </w:rPr>
        <w:t>Two potential cladding degradation mechanisms have been the focus of regulatory authorities</w:t>
      </w:r>
      <w:r w:rsidR="00BC4C01" w:rsidRPr="007B32A3">
        <w:rPr>
          <w:sz w:val="18"/>
          <w:szCs w:val="18"/>
        </w:rPr>
        <w:t>’ reviews</w:t>
      </w:r>
      <w:r w:rsidRPr="007B32A3">
        <w:rPr>
          <w:sz w:val="18"/>
          <w:szCs w:val="18"/>
        </w:rPr>
        <w:t xml:space="preserve"> when </w:t>
      </w:r>
      <w:r w:rsidR="00BC4C01" w:rsidRPr="007B32A3">
        <w:rPr>
          <w:sz w:val="18"/>
          <w:szCs w:val="18"/>
        </w:rPr>
        <w:t>evaluating</w:t>
      </w:r>
      <w:r w:rsidRPr="007B32A3">
        <w:rPr>
          <w:sz w:val="18"/>
          <w:szCs w:val="18"/>
        </w:rPr>
        <w:t xml:space="preserve"> applications for storage and transportation of spent nuclear fuel under </w:t>
      </w:r>
      <w:r w:rsidR="00BC4C01" w:rsidRPr="007B32A3">
        <w:rPr>
          <w:sz w:val="18"/>
          <w:szCs w:val="18"/>
        </w:rPr>
        <w:t xml:space="preserve">dry, </w:t>
      </w:r>
      <w:r w:rsidRPr="007B32A3">
        <w:rPr>
          <w:sz w:val="18"/>
          <w:szCs w:val="18"/>
        </w:rPr>
        <w:t>inert atmosphere conditions: thermal creep and hydride re-orientation.</w:t>
      </w:r>
      <w:r w:rsidR="00487AF9" w:rsidRPr="007B32A3">
        <w:rPr>
          <w:sz w:val="18"/>
          <w:szCs w:val="18"/>
        </w:rPr>
        <w:t xml:space="preserve"> </w:t>
      </w:r>
      <w:r w:rsidR="006A21F8" w:rsidRPr="007B32A3">
        <w:rPr>
          <w:sz w:val="18"/>
          <w:szCs w:val="18"/>
        </w:rPr>
        <w:t>A</w:t>
      </w:r>
      <w:r w:rsidR="004171C3" w:rsidRPr="007B32A3">
        <w:rPr>
          <w:sz w:val="18"/>
          <w:szCs w:val="18"/>
        </w:rPr>
        <w:t xml:space="preserve"> review of the thermal creep mechanisms in the low and high stress regions and their dependence on applied stress, as supported by experimental work, lead</w:t>
      </w:r>
      <w:r w:rsidR="005923F2">
        <w:rPr>
          <w:sz w:val="18"/>
          <w:szCs w:val="18"/>
        </w:rPr>
        <w:t>s</w:t>
      </w:r>
      <w:r w:rsidR="004171C3" w:rsidRPr="007B32A3">
        <w:rPr>
          <w:sz w:val="18"/>
          <w:szCs w:val="18"/>
        </w:rPr>
        <w:t xml:space="preserve"> to the conclusion that creep failure is highly unlikely for internally pressurized spent fuel rods. </w:t>
      </w:r>
      <w:r w:rsidR="004044AF" w:rsidRPr="007B32A3">
        <w:rPr>
          <w:sz w:val="18"/>
          <w:szCs w:val="18"/>
        </w:rPr>
        <w:t>Through a process of elimination, the formation of radial hydrides can be assessed to be minor or completely eliminated for several types of BWR and PWR claddings</w:t>
      </w:r>
      <w:r w:rsidR="005923F2">
        <w:rPr>
          <w:sz w:val="18"/>
          <w:szCs w:val="18"/>
        </w:rPr>
        <w:t>;</w:t>
      </w:r>
      <w:r w:rsidR="004044AF" w:rsidRPr="007B32A3">
        <w:rPr>
          <w:sz w:val="18"/>
          <w:szCs w:val="18"/>
        </w:rPr>
        <w:t xml:space="preserve"> claddings that would benefit from additional investigations include RX and pRX PWR claddings when hydride dissolution upon heating occur</w:t>
      </w:r>
      <w:r w:rsidR="005923F2">
        <w:rPr>
          <w:sz w:val="18"/>
          <w:szCs w:val="18"/>
        </w:rPr>
        <w:t>s</w:t>
      </w:r>
      <w:r w:rsidR="004044AF" w:rsidRPr="007B32A3">
        <w:rPr>
          <w:sz w:val="18"/>
          <w:szCs w:val="18"/>
        </w:rPr>
        <w:t xml:space="preserve"> in a temperature range sufficiently high for complete hydride dissolution, but too low for any significant radiation damage annealing.</w:t>
      </w:r>
    </w:p>
    <w:p w14:paraId="54CBDFDE" w14:textId="77777777" w:rsidR="00647F33" w:rsidRDefault="00F523CA" w:rsidP="00403295">
      <w:pPr>
        <w:pStyle w:val="Heading2"/>
        <w:numPr>
          <w:ilvl w:val="1"/>
          <w:numId w:val="5"/>
        </w:numPr>
      </w:pPr>
      <w:r>
        <w:t>INTRODUCTION</w:t>
      </w:r>
    </w:p>
    <w:p w14:paraId="250828F7" w14:textId="4A4679AB" w:rsidR="00185AE5" w:rsidRDefault="00185AE5" w:rsidP="00B43AC9">
      <w:pPr>
        <w:pStyle w:val="BodyText"/>
      </w:pPr>
      <w:r>
        <w:t>Two potential cladding degradation mechanisms have been the focus of regulatory authorities’ reviews when evaluating applications for storage and subsequently transportation of spent nuclear fuel under dry, inert atmosphere conditions: thermal creep and hydride re-orientation.</w:t>
      </w:r>
      <w:r w:rsidR="00B43AC9">
        <w:t xml:space="preserve"> With regard to the latter, cladding types will be reviewed for their susceptibility to hydride reorientation and R&amp;D topics will be suggested for closing any remaining gaps.  </w:t>
      </w:r>
    </w:p>
    <w:p w14:paraId="46AE8648" w14:textId="560991B6" w:rsidR="00E25B68" w:rsidRDefault="008B098A" w:rsidP="00403295">
      <w:pPr>
        <w:pStyle w:val="Heading2"/>
        <w:numPr>
          <w:ilvl w:val="1"/>
          <w:numId w:val="5"/>
        </w:numPr>
      </w:pPr>
      <w:r>
        <w:t>THERMAL CREEP</w:t>
      </w:r>
    </w:p>
    <w:p w14:paraId="36498A73" w14:textId="37318CE4" w:rsidR="00BC1B1D" w:rsidRDefault="008B098A" w:rsidP="00537496">
      <w:pPr>
        <w:pStyle w:val="BodyText"/>
      </w:pPr>
      <w:r w:rsidRPr="000B3D7E">
        <w:t>Thermal creep is the tendency of solid materials, in this case Zr-based cladding alloys, to deform permanently under the influence of temperature and stress</w:t>
      </w:r>
      <w:r>
        <w:t xml:space="preserve">, the latter being </w:t>
      </w:r>
      <w:r w:rsidRPr="000B3D7E">
        <w:t xml:space="preserve">initially </w:t>
      </w:r>
      <w:r w:rsidRPr="000B3D7E">
        <w:rPr>
          <w:i/>
        </w:rPr>
        <w:t>below the yield strength</w:t>
      </w:r>
      <w:r w:rsidRPr="000B3D7E">
        <w:t xml:space="preserve"> of the material. Excessive deformation can result in rupture.</w:t>
      </w:r>
      <w:r>
        <w:t xml:space="preserve"> </w:t>
      </w:r>
    </w:p>
    <w:p w14:paraId="3374E6A2" w14:textId="77777777" w:rsidR="005B24D1" w:rsidRDefault="005B24D1" w:rsidP="005B24D1">
      <w:pPr>
        <w:pStyle w:val="BodyText"/>
      </w:pPr>
      <w:r w:rsidRPr="005B24D1">
        <w:t>Systematic cladding failure by creep must be avoided during dry storage. Regulatory requirements seek to minimize the likelihood of creep rupture failures by limiting</w:t>
      </w:r>
      <w:r>
        <w:t xml:space="preserve"> either:</w:t>
      </w:r>
      <w:r w:rsidRPr="005B24D1">
        <w:t xml:space="preserve"> </w:t>
      </w:r>
    </w:p>
    <w:p w14:paraId="389130C5" w14:textId="054A3A45" w:rsidR="005B24D1" w:rsidRDefault="005B24D1" w:rsidP="00403295">
      <w:pPr>
        <w:pStyle w:val="BodyText"/>
        <w:numPr>
          <w:ilvl w:val="0"/>
          <w:numId w:val="10"/>
        </w:numPr>
        <w:ind w:left="720"/>
      </w:pPr>
      <w:r>
        <w:t>Maximum allowed temperatures (for example, USA); or</w:t>
      </w:r>
    </w:p>
    <w:p w14:paraId="35DE0B69" w14:textId="53DC0AB1" w:rsidR="005B24D1" w:rsidRDefault="005B24D1" w:rsidP="00403295">
      <w:pPr>
        <w:pStyle w:val="BodyText"/>
        <w:numPr>
          <w:ilvl w:val="0"/>
          <w:numId w:val="10"/>
        </w:numPr>
        <w:ind w:left="720"/>
      </w:pPr>
      <w:r>
        <w:t>C</w:t>
      </w:r>
      <w:r w:rsidRPr="005B24D1">
        <w:t xml:space="preserve">ladding diametral strain to ≤1% (for example, Germany). </w:t>
      </w:r>
    </w:p>
    <w:p w14:paraId="00C6ED18" w14:textId="41AED6FD" w:rsidR="00CF70E7" w:rsidRPr="00CF70E7" w:rsidRDefault="00CF70E7" w:rsidP="00CF70E7">
      <w:pPr>
        <w:pStyle w:val="BodyText"/>
      </w:pPr>
      <w:r w:rsidRPr="00CF70E7">
        <w:t xml:space="preserve">In the </w:t>
      </w:r>
      <w:r w:rsidR="00D2169F">
        <w:t xml:space="preserve">U.S. Nuclear Regulatory Commission </w:t>
      </w:r>
      <w:r w:rsidRPr="00CF70E7">
        <w:t>Standard Review Plan published in 1997 [</w:t>
      </w:r>
      <w:r w:rsidR="007A42AE">
        <w:t>1</w:t>
      </w:r>
      <w:r w:rsidRPr="00CF70E7">
        <w:t>], cladding temperatures were allowed to reach 570°C during water removal and vacuum drying, as well as under accident conditions and short-term, off-normal conditions. The basis for 570°C was derived from creep testing conducted on irradiated Zircaloy-4 rods [</w:t>
      </w:r>
      <w:r w:rsidR="007A42AE">
        <w:t>2</w:t>
      </w:r>
      <w:r w:rsidRPr="00CF70E7">
        <w:t xml:space="preserve">]. It was recognized, however, that this 570°C limit was obtained by creep testing of low-burnup fuel rod with low internal fuel-rod gas pressure. </w:t>
      </w:r>
    </w:p>
    <w:p w14:paraId="258E1691" w14:textId="4CA2CC66" w:rsidR="00CF70E7" w:rsidRPr="00CF70E7" w:rsidRDefault="00CF70E7" w:rsidP="00CF70E7">
      <w:pPr>
        <w:pStyle w:val="BodyText"/>
      </w:pPr>
      <w:r w:rsidRPr="00CF70E7">
        <w:t>Revision 1 of the Standard Review Plan [</w:t>
      </w:r>
      <w:r w:rsidR="007A42AE">
        <w:t>3</w:t>
      </w:r>
      <w:r w:rsidRPr="00CF70E7">
        <w:t>] reflected improved understanding in providing guidance to NRC reviewers.  Consistent with Interim Staff Guidance 11, Rev. 3 [</w:t>
      </w:r>
      <w:r w:rsidR="007675A8">
        <w:t>4</w:t>
      </w:r>
      <w:r w:rsidRPr="00CF70E7">
        <w:t>], the revised Standard Review Plan limits peak cladding temperatures to 400</w:t>
      </w:r>
      <w:r w:rsidRPr="003F0AE8">
        <w:t>°</w:t>
      </w:r>
      <w:r w:rsidRPr="00CF70E7">
        <w:t xml:space="preserve">C for all normal operations, including drying. Cladding temperatures up to </w:t>
      </w:r>
      <w:r w:rsidRPr="00CF70E7">
        <w:lastRenderedPageBreak/>
        <w:t>570°C can still be justified for short-time loading operations for spent</w:t>
      </w:r>
      <w:r w:rsidR="007A42AE">
        <w:t>, low-burnup</w:t>
      </w:r>
      <w:r w:rsidRPr="00CF70E7">
        <w:t xml:space="preserve"> nuclear fuel (SNF) with best-estimate cladding hoop stress equal to or less than 90 MPa. As a result, previously analyzed SNF did not have to be re-analyzed because that SNF had relatively low burnups with cladding stress likely to be less than 90 MPa. NUREG-1536, Rev. 1 [</w:t>
      </w:r>
      <w:r w:rsidR="007675A8">
        <w:t>3</w:t>
      </w:r>
      <w:r w:rsidRPr="00CF70E7">
        <w:t xml:space="preserve">] also states that for off-normal and accident conditions, the maximum cladding temperature shall not exceed 570°C. The basis for allowing up to 570°C for off-normal and accident conditions </w:t>
      </w:r>
      <w:r w:rsidR="00373394">
        <w:t>i</w:t>
      </w:r>
      <w:r w:rsidR="00373394" w:rsidRPr="00CF70E7">
        <w:t>s</w:t>
      </w:r>
      <w:r w:rsidRPr="00CF70E7">
        <w:t xml:space="preserve">, at least in part, based on the previously cited work by [2], which showed no cladding rupture after relatively long creep test times of 30 days and 73 days at 571°C. </w:t>
      </w:r>
    </w:p>
    <w:p w14:paraId="3C0C9B52" w14:textId="1C884A96" w:rsidR="008B098A" w:rsidRDefault="00CF70E7" w:rsidP="00537496">
      <w:pPr>
        <w:pStyle w:val="BodyText"/>
      </w:pPr>
      <w:r w:rsidRPr="00CF70E7">
        <w:t>The more detailed creep discussion in the next section</w:t>
      </w:r>
      <w:r w:rsidR="00373394">
        <w:t>s</w:t>
      </w:r>
      <w:r w:rsidRPr="00CF70E7">
        <w:t xml:space="preserve"> provides mechanistic support for the limited effect of creep.</w:t>
      </w:r>
    </w:p>
    <w:p w14:paraId="42D2BB39" w14:textId="65126FF9" w:rsidR="007465B5" w:rsidRDefault="00CF70E7" w:rsidP="007465B5">
      <w:pPr>
        <w:pStyle w:val="Heading3"/>
      </w:pPr>
      <w:r>
        <w:t xml:space="preserve">Creep </w:t>
      </w:r>
      <w:r w:rsidR="006613DF">
        <w:t>t</w:t>
      </w:r>
      <w:r>
        <w:t>esting</w:t>
      </w:r>
    </w:p>
    <w:p w14:paraId="330FDC53" w14:textId="23E743BD" w:rsidR="00CF70E7" w:rsidRDefault="00CF70E7" w:rsidP="00CF70E7">
      <w:pPr>
        <w:pStyle w:val="BodyText"/>
      </w:pPr>
      <w:r>
        <w:t xml:space="preserve">Experimentally, the shape of thermal creep curves, i.e., diametral strain as a function of time, depends on the testing protocol.  Given the geometry of fuel rod cladding, only creep testing of tube specimens </w:t>
      </w:r>
      <w:r w:rsidR="005923F2">
        <w:t xml:space="preserve">is considered </w:t>
      </w:r>
      <w:r>
        <w:t>in the paper.</w:t>
      </w:r>
      <w:r w:rsidR="0068278F">
        <w:t xml:space="preserve"> </w:t>
      </w:r>
      <w:r>
        <w:t xml:space="preserve">The most common approach for creep testing of cladding tube specimens is by maintaining a constant pressure inside the specimen during the duration of the test (“constant load” protocol). A second approach is to maintain the applied stress by adjusting, if necessary, the internal pressure to account for the changes in tubing dimensions (“constant stress” protocol). The testing protocol that is closest in applicability to fuel rods in dry storage is to pressurize the specimen and seal it at both ends before inserting it into </w:t>
      </w:r>
      <w:r w:rsidR="0068278F">
        <w:t>a</w:t>
      </w:r>
      <w:r>
        <w:t xml:space="preserve"> creep testing furnace (“constant gas content” protocol).</w:t>
      </w:r>
    </w:p>
    <w:p w14:paraId="0DC65310" w14:textId="41ED9825" w:rsidR="0068278F" w:rsidRPr="00664539" w:rsidRDefault="0068278F" w:rsidP="0068278F">
      <w:pPr>
        <w:pStyle w:val="BodyText"/>
      </w:pPr>
      <w:r w:rsidRPr="00664539">
        <w:t>Assuming that the initial testing parameters for these three testing protocols are identical (</w:t>
      </w:r>
      <w:r>
        <w:t xml:space="preserve">identical </w:t>
      </w:r>
      <w:r w:rsidRPr="00664539">
        <w:t>temperature and initial internal pressure</w:t>
      </w:r>
      <w:r>
        <w:t xml:space="preserve"> values</w:t>
      </w:r>
      <w:r w:rsidRPr="00664539">
        <w:t xml:space="preserve">), </w:t>
      </w:r>
      <w:r>
        <w:t>Fig.</w:t>
      </w:r>
      <w:r w:rsidR="007A42AE">
        <w:t xml:space="preserve"> 1 </w:t>
      </w:r>
      <w:r w:rsidRPr="00664539">
        <w:t xml:space="preserve">provides an illustration of the shape of the </w:t>
      </w:r>
      <w:r>
        <w:t xml:space="preserve">three </w:t>
      </w:r>
      <w:r w:rsidRPr="00664539">
        <w:t>curves that would be expected by testing the same material according to the three different protocols referred to above.</w:t>
      </w:r>
    </w:p>
    <w:p w14:paraId="0C6D3787" w14:textId="285980F4" w:rsidR="0068278F" w:rsidRDefault="0068278F" w:rsidP="0068278F">
      <w:pPr>
        <w:pStyle w:val="BodyText"/>
      </w:pPr>
      <w:r w:rsidRPr="00664539">
        <w:t xml:space="preserve">Creep curves are typically described as reflecting </w:t>
      </w:r>
      <w:r>
        <w:t xml:space="preserve">up to </w:t>
      </w:r>
      <w:r w:rsidRPr="00664539">
        <w:t xml:space="preserve">three stages during the deformation process.  The first two stages are Stage I, or primary creep, and Stage II, or secondary creep. Primary creep occurs at the beginning of the test, as shown in </w:t>
      </w:r>
      <w:r w:rsidR="007A42AE">
        <w:t xml:space="preserve">Fig. 1 </w:t>
      </w:r>
      <w:r w:rsidRPr="00664539">
        <w:t xml:space="preserve">where </w:t>
      </w:r>
      <w:r w:rsidR="00D2169F">
        <w:rPr>
          <w:rFonts w:ascii="Symbol" w:hAnsi="Symbol"/>
        </w:rPr>
        <w:t></w:t>
      </w:r>
      <w:r w:rsidRPr="0068278F">
        <w:rPr>
          <w:vertAlign w:val="subscript"/>
        </w:rPr>
        <w:t>e</w:t>
      </w:r>
      <w:r w:rsidRPr="00664539">
        <w:t xml:space="preserve"> and </w:t>
      </w:r>
      <w:r w:rsidR="00D2169F">
        <w:rPr>
          <w:rFonts w:ascii="Symbol" w:hAnsi="Symbol"/>
        </w:rPr>
        <w:t></w:t>
      </w:r>
      <w:r w:rsidRPr="0068278F">
        <w:rPr>
          <w:vertAlign w:val="subscript"/>
        </w:rPr>
        <w:t>p</w:t>
      </w:r>
      <w:r w:rsidRPr="00664539">
        <w:t xml:space="preserve"> denotes the instantaneous elastic strain and </w:t>
      </w:r>
      <w:r>
        <w:t xml:space="preserve">the </w:t>
      </w:r>
      <w:r w:rsidRPr="00664539">
        <w:t xml:space="preserve">transient primary creep strain, respectively. During the transient primary creep stage, the creep strain rate decreases </w:t>
      </w:r>
      <w:r w:rsidR="006B42DE">
        <w:t>a</w:t>
      </w:r>
      <w:r w:rsidRPr="00664539">
        <w:t xml:space="preserve">s strain increases until Stage II is reached. In Stage II, or secondary creep, the rate at which the specimen </w:t>
      </w:r>
      <w:r w:rsidRPr="0068278F">
        <w:t xml:space="preserve">deforms </w:t>
      </w:r>
      <w:r w:rsidRPr="00664539">
        <w:t xml:space="preserve">(i.e., the slope of the curve) </w:t>
      </w:r>
      <w:r w:rsidRPr="0068278F">
        <w:t xml:space="preserve">becomes nearly constant; this stage is referred to as steady-state creep; the secondary creep strain is denoted </w:t>
      </w:r>
      <w:r w:rsidR="00D2169F">
        <w:rPr>
          <w:rFonts w:ascii="Symbol" w:hAnsi="Symbol"/>
        </w:rPr>
        <w:t></w:t>
      </w:r>
      <w:r w:rsidRPr="006B42DE">
        <w:rPr>
          <w:vertAlign w:val="subscript"/>
        </w:rPr>
        <w:t>s</w:t>
      </w:r>
      <w:r w:rsidRPr="0068278F">
        <w:t xml:space="preserve"> in</w:t>
      </w:r>
      <w:r w:rsidR="007A42AE">
        <w:t xml:space="preserve"> Fig. 1.</w:t>
      </w:r>
      <w:r w:rsidRPr="0068278F">
        <w:t xml:space="preserve"> For the purpose of the discussion, the curve capturing </w:t>
      </w:r>
      <w:r w:rsidR="007A42AE">
        <w:t xml:space="preserve">the elastic deformation, </w:t>
      </w:r>
      <w:r w:rsidRPr="0068278F">
        <w:t>primary creep transient and initial stage of the secondary creep</w:t>
      </w:r>
      <w:r w:rsidRPr="00664539">
        <w:t xml:space="preserve"> </w:t>
      </w:r>
      <w:r w:rsidR="007A42AE">
        <w:t>is</w:t>
      </w:r>
      <w:r w:rsidRPr="00664539">
        <w:t xml:space="preserve"> shown to be identical for all three testing protocols; this assumes </w:t>
      </w:r>
      <w:r>
        <w:t>that</w:t>
      </w:r>
      <w:r w:rsidRPr="00664539">
        <w:t xml:space="preserve"> changes in internal pressure and specimen dimensions (diameter and wall thickness) </w:t>
      </w:r>
      <w:r>
        <w:t xml:space="preserve">remain small </w:t>
      </w:r>
      <w:r w:rsidRPr="00664539">
        <w:t xml:space="preserve">in the early </w:t>
      </w:r>
      <w:r>
        <w:t>phas</w:t>
      </w:r>
      <w:r w:rsidRPr="00664539">
        <w:t xml:space="preserve">es of </w:t>
      </w:r>
      <w:r w:rsidR="006B42DE">
        <w:t>creep</w:t>
      </w:r>
      <w:r w:rsidRPr="00664539">
        <w:t xml:space="preserve"> deformation. However, when changes in specimen dimensions become more significant, the shape</w:t>
      </w:r>
      <w:r>
        <w:t>s</w:t>
      </w:r>
      <w:r w:rsidRPr="00664539">
        <w:t xml:space="preserve"> of the curve</w:t>
      </w:r>
      <w:r>
        <w:t>s</w:t>
      </w:r>
      <w:r w:rsidRPr="00664539">
        <w:t xml:space="preserve"> diverge </w:t>
      </w:r>
      <w:r>
        <w:t>as testing duration increases</w:t>
      </w:r>
      <w:r w:rsidR="007128F0">
        <w:t>:</w:t>
      </w:r>
    </w:p>
    <w:p w14:paraId="1AF40127" w14:textId="77777777" w:rsidR="007128F0" w:rsidRDefault="007128F0" w:rsidP="0068278F">
      <w:pPr>
        <w:pStyle w:val="BodyText"/>
      </w:pPr>
    </w:p>
    <w:p w14:paraId="54F7EEB0" w14:textId="12692B9A" w:rsidR="0068278F" w:rsidRPr="00664539" w:rsidRDefault="0068278F" w:rsidP="007128F0">
      <w:pPr>
        <w:pStyle w:val="BodyText"/>
        <w:numPr>
          <w:ilvl w:val="0"/>
          <w:numId w:val="11"/>
        </w:numPr>
        <w:spacing w:after="240"/>
        <w:ind w:left="720"/>
      </w:pPr>
      <w:r w:rsidRPr="00664539">
        <w:t>Constant load conditions: As the tubing specimen deforms, changes in tube dimensions (increases in outside and inside diameters and decrease in wall thickness) result in increasing applied stress level</w:t>
      </w:r>
      <w:r>
        <w:t>s</w:t>
      </w:r>
      <w:r w:rsidRPr="00664539">
        <w:t xml:space="preserve">. </w:t>
      </w:r>
      <w:r>
        <w:t>T</w:t>
      </w:r>
      <w:r w:rsidRPr="00664539">
        <w:t xml:space="preserve">he </w:t>
      </w:r>
      <w:r>
        <w:t xml:space="preserve">applied </w:t>
      </w:r>
      <w:r w:rsidRPr="00664539">
        <w:t xml:space="preserve">stress eventually becomes locally greater than the yield stress, and plastic deformation at the structurally weakest location in the cladding tube </w:t>
      </w:r>
      <w:r>
        <w:t>eventually</w:t>
      </w:r>
      <w:r w:rsidRPr="00664539">
        <w:t xml:space="preserve"> results in specimen rupture. </w:t>
      </w:r>
    </w:p>
    <w:p w14:paraId="468CBC11" w14:textId="342F7BBE" w:rsidR="0068278F" w:rsidRDefault="0068278F" w:rsidP="007128F0">
      <w:pPr>
        <w:pStyle w:val="BodyText"/>
        <w:numPr>
          <w:ilvl w:val="0"/>
          <w:numId w:val="11"/>
        </w:numPr>
        <w:spacing w:after="240"/>
        <w:ind w:left="720"/>
      </w:pPr>
      <w:r w:rsidRPr="00664539">
        <w:t>Constant stress conditions: The creep rate (i.e., the slope of the creep curve) remains the same as internal pressure is continuously adjusted</w:t>
      </w:r>
      <w:r>
        <w:t>, if necessary,</w:t>
      </w:r>
      <w:r w:rsidRPr="00664539">
        <w:t xml:space="preserve"> for accounting for the changes in specimen dimensions in order to maintain a constant hoop stress in the specimen. Stage II is greatly expanded time-wise until the specimen wall becomes so thin that plastic deformation and rupture occur at the structurally weakest location in the cladding tube. </w:t>
      </w:r>
    </w:p>
    <w:p w14:paraId="2017A1C2" w14:textId="46254DEB" w:rsidR="0068278F" w:rsidRDefault="0068278F" w:rsidP="007128F0">
      <w:pPr>
        <w:pStyle w:val="BodyText"/>
        <w:numPr>
          <w:ilvl w:val="0"/>
          <w:numId w:val="11"/>
        </w:numPr>
        <w:spacing w:after="240"/>
        <w:ind w:left="720"/>
      </w:pPr>
      <w:r w:rsidRPr="00664539">
        <w:t>Constant gas content conditions: When the sealed specimen contains fuel</w:t>
      </w:r>
      <w:r>
        <w:t>,</w:t>
      </w:r>
      <w:r w:rsidRPr="00664539">
        <w:t xml:space="preserve"> or more likely dummy</w:t>
      </w:r>
      <w:r>
        <w:t xml:space="preserve"> </w:t>
      </w:r>
      <w:r w:rsidRPr="00664539">
        <w:t>fuel pellets, the volume available to the gas content inside the specimen</w:t>
      </w:r>
      <w:r>
        <w:t xml:space="preserve"> may</w:t>
      </w:r>
      <w:r w:rsidRPr="00664539">
        <w:t xml:space="preserve"> represent a small fraction of the specimen’s internal volume. Such a “</w:t>
      </w:r>
      <w:r w:rsidR="00A73D73" w:rsidRPr="00664539">
        <w:t>fuelled</w:t>
      </w:r>
      <w:r w:rsidRPr="00664539">
        <w:t>” tube specimen experiences a decreasing stress because the internal specimen void volume available to the gas</w:t>
      </w:r>
      <w:r w:rsidR="001D5140">
        <w:t xml:space="preserve"> inventory in the rod</w:t>
      </w:r>
      <w:r w:rsidRPr="00664539">
        <w:t xml:space="preserve"> increases</w:t>
      </w:r>
      <w:r>
        <w:t xml:space="preserve"> </w:t>
      </w:r>
      <w:r w:rsidR="001D5140">
        <w:t>markedly</w:t>
      </w:r>
      <w:r>
        <w:t xml:space="preserve"> when the initial void volume is small</w:t>
      </w:r>
      <w:r w:rsidRPr="00664539">
        <w:t>.</w:t>
      </w:r>
    </w:p>
    <w:p w14:paraId="45A55130" w14:textId="2E994765" w:rsidR="0068278F" w:rsidRDefault="00293E13" w:rsidP="006B42DE">
      <w:pPr>
        <w:pStyle w:val="Picture"/>
        <w:jc w:val="left"/>
      </w:pPr>
      <w:r>
        <w:rPr>
          <w:noProof/>
        </w:rPr>
        <w:lastRenderedPageBreak/>
        <w:drawing>
          <wp:inline distT="0" distB="0" distL="0" distR="0" wp14:anchorId="4954C488" wp14:editId="54048340">
            <wp:extent cx="5676641" cy="4572000"/>
            <wp:effectExtent l="0" t="0" r="0" b="0"/>
            <wp:docPr id="3" name="Picture 2">
              <a:extLst xmlns:a="http://schemas.openxmlformats.org/drawingml/2006/main">
                <a:ext uri="{FF2B5EF4-FFF2-40B4-BE49-F238E27FC236}">
                  <a16:creationId xmlns:a16="http://schemas.microsoft.com/office/drawing/2014/main" id="{85D73380-1296-47D4-87EF-7A4E96B9B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5D73380-1296-47D4-87EF-7A4E96B9BE6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76641" cy="4572000"/>
                    </a:xfrm>
                    <a:prstGeom prst="rect">
                      <a:avLst/>
                    </a:prstGeom>
                  </pic:spPr>
                </pic:pic>
              </a:graphicData>
            </a:graphic>
          </wp:inline>
        </w:drawing>
      </w:r>
    </w:p>
    <w:p w14:paraId="4F97787A" w14:textId="7C7CADB8" w:rsidR="006B42DE" w:rsidRDefault="006B42DE" w:rsidP="006B42DE">
      <w:pPr>
        <w:pStyle w:val="BodyText"/>
        <w:spacing w:after="85" w:line="240" w:lineRule="auto"/>
        <w:ind w:firstLine="562"/>
        <w:jc w:val="center"/>
        <w:rPr>
          <w:i/>
          <w:sz w:val="18"/>
          <w:szCs w:val="18"/>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4529BF">
        <w:rPr>
          <w:i/>
          <w:noProof/>
        </w:rPr>
        <w:t>1</w:t>
      </w:r>
      <w:r w:rsidRPr="00802381">
        <w:rPr>
          <w:i/>
        </w:rPr>
        <w:fldChar w:fldCharType="end"/>
      </w:r>
      <w:r>
        <w:rPr>
          <w:i/>
        </w:rPr>
        <w:t xml:space="preserve">. </w:t>
      </w:r>
      <w:r w:rsidRPr="006B42DE">
        <w:rPr>
          <w:i/>
          <w:sz w:val="18"/>
          <w:szCs w:val="18"/>
        </w:rPr>
        <w:t>Typical shapes of creep curves (diametral strain versus time) obtained under constant load, constant stress, and constant gas content conditions.</w:t>
      </w:r>
    </w:p>
    <w:p w14:paraId="5D766EAD" w14:textId="491BB3E9" w:rsidR="006B42DE" w:rsidRDefault="006B42DE" w:rsidP="006B42DE">
      <w:pPr>
        <w:pStyle w:val="Heading3"/>
      </w:pPr>
      <w:r>
        <w:t xml:space="preserve">Thermal </w:t>
      </w:r>
      <w:r w:rsidR="006613DF">
        <w:t>c</w:t>
      </w:r>
      <w:r>
        <w:t xml:space="preserve">reep </w:t>
      </w:r>
      <w:r w:rsidR="006613DF">
        <w:t>d</w:t>
      </w:r>
      <w:r>
        <w:t xml:space="preserve">eformation </w:t>
      </w:r>
      <w:r w:rsidR="006613DF">
        <w:t>m</w:t>
      </w:r>
      <w:r>
        <w:t>echanisms</w:t>
      </w:r>
    </w:p>
    <w:p w14:paraId="3025AC85" w14:textId="50C143A4" w:rsidR="0044654F" w:rsidRDefault="006613DF" w:rsidP="006613DF">
      <w:pPr>
        <w:pStyle w:val="BodyText"/>
      </w:pPr>
      <w:r w:rsidRPr="006613DF">
        <w:t>Detailed accounts of various creep mechanisms can be found in the literature. Based on the different creep deformation mechanisms and experimental data, Chin et al.</w:t>
      </w:r>
      <w:r w:rsidR="007675A8">
        <w:t xml:space="preserve"> [5</w:t>
      </w:r>
      <w:r w:rsidRPr="006613DF">
        <w:t>] developed a secondary creep deformation map for unirradiated, non-hydrided Zircaloy. Secondary creep rates are shown in black lines going across the different deformation kinetics regions in Fig</w:t>
      </w:r>
      <w:r w:rsidR="00ED1C57">
        <w:t>. 2</w:t>
      </w:r>
      <w:r w:rsidRPr="006613DF">
        <w:t>, where ln(σ/E) is plotted against Tm/T.</w:t>
      </w:r>
    </w:p>
    <w:p w14:paraId="41E2EABE" w14:textId="77777777" w:rsidR="0044654F" w:rsidRPr="00006734" w:rsidRDefault="0044654F" w:rsidP="004518FC">
      <w:pPr>
        <w:pStyle w:val="ListEmdash"/>
        <w:ind w:left="821"/>
        <w:rPr>
          <w:lang w:val="en-US"/>
        </w:rPr>
      </w:pPr>
      <w:r w:rsidRPr="00006734">
        <w:rPr>
          <w:lang w:val="en-US"/>
        </w:rPr>
        <w:t>Tm is the melting temperature of Zircaloy equal to 2125 K</w:t>
      </w:r>
    </w:p>
    <w:p w14:paraId="72E2C6F1" w14:textId="783D83F5" w:rsidR="0044654F" w:rsidRPr="0044654F" w:rsidRDefault="0044654F" w:rsidP="004518FC">
      <w:pPr>
        <w:pStyle w:val="ListEmdash"/>
        <w:ind w:left="821"/>
      </w:pPr>
      <w:r w:rsidRPr="0044654F">
        <w:rPr>
          <w:lang w:val="en-US"/>
        </w:rPr>
        <w:t>T is the temperature [K]</w:t>
      </w:r>
    </w:p>
    <w:p w14:paraId="61632E4A" w14:textId="77777777" w:rsidR="0044654F" w:rsidRDefault="0044654F" w:rsidP="004518FC">
      <w:pPr>
        <w:pStyle w:val="ListEmdash"/>
        <w:ind w:left="821"/>
        <w:rPr>
          <w:lang w:val="en-US"/>
        </w:rPr>
      </w:pPr>
      <w:r w:rsidRPr="0044654F">
        <w:rPr>
          <w:lang w:val="el-GR"/>
        </w:rPr>
        <w:t>σ</w:t>
      </w:r>
      <w:r w:rsidRPr="0044654F">
        <w:rPr>
          <w:lang w:val="en-US"/>
        </w:rPr>
        <w:t xml:space="preserve"> is the applied stress [MPa</w:t>
      </w:r>
      <w:r>
        <w:rPr>
          <w:lang w:val="en-US"/>
        </w:rPr>
        <w:t>]</w:t>
      </w:r>
    </w:p>
    <w:p w14:paraId="6AFC3614" w14:textId="673CB9FF" w:rsidR="0044654F" w:rsidRPr="007675A8" w:rsidRDefault="0044654F" w:rsidP="004518FC">
      <w:pPr>
        <w:pStyle w:val="ListEmdash"/>
        <w:ind w:left="821"/>
        <w:rPr>
          <w:lang w:val="en-US"/>
        </w:rPr>
      </w:pPr>
      <w:r w:rsidRPr="007675A8">
        <w:rPr>
          <w:lang w:val="en-US"/>
        </w:rPr>
        <w:t>E is Zircaloy’s Young’s modulus equal to (11.09 – 11.61 T/Tm)</w:t>
      </w:r>
      <w:r w:rsidRPr="005C3D94">
        <w:rPr>
          <w:vertAlign w:val="subscript"/>
          <w:lang w:val="en-US"/>
        </w:rPr>
        <w:t>*</w:t>
      </w:r>
      <w:r w:rsidRPr="007675A8">
        <w:rPr>
          <w:lang w:val="en-US"/>
        </w:rPr>
        <w:t>104 MPa</w:t>
      </w:r>
    </w:p>
    <w:p w14:paraId="4111419E" w14:textId="77777777" w:rsidR="007D2F95" w:rsidRPr="0044654F" w:rsidRDefault="007D2F95" w:rsidP="0044654F">
      <w:pPr>
        <w:pStyle w:val="ListEmdash"/>
        <w:numPr>
          <w:ilvl w:val="0"/>
          <w:numId w:val="0"/>
        </w:numPr>
        <w:ind w:left="709"/>
      </w:pPr>
    </w:p>
    <w:p w14:paraId="5F16A717" w14:textId="02E6389A" w:rsidR="006613DF" w:rsidRPr="0044654F" w:rsidRDefault="006613DF" w:rsidP="0044654F">
      <w:pPr>
        <w:pStyle w:val="BodyText"/>
      </w:pPr>
      <w:r w:rsidRPr="0044654F">
        <w:t xml:space="preserve">For reference, a </w:t>
      </w:r>
      <w:r w:rsidR="001677D7">
        <w:t xml:space="preserve">constant </w:t>
      </w:r>
      <w:r w:rsidRPr="0044654F">
        <w:t>secondary creep rate of 10</w:t>
      </w:r>
      <w:r w:rsidRPr="0044654F">
        <w:rPr>
          <w:vertAlign w:val="superscript"/>
        </w:rPr>
        <w:t>-10</w:t>
      </w:r>
      <w:r w:rsidRPr="0044654F">
        <w:t xml:space="preserve"> s</w:t>
      </w:r>
      <w:r w:rsidRPr="007D2F95">
        <w:rPr>
          <w:vertAlign w:val="superscript"/>
        </w:rPr>
        <w:t>-1</w:t>
      </w:r>
      <w:r w:rsidRPr="0044654F">
        <w:t xml:space="preserve"> means that it takes ~3 years to achieve a 1% strain for as-fabricated Zircaloy tubing. Therefore, there is little interest in </w:t>
      </w:r>
      <w:r w:rsidR="001677D7">
        <w:t xml:space="preserve">initial </w:t>
      </w:r>
      <w:r w:rsidRPr="0044654F">
        <w:t xml:space="preserve">secondary creep rates that are below </w:t>
      </w:r>
      <w:r w:rsidR="007D2F95" w:rsidRPr="0044654F">
        <w:t>10</w:t>
      </w:r>
      <w:r w:rsidR="007D2F95" w:rsidRPr="0044654F">
        <w:rPr>
          <w:vertAlign w:val="superscript"/>
        </w:rPr>
        <w:t>-10</w:t>
      </w:r>
      <w:r w:rsidR="007D2F95" w:rsidRPr="0044654F">
        <w:t xml:space="preserve"> s</w:t>
      </w:r>
      <w:r w:rsidR="001677D7">
        <w:rPr>
          <w:vertAlign w:val="superscript"/>
        </w:rPr>
        <w:noBreakHyphen/>
      </w:r>
      <w:r w:rsidR="007D2F95" w:rsidRPr="007D2F95">
        <w:rPr>
          <w:vertAlign w:val="superscript"/>
        </w:rPr>
        <w:t>1</w:t>
      </w:r>
      <w:r w:rsidR="00056A64">
        <w:t xml:space="preserve">, because peak cladding temperature and </w:t>
      </w:r>
      <w:r w:rsidR="00091E10">
        <w:t xml:space="preserve">hoop </w:t>
      </w:r>
      <w:r w:rsidR="00056A64">
        <w:t>stresses markedly decrease during the first three years of storage</w:t>
      </w:r>
      <w:r w:rsidR="00091E10">
        <w:t xml:space="preserve">. The resulting drops in temperature and hoop stress </w:t>
      </w:r>
      <w:r w:rsidR="00200057">
        <w:t xml:space="preserve">over the first three years </w:t>
      </w:r>
      <w:r w:rsidR="00091E10">
        <w:t xml:space="preserve">effectively reduce the initial </w:t>
      </w:r>
      <w:r w:rsidR="00091E10" w:rsidRPr="0044654F">
        <w:t>10</w:t>
      </w:r>
      <w:r w:rsidR="00091E10" w:rsidRPr="0044654F">
        <w:rPr>
          <w:vertAlign w:val="superscript"/>
        </w:rPr>
        <w:t>-10</w:t>
      </w:r>
      <w:r w:rsidR="00091E10" w:rsidRPr="0044654F">
        <w:t xml:space="preserve"> s</w:t>
      </w:r>
      <w:r w:rsidR="00091E10" w:rsidRPr="007D2F95">
        <w:rPr>
          <w:vertAlign w:val="superscript"/>
        </w:rPr>
        <w:t>-1</w:t>
      </w:r>
      <w:r w:rsidR="00091E10">
        <w:t xml:space="preserve"> secondary </w:t>
      </w:r>
      <w:r w:rsidR="00091E10">
        <w:t xml:space="preserve">creep rate </w:t>
      </w:r>
      <w:r w:rsidR="00091E10">
        <w:t xml:space="preserve">value </w:t>
      </w:r>
      <w:r w:rsidR="00091E10">
        <w:t xml:space="preserve">to </w:t>
      </w:r>
      <w:r w:rsidR="001677D7">
        <w:t xml:space="preserve">levels that are </w:t>
      </w:r>
      <w:r w:rsidR="002455C1">
        <w:t>an order of magnitude lower</w:t>
      </w:r>
      <w:r w:rsidR="00091E10">
        <w:t>.</w:t>
      </w:r>
      <w:r w:rsidRPr="0044654F">
        <w:t xml:space="preserve">  </w:t>
      </w:r>
    </w:p>
    <w:p w14:paraId="0314F64D" w14:textId="0787B5E1" w:rsidR="006613DF" w:rsidRDefault="006613DF" w:rsidP="0044654F">
      <w:pPr>
        <w:pStyle w:val="BodyText"/>
      </w:pPr>
      <w:r w:rsidRPr="0044654F">
        <w:t>By inspection, it can be seen that for normal dry storage conditions (</w:t>
      </w:r>
      <w:r w:rsidR="001D5140">
        <w:t xml:space="preserve">typically, </w:t>
      </w:r>
      <w:r w:rsidRPr="0044654F">
        <w:t>T &lt;673 K and σ &lt;120 MPa), grain boundary sliding and low/high temperature climb dominate. A boundary between two adjacent deformation kinetics regions means the two mechanisms involved contribute equally to the secondary creep strain rate value.</w:t>
      </w:r>
    </w:p>
    <w:p w14:paraId="4E599346" w14:textId="110AF00D" w:rsidR="007D2F95" w:rsidRPr="0044654F" w:rsidRDefault="007D2F95" w:rsidP="007D2F95">
      <w:pPr>
        <w:pStyle w:val="BodyText"/>
      </w:pPr>
      <w:r w:rsidRPr="0044654F">
        <w:t xml:space="preserve">Secondary creep rates can be generically expressed as a function of several parameters. For the purpose of the paper, </w:t>
      </w:r>
      <w:r w:rsidR="007675A8">
        <w:t xml:space="preserve">only </w:t>
      </w:r>
      <w:r w:rsidRPr="0044654F">
        <w:t xml:space="preserve">the dependence of the secondary strain rate, </w:t>
      </w:r>
      <m:oMath>
        <m:acc>
          <m:accPr>
            <m:chr m:val="̇"/>
            <m:ctrlPr>
              <w:rPr>
                <w:rFonts w:ascii="Cambria Math" w:hAnsi="Cambria Math"/>
              </w:rPr>
            </m:ctrlPr>
          </m:accPr>
          <m:e>
            <m:r>
              <w:rPr>
                <w:rFonts w:ascii="Cambria Math" w:hAnsi="Cambria Math"/>
              </w:rPr>
              <m:t>ϵ</m:t>
            </m:r>
          </m:e>
        </m:acc>
      </m:oMath>
      <w:r w:rsidRPr="0044654F">
        <w:t xml:space="preserve"> on (σ/E)</w:t>
      </w:r>
      <w:r w:rsidRPr="0044654F">
        <w:rPr>
          <w:i/>
          <w:vertAlign w:val="superscript"/>
        </w:rPr>
        <w:t>n</w:t>
      </w:r>
      <w:r w:rsidRPr="0044654F">
        <w:t xml:space="preserve"> is retained.</w:t>
      </w:r>
    </w:p>
    <w:p w14:paraId="06874CED" w14:textId="2DE8E05C" w:rsidR="007B32A3" w:rsidRDefault="007D2F95" w:rsidP="007D2F95">
      <w:pPr>
        <w:pStyle w:val="BodyText"/>
      </w:pPr>
      <w:r w:rsidRPr="0044654F">
        <w:lastRenderedPageBreak/>
        <w:t xml:space="preserve">Table 1 lists the mechanisms of greatest interest to dry storage conditions and their dependency on the stress exponent </w:t>
      </w:r>
      <w:r w:rsidRPr="0044654F">
        <w:rPr>
          <w:i/>
        </w:rPr>
        <w:t>n</w:t>
      </w:r>
      <w:bookmarkStart w:id="0" w:name="_Ref531208107"/>
      <w:r w:rsidR="007675A8">
        <w:t xml:space="preserve"> and temperature.</w:t>
      </w:r>
    </w:p>
    <w:p w14:paraId="59F3FA7E" w14:textId="77777777" w:rsidR="00200057" w:rsidRDefault="00200057" w:rsidP="007D2F95">
      <w:pPr>
        <w:pStyle w:val="BodyText"/>
      </w:pPr>
    </w:p>
    <w:bookmarkEnd w:id="0"/>
    <w:p w14:paraId="2DC04877" w14:textId="77777777" w:rsidR="00434EEA" w:rsidRDefault="00434EEA" w:rsidP="00200057">
      <w:pPr>
        <w:overflowPunct/>
        <w:autoSpaceDE/>
        <w:autoSpaceDN/>
        <w:adjustRightInd/>
        <w:textAlignment w:val="auto"/>
        <w:rPr>
          <w:lang w:val="en-US"/>
        </w:rPr>
      </w:pPr>
      <w:r w:rsidRPr="00E656CA">
        <w:rPr>
          <w:noProof/>
          <w:lang w:val="en-US"/>
        </w:rPr>
        <w:drawing>
          <wp:inline distT="0" distB="0" distL="0" distR="0" wp14:anchorId="195E8119" wp14:editId="598B54A7">
            <wp:extent cx="5040000" cy="4458803"/>
            <wp:effectExtent l="19050" t="19050" r="27300" b="17947"/>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4458803"/>
                    </a:xfrm>
                    <a:prstGeom prst="rect">
                      <a:avLst/>
                    </a:prstGeom>
                    <a:noFill/>
                    <a:ln w="6350" cmpd="sng">
                      <a:solidFill>
                        <a:srgbClr val="D4AD6F"/>
                      </a:solidFill>
                      <a:miter lim="800000"/>
                      <a:headEnd/>
                      <a:tailEnd/>
                    </a:ln>
                    <a:effectLst/>
                  </pic:spPr>
                </pic:pic>
              </a:graphicData>
            </a:graphic>
          </wp:inline>
        </w:drawing>
      </w:r>
    </w:p>
    <w:p w14:paraId="44A8C370" w14:textId="430CA700" w:rsidR="00434EEA" w:rsidRDefault="00434EEA" w:rsidP="00434EEA">
      <w:pPr>
        <w:pStyle w:val="Figurecaption"/>
        <w:rPr>
          <w:lang w:val="en-US"/>
        </w:rPr>
      </w:pPr>
      <w:bookmarkStart w:id="1" w:name="_Ref531169127"/>
      <w:r w:rsidRPr="008A63BA">
        <w:t>F</w:t>
      </w:r>
      <w:bookmarkEnd w:id="1"/>
      <w:r w:rsidR="007675A8">
        <w:t>IG. 2</w:t>
      </w:r>
      <w:r>
        <w:t xml:space="preserve">: </w:t>
      </w:r>
      <w:r w:rsidRPr="00E656CA">
        <w:rPr>
          <w:lang w:val="en-US"/>
        </w:rPr>
        <w:t>Deformation map with constant stress and strain rate contours according to [</w:t>
      </w:r>
      <w:r w:rsidR="007675A8">
        <w:rPr>
          <w:lang w:val="en-US"/>
        </w:rPr>
        <w:t>5</w:t>
      </w:r>
      <w:r w:rsidRPr="00E656CA">
        <w:rPr>
          <w:lang w:val="en-US"/>
        </w:rPr>
        <w:t>].</w:t>
      </w:r>
    </w:p>
    <w:p w14:paraId="576F964C" w14:textId="6EE5BFA4" w:rsidR="00ED1C57" w:rsidRDefault="00ED1C57" w:rsidP="00434EEA">
      <w:pPr>
        <w:pStyle w:val="Figurecaption"/>
        <w:rPr>
          <w:lang w:val="en-US"/>
        </w:rPr>
      </w:pPr>
    </w:p>
    <w:p w14:paraId="3CCCCB32" w14:textId="0B28252A" w:rsidR="00ED1C57" w:rsidRDefault="00ED1C57" w:rsidP="00ED1C57">
      <w:pPr>
        <w:pStyle w:val="BodyText"/>
        <w:ind w:firstLine="0"/>
      </w:pPr>
      <w:r w:rsidRPr="008A63BA">
        <w:t>T</w:t>
      </w:r>
      <w:r>
        <w:t xml:space="preserve">ABLE </w:t>
      </w:r>
      <w:r>
        <w:rPr>
          <w:noProof/>
        </w:rPr>
        <w:fldChar w:fldCharType="begin"/>
      </w:r>
      <w:r>
        <w:rPr>
          <w:noProof/>
        </w:rPr>
        <w:instrText xml:space="preserve"> SEQ Table \* ARABIC \s 1 </w:instrText>
      </w:r>
      <w:r>
        <w:rPr>
          <w:noProof/>
        </w:rPr>
        <w:fldChar w:fldCharType="separate"/>
      </w:r>
      <w:r w:rsidR="004529BF">
        <w:rPr>
          <w:noProof/>
        </w:rPr>
        <w:t>1</w:t>
      </w:r>
      <w:r>
        <w:rPr>
          <w:noProof/>
        </w:rPr>
        <w:fldChar w:fldCharType="end"/>
      </w:r>
      <w:r w:rsidRPr="008A63BA">
        <w:t>:</w:t>
      </w:r>
      <w:r>
        <w:t xml:space="preserve"> </w:t>
      </w:r>
      <w:r w:rsidRPr="008A63BA">
        <w:tab/>
      </w:r>
      <w:r>
        <w:t>DOMINANT THERMAL CREEP MECHANISMS.</w:t>
      </w:r>
    </w:p>
    <w:p w14:paraId="179C0805" w14:textId="77777777" w:rsidR="00ED1C57" w:rsidRDefault="00ED1C57" w:rsidP="00ED1C57">
      <w:pPr>
        <w:pStyle w:val="BodyText"/>
      </w:pPr>
    </w:p>
    <w:tbl>
      <w:tblPr>
        <w:tblStyle w:val="TableGrid"/>
        <w:tblW w:w="3918" w:type="pct"/>
        <w:jc w:val="center"/>
        <w:tblBorders>
          <w:top w:val="single" w:sz="4" w:space="0" w:color="D4AD6F"/>
          <w:left w:val="single" w:sz="4" w:space="0" w:color="D4AD6F"/>
          <w:bottom w:val="single" w:sz="4" w:space="0" w:color="D4AD6F"/>
          <w:right w:val="single" w:sz="4" w:space="0" w:color="D4AD6F"/>
          <w:insideH w:val="single" w:sz="4" w:space="0" w:color="D4AD6F"/>
          <w:insideV w:val="single" w:sz="4" w:space="0" w:color="D4AD6F"/>
        </w:tblBorders>
        <w:shd w:val="clear" w:color="auto" w:fill="FFFCEB"/>
        <w:tblLook w:val="04A0" w:firstRow="1" w:lastRow="0" w:firstColumn="1" w:lastColumn="0" w:noHBand="0" w:noVBand="1"/>
      </w:tblPr>
      <w:tblGrid>
        <w:gridCol w:w="3147"/>
        <w:gridCol w:w="1952"/>
        <w:gridCol w:w="1967"/>
      </w:tblGrid>
      <w:tr w:rsidR="00ED1C57" w:rsidRPr="000C0F91" w14:paraId="7EFC3BB6" w14:textId="77777777" w:rsidTr="0011350E">
        <w:trPr>
          <w:jc w:val="center"/>
        </w:trPr>
        <w:tc>
          <w:tcPr>
            <w:tcW w:w="3147" w:type="dxa"/>
            <w:tcBorders>
              <w:top w:val="single" w:sz="4" w:space="0" w:color="D4AD6F"/>
              <w:left w:val="single" w:sz="4" w:space="0" w:color="D4AD6F"/>
              <w:bottom w:val="single" w:sz="4" w:space="0" w:color="D4AD6F"/>
              <w:right w:val="single" w:sz="4" w:space="0" w:color="D4AD6F"/>
            </w:tcBorders>
            <w:shd w:val="clear" w:color="auto" w:fill="D4AD6F"/>
            <w:vAlign w:val="center"/>
            <w:hideMark/>
          </w:tcPr>
          <w:p w14:paraId="57EC6CE6" w14:textId="77777777" w:rsidR="00ED1C57" w:rsidRPr="000C0F91" w:rsidRDefault="00ED1C57" w:rsidP="0011350E">
            <w:pPr>
              <w:pStyle w:val="Tabletext"/>
            </w:pPr>
            <w:r w:rsidRPr="000C0F91">
              <w:t>Mechanism</w:t>
            </w:r>
          </w:p>
        </w:tc>
        <w:tc>
          <w:tcPr>
            <w:tcW w:w="1952" w:type="dxa"/>
            <w:tcBorders>
              <w:top w:val="single" w:sz="4" w:space="0" w:color="D4AD6F"/>
              <w:left w:val="single" w:sz="4" w:space="0" w:color="D4AD6F"/>
              <w:bottom w:val="single" w:sz="4" w:space="0" w:color="D4AD6F"/>
              <w:right w:val="single" w:sz="4" w:space="0" w:color="D4AD6F"/>
            </w:tcBorders>
            <w:shd w:val="clear" w:color="auto" w:fill="D4AD6F"/>
            <w:vAlign w:val="center"/>
            <w:hideMark/>
          </w:tcPr>
          <w:p w14:paraId="241A9F87" w14:textId="77777777" w:rsidR="00ED1C57" w:rsidRPr="000C0F91" w:rsidRDefault="00ED1C57" w:rsidP="0011350E">
            <w:pPr>
              <w:pStyle w:val="Tabletext"/>
              <w:jc w:val="center"/>
            </w:pPr>
            <w:r w:rsidRPr="000C0F91">
              <w:t xml:space="preserve">Stress </w:t>
            </w:r>
            <w:r w:rsidRPr="000C0F91">
              <w:br/>
              <w:t xml:space="preserve">exponent </w:t>
            </w:r>
            <w:r w:rsidRPr="0044654F">
              <w:rPr>
                <w:i/>
              </w:rPr>
              <w:t>n</w:t>
            </w:r>
          </w:p>
        </w:tc>
        <w:tc>
          <w:tcPr>
            <w:tcW w:w="1967" w:type="dxa"/>
            <w:tcBorders>
              <w:top w:val="single" w:sz="4" w:space="0" w:color="D4AD6F"/>
              <w:left w:val="single" w:sz="4" w:space="0" w:color="D4AD6F"/>
              <w:bottom w:val="single" w:sz="4" w:space="0" w:color="D4AD6F"/>
              <w:right w:val="single" w:sz="4" w:space="0" w:color="D4AD6F"/>
            </w:tcBorders>
            <w:shd w:val="clear" w:color="auto" w:fill="D4AD6F"/>
            <w:vAlign w:val="center"/>
            <w:hideMark/>
          </w:tcPr>
          <w:p w14:paraId="2C66CE11" w14:textId="77777777" w:rsidR="00ED1C57" w:rsidRPr="000C0F91" w:rsidRDefault="00ED1C57" w:rsidP="0011350E">
            <w:pPr>
              <w:pStyle w:val="Tabletext"/>
              <w:jc w:val="center"/>
            </w:pPr>
            <w:r w:rsidRPr="000C0F91">
              <w:t xml:space="preserve">Temperature </w:t>
            </w:r>
            <w:r w:rsidRPr="000C0F91">
              <w:br/>
              <w:t>dependency</w:t>
            </w:r>
          </w:p>
        </w:tc>
      </w:tr>
      <w:tr w:rsidR="00ED1C57" w:rsidRPr="000C0F91" w14:paraId="6CF06044" w14:textId="77777777" w:rsidTr="0011350E">
        <w:trPr>
          <w:jc w:val="center"/>
        </w:trPr>
        <w:tc>
          <w:tcPr>
            <w:tcW w:w="3147" w:type="dxa"/>
            <w:tcBorders>
              <w:top w:val="single" w:sz="4" w:space="0" w:color="D4AD6F"/>
              <w:left w:val="single" w:sz="4" w:space="0" w:color="D4AD6F"/>
              <w:bottom w:val="single" w:sz="4" w:space="0" w:color="D4AD6F"/>
              <w:right w:val="single" w:sz="4" w:space="0" w:color="D4AD6F"/>
            </w:tcBorders>
            <w:shd w:val="clear" w:color="auto" w:fill="FFFCEB"/>
            <w:vAlign w:val="center"/>
            <w:hideMark/>
          </w:tcPr>
          <w:p w14:paraId="2D8BB7A5" w14:textId="77777777" w:rsidR="00ED1C57" w:rsidRPr="000C0F91" w:rsidRDefault="00ED1C57" w:rsidP="0011350E">
            <w:pPr>
              <w:pStyle w:val="Tabletext"/>
            </w:pPr>
            <w:r w:rsidRPr="000C0F91">
              <w:t>Grain boundary sliding</w:t>
            </w:r>
          </w:p>
        </w:tc>
        <w:tc>
          <w:tcPr>
            <w:tcW w:w="1952" w:type="dxa"/>
            <w:tcBorders>
              <w:top w:val="single" w:sz="4" w:space="0" w:color="D4AD6F"/>
              <w:left w:val="single" w:sz="4" w:space="0" w:color="D4AD6F"/>
              <w:bottom w:val="single" w:sz="4" w:space="0" w:color="D4AD6F"/>
              <w:right w:val="single" w:sz="4" w:space="0" w:color="D4AD6F"/>
            </w:tcBorders>
            <w:shd w:val="clear" w:color="auto" w:fill="FFFCEB"/>
            <w:vAlign w:val="center"/>
            <w:hideMark/>
          </w:tcPr>
          <w:p w14:paraId="6410F89A" w14:textId="77777777" w:rsidR="00ED1C57" w:rsidRPr="000C0F91" w:rsidRDefault="00ED1C57" w:rsidP="0011350E">
            <w:pPr>
              <w:pStyle w:val="Tabletext"/>
              <w:jc w:val="center"/>
            </w:pPr>
            <w:r w:rsidRPr="000C0F91">
              <w:t>1-3</w:t>
            </w:r>
          </w:p>
        </w:tc>
        <w:tc>
          <w:tcPr>
            <w:tcW w:w="1967" w:type="dxa"/>
            <w:tcBorders>
              <w:top w:val="single" w:sz="4" w:space="0" w:color="D4AD6F"/>
              <w:left w:val="single" w:sz="4" w:space="0" w:color="D4AD6F"/>
              <w:bottom w:val="single" w:sz="4" w:space="0" w:color="D4AD6F"/>
              <w:right w:val="single" w:sz="4" w:space="0" w:color="D4AD6F"/>
            </w:tcBorders>
            <w:shd w:val="clear" w:color="auto" w:fill="FFFCEB"/>
            <w:vAlign w:val="center"/>
            <w:hideMark/>
          </w:tcPr>
          <w:p w14:paraId="7A1E069B" w14:textId="2BF06986" w:rsidR="00ED1C57" w:rsidRPr="000C0F91" w:rsidRDefault="001677D7" w:rsidP="0011350E">
            <w:pPr>
              <w:pStyle w:val="Tabletext"/>
              <w:jc w:val="center"/>
            </w:pPr>
            <w:r w:rsidRPr="000C0F91">
              <w:t>L</w:t>
            </w:r>
            <w:r w:rsidR="00ED1C57" w:rsidRPr="000C0F91">
              <w:t>ow</w:t>
            </w:r>
          </w:p>
        </w:tc>
      </w:tr>
      <w:tr w:rsidR="00ED1C57" w:rsidRPr="000C0F91" w14:paraId="7CFC8626" w14:textId="77777777" w:rsidTr="0011350E">
        <w:trPr>
          <w:jc w:val="center"/>
        </w:trPr>
        <w:tc>
          <w:tcPr>
            <w:tcW w:w="3147" w:type="dxa"/>
            <w:tcBorders>
              <w:top w:val="single" w:sz="4" w:space="0" w:color="D4AD6F"/>
              <w:left w:val="single" w:sz="4" w:space="0" w:color="D4AD6F"/>
              <w:bottom w:val="single" w:sz="4" w:space="0" w:color="D4AD6F"/>
              <w:right w:val="single" w:sz="4" w:space="0" w:color="D4AD6F"/>
            </w:tcBorders>
            <w:shd w:val="clear" w:color="auto" w:fill="FFFCEB"/>
            <w:vAlign w:val="center"/>
            <w:hideMark/>
          </w:tcPr>
          <w:p w14:paraId="5CAA0990" w14:textId="77777777" w:rsidR="00ED1C57" w:rsidRPr="000C0F91" w:rsidRDefault="00ED1C57" w:rsidP="0011350E">
            <w:pPr>
              <w:pStyle w:val="Tabletext"/>
            </w:pPr>
            <w:r w:rsidRPr="000C0F91">
              <w:t>Low temperature dislocation climb</w:t>
            </w:r>
          </w:p>
        </w:tc>
        <w:tc>
          <w:tcPr>
            <w:tcW w:w="1952" w:type="dxa"/>
            <w:tcBorders>
              <w:top w:val="single" w:sz="4" w:space="0" w:color="D4AD6F"/>
              <w:left w:val="single" w:sz="4" w:space="0" w:color="D4AD6F"/>
              <w:bottom w:val="single" w:sz="4" w:space="0" w:color="D4AD6F"/>
              <w:right w:val="single" w:sz="4" w:space="0" w:color="D4AD6F"/>
            </w:tcBorders>
            <w:shd w:val="clear" w:color="auto" w:fill="FFFCEB"/>
            <w:vAlign w:val="center"/>
            <w:hideMark/>
          </w:tcPr>
          <w:p w14:paraId="023DB2B5" w14:textId="77777777" w:rsidR="00ED1C57" w:rsidRPr="000C0F91" w:rsidRDefault="00ED1C57" w:rsidP="0011350E">
            <w:pPr>
              <w:pStyle w:val="Tabletext"/>
              <w:jc w:val="center"/>
            </w:pPr>
            <w:r w:rsidRPr="000C0F91">
              <w:t>3-7</w:t>
            </w:r>
          </w:p>
        </w:tc>
        <w:tc>
          <w:tcPr>
            <w:tcW w:w="1967" w:type="dxa"/>
            <w:tcBorders>
              <w:top w:val="single" w:sz="4" w:space="0" w:color="D4AD6F"/>
              <w:left w:val="single" w:sz="4" w:space="0" w:color="D4AD6F"/>
              <w:bottom w:val="single" w:sz="4" w:space="0" w:color="D4AD6F"/>
              <w:right w:val="single" w:sz="4" w:space="0" w:color="D4AD6F"/>
            </w:tcBorders>
            <w:shd w:val="clear" w:color="auto" w:fill="FFFCEB"/>
            <w:vAlign w:val="center"/>
            <w:hideMark/>
          </w:tcPr>
          <w:p w14:paraId="13FD719E" w14:textId="291DDBC1" w:rsidR="00ED1C57" w:rsidRPr="000C0F91" w:rsidRDefault="001677D7" w:rsidP="0011350E">
            <w:pPr>
              <w:pStyle w:val="Tabletext"/>
              <w:jc w:val="center"/>
            </w:pPr>
            <w:r w:rsidRPr="000C0F91">
              <w:t>I</w:t>
            </w:r>
            <w:r w:rsidR="00ED1C57" w:rsidRPr="000C0F91">
              <w:t>ntermediate</w:t>
            </w:r>
          </w:p>
        </w:tc>
      </w:tr>
      <w:tr w:rsidR="00ED1C57" w:rsidRPr="000C0F91" w14:paraId="2CFD2E24" w14:textId="77777777" w:rsidTr="0011350E">
        <w:trPr>
          <w:jc w:val="center"/>
        </w:trPr>
        <w:tc>
          <w:tcPr>
            <w:tcW w:w="3147" w:type="dxa"/>
            <w:tcBorders>
              <w:top w:val="single" w:sz="4" w:space="0" w:color="D4AD6F"/>
              <w:left w:val="single" w:sz="4" w:space="0" w:color="D4AD6F"/>
              <w:bottom w:val="single" w:sz="4" w:space="0" w:color="D4AD6F"/>
              <w:right w:val="single" w:sz="4" w:space="0" w:color="D4AD6F"/>
            </w:tcBorders>
            <w:shd w:val="clear" w:color="auto" w:fill="FFFCEB"/>
            <w:vAlign w:val="center"/>
            <w:hideMark/>
          </w:tcPr>
          <w:p w14:paraId="7EB36925" w14:textId="77777777" w:rsidR="00ED1C57" w:rsidRPr="000C0F91" w:rsidRDefault="00ED1C57" w:rsidP="0011350E">
            <w:pPr>
              <w:pStyle w:val="Tabletext"/>
            </w:pPr>
            <w:r w:rsidRPr="000C0F91">
              <w:t>High temperature dislocation climb</w:t>
            </w:r>
          </w:p>
        </w:tc>
        <w:tc>
          <w:tcPr>
            <w:tcW w:w="1952" w:type="dxa"/>
            <w:tcBorders>
              <w:top w:val="single" w:sz="4" w:space="0" w:color="D4AD6F"/>
              <w:left w:val="single" w:sz="4" w:space="0" w:color="D4AD6F"/>
              <w:bottom w:val="single" w:sz="4" w:space="0" w:color="D4AD6F"/>
              <w:right w:val="single" w:sz="4" w:space="0" w:color="D4AD6F"/>
            </w:tcBorders>
            <w:shd w:val="clear" w:color="auto" w:fill="FFFCEB"/>
            <w:vAlign w:val="center"/>
            <w:hideMark/>
          </w:tcPr>
          <w:p w14:paraId="43D5AEB2" w14:textId="77777777" w:rsidR="00ED1C57" w:rsidRPr="000C0F91" w:rsidRDefault="00ED1C57" w:rsidP="0011350E">
            <w:pPr>
              <w:pStyle w:val="Tabletext"/>
              <w:jc w:val="center"/>
            </w:pPr>
            <w:r w:rsidRPr="000C0F91">
              <w:t>7-9</w:t>
            </w:r>
          </w:p>
        </w:tc>
        <w:tc>
          <w:tcPr>
            <w:tcW w:w="1967" w:type="dxa"/>
            <w:tcBorders>
              <w:top w:val="single" w:sz="4" w:space="0" w:color="D4AD6F"/>
              <w:left w:val="single" w:sz="4" w:space="0" w:color="D4AD6F"/>
              <w:bottom w:val="single" w:sz="4" w:space="0" w:color="D4AD6F"/>
              <w:right w:val="single" w:sz="4" w:space="0" w:color="D4AD6F"/>
            </w:tcBorders>
            <w:shd w:val="clear" w:color="auto" w:fill="FFFCEB"/>
            <w:vAlign w:val="center"/>
            <w:hideMark/>
          </w:tcPr>
          <w:p w14:paraId="779BBF0C" w14:textId="63ADB278" w:rsidR="00ED1C57" w:rsidRPr="000C0F91" w:rsidRDefault="001677D7" w:rsidP="0011350E">
            <w:pPr>
              <w:pStyle w:val="Tabletext"/>
              <w:jc w:val="center"/>
            </w:pPr>
            <w:r w:rsidRPr="000C0F91">
              <w:t>H</w:t>
            </w:r>
            <w:r w:rsidR="00ED1C57" w:rsidRPr="000C0F91">
              <w:t>igh</w:t>
            </w:r>
          </w:p>
        </w:tc>
      </w:tr>
    </w:tbl>
    <w:p w14:paraId="13CCB140" w14:textId="0A27E6AF" w:rsidR="00081E67" w:rsidRDefault="00081E67" w:rsidP="00081E67">
      <w:pPr>
        <w:pStyle w:val="Heading3"/>
      </w:pPr>
      <w:r>
        <w:t>Supporting experimental observations</w:t>
      </w:r>
    </w:p>
    <w:p w14:paraId="2CA57DF3" w14:textId="5AF162FC" w:rsidR="00504D17" w:rsidRPr="00C0559F" w:rsidRDefault="00504D17" w:rsidP="00C0559F">
      <w:pPr>
        <w:pStyle w:val="BodyText"/>
      </w:pPr>
      <w:r w:rsidRPr="00C0559F">
        <w:t xml:space="preserve">To illustrate the dependency of thermal creep on the controlling deformation mechanisms identified in the previous section, </w:t>
      </w:r>
      <w:r w:rsidR="007675A8">
        <w:t>Fig. 3</w:t>
      </w:r>
      <w:r w:rsidRPr="00C0559F">
        <w:t xml:space="preserve"> presents the secondary creep rate results obtained by Ito et al.</w:t>
      </w:r>
      <w:r w:rsidR="007675A8">
        <w:t xml:space="preserve"> [6</w:t>
      </w:r>
      <w:r w:rsidRPr="00C0559F">
        <w:t>] for irradiated recrystallized annealed (RXA) Zry-2 and cold-worked stress-relieved annealed (CWSR) Zry-4. The transition from the dominant mechanism (grain boundary sliding) to a different one (dislocation climb) as the applied stress increases is readily apparent. Also, to be noted, are the values of the stress exponent, n, close to ~1 in the low stress region and closer to ~10 in the high stress region.</w:t>
      </w:r>
    </w:p>
    <w:p w14:paraId="274EE0DC" w14:textId="77777777" w:rsidR="006929E3" w:rsidRPr="00C0559F" w:rsidRDefault="006929E3" w:rsidP="00C0559F">
      <w:pPr>
        <w:pStyle w:val="BodyText"/>
      </w:pPr>
      <w:r w:rsidRPr="00C0559F">
        <w:t>The time (t) dependency of total creep strain (ε) at stresses below yield stress is often described by a saturated primary strain value (</w:t>
      </w:r>
      <m:oMath>
        <m:sSubSup>
          <m:sSubSupPr>
            <m:ctrlPr>
              <w:rPr>
                <w:rFonts w:ascii="Cambria Math" w:hAnsi="Cambria Math"/>
              </w:rPr>
            </m:ctrlPr>
          </m:sSubSupPr>
          <m:e>
            <m:r>
              <w:rPr>
                <w:rFonts w:ascii="Cambria Math" w:hAnsi="Cambria Math"/>
              </w:rPr>
              <m:t>ε</m:t>
            </m:r>
          </m:e>
          <m:sub>
            <m:r>
              <w:rPr>
                <w:rFonts w:ascii="Cambria Math" w:hAnsi="Cambria Math"/>
              </w:rPr>
              <m:t>P</m:t>
            </m:r>
          </m:sub>
          <m:sup>
            <m:r>
              <w:rPr>
                <w:rFonts w:ascii="Cambria Math" w:hAnsi="Cambria Math"/>
              </w:rPr>
              <m:t>s</m:t>
            </m:r>
          </m:sup>
        </m:sSubSup>
      </m:oMath>
      <w:r w:rsidRPr="00C0559F">
        <w:t xml:space="preserve">) and a steady state creep rate </w:t>
      </w:r>
      <m:oMath>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ε</m:t>
                </m:r>
              </m:e>
            </m:acc>
          </m:e>
          <m:sub>
            <m:r>
              <w:rPr>
                <w:rFonts w:ascii="Cambria Math" w:hAnsi="Cambria Math"/>
              </w:rPr>
              <m:t>s</m:t>
            </m:r>
          </m:sub>
        </m:sSub>
        <m:r>
          <m:rPr>
            <m:sty m:val="p"/>
          </m:rPr>
          <w:rPr>
            <w:rFonts w:ascii="Cambria Math" w:hAnsi="Cambria Math"/>
          </w:rPr>
          <m:t>)</m:t>
        </m:r>
      </m:oMath>
      <w:r w:rsidRPr="00C0559F">
        <w:t>:</w:t>
      </w:r>
    </w:p>
    <w:p w14:paraId="1815184A" w14:textId="77777777" w:rsidR="006929E3" w:rsidRDefault="006929E3" w:rsidP="006929E3">
      <w:pPr>
        <w:rPr>
          <w:lang w:val="en-US"/>
        </w:rPr>
      </w:pPr>
    </w:p>
    <w:p w14:paraId="7C51837B" w14:textId="7C594071" w:rsidR="006929E3" w:rsidRDefault="006929E3" w:rsidP="006929E3">
      <w:pPr>
        <w:pStyle w:val="Equation"/>
        <w:rPr>
          <w:lang w:val="en-US"/>
        </w:rPr>
      </w:pPr>
      <w:r w:rsidRPr="00C63EA0">
        <w:lastRenderedPageBreak/>
        <w:tab/>
      </w:r>
      <w:r w:rsidRPr="00E73349">
        <w:rPr>
          <w:rFonts w:ascii="Times New Roman" w:hAnsi="Times New Roman"/>
          <w:lang w:val="en-US"/>
        </w:rPr>
        <w:t>ε</w:t>
      </w:r>
      <w:r w:rsidRPr="00E73349">
        <w:rPr>
          <w:lang w:val="en-US"/>
        </w:rPr>
        <w:t xml:space="preserve"> =  </w:t>
      </w:r>
      <m:oMath>
        <m:sSubSup>
          <m:sSubSupPr>
            <m:ctrlPr>
              <w:rPr>
                <w:rFonts w:ascii="Cambria Math" w:hAnsi="Cambria Math"/>
              </w:rPr>
            </m:ctrlPr>
          </m:sSubSupPr>
          <m:e>
            <m:r>
              <m:rPr>
                <m:sty m:val="p"/>
              </m:rPr>
              <w:rPr>
                <w:rFonts w:ascii="Cambria Math" w:hAnsi="Cambria Math"/>
                <w:lang w:val="en-US"/>
              </w:rPr>
              <m:t xml:space="preserve"> </m:t>
            </m:r>
            <m:r>
              <w:rPr>
                <w:rFonts w:ascii="Cambria Math" w:hAnsi="Cambria Math"/>
                <w:lang w:val="en-US"/>
              </w:rPr>
              <m:t>ε</m:t>
            </m:r>
          </m:e>
          <m:sub>
            <m:r>
              <w:rPr>
                <w:rFonts w:ascii="Cambria Math" w:hAnsi="Cambria Math"/>
                <w:vertAlign w:val="subscript"/>
                <w:lang w:val="en-US"/>
              </w:rPr>
              <m:t>P</m:t>
            </m:r>
          </m:sub>
          <m:sup>
            <m:r>
              <w:rPr>
                <w:rFonts w:ascii="Cambria Math" w:hAnsi="Cambria Math"/>
                <w:lang w:val="en-US"/>
              </w:rPr>
              <m:t>s</m:t>
            </m:r>
          </m:sup>
        </m:sSubSup>
      </m:oMath>
      <w:r w:rsidRPr="00E73349">
        <w:rPr>
          <w:lang w:val="en-US"/>
        </w:rPr>
        <w:t xml:space="preserve"> + </w:t>
      </w:r>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ε</m:t>
                </m:r>
              </m:e>
            </m:acc>
          </m:e>
          <m:sub>
            <m:r>
              <w:rPr>
                <w:rFonts w:ascii="Cambria Math" w:hAnsi="Cambria Math"/>
                <w:lang w:val="en-US"/>
              </w:rPr>
              <m:t>s</m:t>
            </m:r>
          </m:sub>
        </m:sSub>
      </m:oMath>
      <w:r w:rsidRPr="00E73349">
        <w:rPr>
          <w:lang w:val="en-US"/>
        </w:rPr>
        <w:t xml:space="preserve"> t</w:t>
      </w:r>
    </w:p>
    <w:p w14:paraId="070A28BD" w14:textId="282FB9D6" w:rsidR="001D5140" w:rsidRPr="001D5140" w:rsidRDefault="001D5140" w:rsidP="001D5140">
      <w:pPr>
        <w:rPr>
          <w:sz w:val="20"/>
          <w:lang w:val="en-US" w:eastAsia="sv-SE"/>
        </w:rPr>
      </w:pPr>
      <w:r w:rsidRPr="001D5140">
        <w:rPr>
          <w:sz w:val="20"/>
          <w:lang w:val="en-US" w:eastAsia="sv-SE"/>
        </w:rPr>
        <w:t>where t stands for time.</w:t>
      </w:r>
    </w:p>
    <w:p w14:paraId="5E2DF327" w14:textId="46A7D963" w:rsidR="006929E3" w:rsidRPr="00C0559F" w:rsidRDefault="006929E3" w:rsidP="00C0559F">
      <w:pPr>
        <w:pStyle w:val="BodyText"/>
      </w:pPr>
      <w:r w:rsidRPr="00C0559F">
        <w:t>The temperature dependency of the secondary creep deformation is usually expressed by an Arrhenius activation temperature (Qs/R) and the stress dependency by a stress exponent (n) in the relevant creep kinetics domain.</w:t>
      </w:r>
    </w:p>
    <w:p w14:paraId="5EF004F3" w14:textId="77777777" w:rsidR="006929E3" w:rsidRPr="00C0559F" w:rsidRDefault="006929E3" w:rsidP="00C0559F">
      <w:pPr>
        <w:pStyle w:val="BodyText"/>
      </w:pPr>
      <w:r w:rsidRPr="00C0559F">
        <w:t>In the JNES formulation, the secondary creep rate is expressed as the sum of the contributions in the low and high stress regions and takes the form:</w:t>
      </w:r>
    </w:p>
    <w:p w14:paraId="38FAD5F0" w14:textId="77777777" w:rsidR="006929E3" w:rsidRDefault="006929E3" w:rsidP="006929E3">
      <w:pPr>
        <w:rPr>
          <w:lang w:val="en-US"/>
        </w:rPr>
      </w:pPr>
    </w:p>
    <w:p w14:paraId="09EE351A" w14:textId="77777777" w:rsidR="006929E3" w:rsidRPr="00005891" w:rsidRDefault="006929E3" w:rsidP="006929E3">
      <w:pPr>
        <w:pStyle w:val="Equation"/>
        <w:rPr>
          <w:lang w:val="en-US"/>
        </w:rPr>
      </w:pPr>
      <w:r w:rsidRPr="00C63EA0">
        <w:tab/>
      </w:r>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ε</m:t>
                </m:r>
              </m:e>
            </m:acc>
          </m:e>
          <m:sub>
            <m:r>
              <w:rPr>
                <w:rFonts w:ascii="Cambria Math" w:hAnsi="Cambria Math"/>
                <w:lang w:val="en-US"/>
              </w:rPr>
              <m:t>s</m:t>
            </m:r>
          </m:sub>
        </m:sSub>
      </m:oMath>
      <w:r w:rsidRPr="00005891">
        <w:rPr>
          <w:lang w:val="en-US"/>
        </w:rPr>
        <w:t xml:space="preserve"> = </w:t>
      </w:r>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ε</m:t>
                </m:r>
              </m:e>
            </m:acc>
          </m:e>
          <m:sub>
            <m:r>
              <w:rPr>
                <w:rFonts w:ascii="Cambria Math" w:hAnsi="Cambria Math"/>
                <w:lang w:val="en-US"/>
              </w:rPr>
              <m:t>sL</m:t>
            </m:r>
          </m:sub>
        </m:sSub>
      </m:oMath>
      <w:r w:rsidRPr="00005891">
        <w:rPr>
          <w:lang w:val="en-US"/>
        </w:rPr>
        <w:t xml:space="preserve"> + </w:t>
      </w:r>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ε</m:t>
                </m:r>
              </m:e>
            </m:acc>
          </m:e>
          <m:sub>
            <m:r>
              <w:rPr>
                <w:rFonts w:ascii="Cambria Math" w:hAnsi="Cambria Math"/>
                <w:lang w:val="en-US"/>
              </w:rPr>
              <m:t>sH</m:t>
            </m:r>
          </m:sub>
        </m:sSub>
      </m:oMath>
    </w:p>
    <w:p w14:paraId="1277E2EA" w14:textId="77777777" w:rsidR="006929E3" w:rsidRPr="00C0559F" w:rsidRDefault="006929E3" w:rsidP="006929E3">
      <w:pPr>
        <w:pStyle w:val="text"/>
        <w:rPr>
          <w:rFonts w:ascii="Times New Roman" w:hAnsi="Times New Roman"/>
          <w:lang w:val="en-US"/>
        </w:rPr>
      </w:pPr>
      <w:r w:rsidRPr="00C0559F">
        <w:rPr>
          <w:rFonts w:ascii="Times New Roman" w:hAnsi="Times New Roman"/>
          <w:lang w:val="en-US"/>
        </w:rPr>
        <w:t>with</w:t>
      </w:r>
    </w:p>
    <w:p w14:paraId="1C48F4E4" w14:textId="77777777" w:rsidR="006929E3" w:rsidRPr="00005891" w:rsidRDefault="006929E3" w:rsidP="006929E3">
      <w:pPr>
        <w:pStyle w:val="text"/>
      </w:pPr>
      <w:r w:rsidRPr="00C63EA0">
        <w:tab/>
      </w:r>
      <w:r>
        <w:tab/>
      </w:r>
      <w:r>
        <w:tab/>
      </w:r>
      <w:r>
        <w:tab/>
      </w:r>
      <w:r>
        <w:tab/>
      </w:r>
      <m:oMath>
        <m:sSub>
          <m:sSubPr>
            <m:ctrlPr>
              <w:rPr>
                <w:rStyle w:val="EquationChar"/>
                <w:rFonts w:ascii="Cambria Math" w:hAnsi="Cambria Math"/>
              </w:rPr>
            </m:ctrlPr>
          </m:sSubPr>
          <m:e>
            <m:acc>
              <m:accPr>
                <m:chr m:val="̇"/>
                <m:ctrlPr>
                  <w:rPr>
                    <w:rStyle w:val="EquationChar"/>
                    <w:rFonts w:ascii="Cambria Math" w:hAnsi="Cambria Math"/>
                  </w:rPr>
                </m:ctrlPr>
              </m:accPr>
              <m:e>
                <m:r>
                  <w:rPr>
                    <w:rStyle w:val="EquationChar"/>
                    <w:rFonts w:ascii="Cambria Math" w:hAnsi="Cambria Math"/>
                  </w:rPr>
                  <m:t>ε</m:t>
                </m:r>
              </m:e>
            </m:acc>
          </m:e>
          <m:sub>
            <m:r>
              <w:rPr>
                <w:rStyle w:val="EquationChar"/>
                <w:rFonts w:ascii="Cambria Math" w:hAnsi="Cambria Math"/>
              </w:rPr>
              <m:t>sL</m:t>
            </m:r>
          </m:sub>
        </m:sSub>
        <m:r>
          <m:rPr>
            <m:sty m:val="p"/>
          </m:rPr>
          <w:rPr>
            <w:rStyle w:val="EquationChar"/>
            <w:rFonts w:ascii="Cambria Math" w:hAnsi="Cambria Math"/>
          </w:rPr>
          <m:t>=</m:t>
        </m:r>
        <m:sSub>
          <m:sSubPr>
            <m:ctrlPr>
              <w:rPr>
                <w:rStyle w:val="EquationChar"/>
                <w:rFonts w:ascii="Cambria Math" w:hAnsi="Cambria Math"/>
              </w:rPr>
            </m:ctrlPr>
          </m:sSubPr>
          <m:e>
            <m:r>
              <w:rPr>
                <w:rStyle w:val="EquationChar"/>
                <w:rFonts w:ascii="Cambria Math" w:hAnsi="Cambria Math"/>
              </w:rPr>
              <m:t>A</m:t>
            </m:r>
          </m:e>
          <m:sub>
            <m:r>
              <w:rPr>
                <w:rStyle w:val="EquationChar"/>
                <w:rFonts w:ascii="Cambria Math" w:hAnsi="Cambria Math"/>
              </w:rPr>
              <m:t>sL</m:t>
            </m:r>
          </m:sub>
        </m:sSub>
        <m:d>
          <m:dPr>
            <m:ctrlPr>
              <w:rPr>
                <w:rStyle w:val="EquationChar"/>
                <w:rFonts w:ascii="Cambria Math" w:hAnsi="Cambria Math"/>
              </w:rPr>
            </m:ctrlPr>
          </m:dPr>
          <m:e>
            <m:f>
              <m:fPr>
                <m:ctrlPr>
                  <w:rPr>
                    <w:rStyle w:val="EquationChar"/>
                    <w:rFonts w:ascii="Cambria Math" w:hAnsi="Cambria Math"/>
                  </w:rPr>
                </m:ctrlPr>
              </m:fPr>
              <m:num>
                <m:r>
                  <w:rPr>
                    <w:rStyle w:val="EquationChar"/>
                    <w:rFonts w:ascii="Cambria Math" w:hAnsi="Cambria Math"/>
                  </w:rPr>
                  <m:t>E</m:t>
                </m:r>
              </m:num>
              <m:den>
                <m:r>
                  <w:rPr>
                    <w:rStyle w:val="EquationChar"/>
                    <w:rFonts w:ascii="Cambria Math" w:hAnsi="Cambria Math"/>
                  </w:rPr>
                  <m:t>T</m:t>
                </m:r>
              </m:den>
            </m:f>
          </m:e>
        </m:d>
        <m:sSup>
          <m:sSupPr>
            <m:ctrlPr>
              <w:rPr>
                <w:rStyle w:val="EquationChar"/>
                <w:rFonts w:ascii="Cambria Math" w:hAnsi="Cambria Math"/>
              </w:rPr>
            </m:ctrlPr>
          </m:sSupPr>
          <m:e>
            <m:d>
              <m:dPr>
                <m:ctrlPr>
                  <w:rPr>
                    <w:rStyle w:val="EquationChar"/>
                    <w:rFonts w:ascii="Cambria Math" w:hAnsi="Cambria Math"/>
                  </w:rPr>
                </m:ctrlPr>
              </m:dPr>
              <m:e>
                <m:f>
                  <m:fPr>
                    <m:ctrlPr>
                      <w:rPr>
                        <w:rStyle w:val="EquationChar"/>
                        <w:rFonts w:ascii="Cambria Math" w:hAnsi="Cambria Math"/>
                      </w:rPr>
                    </m:ctrlPr>
                  </m:fPr>
                  <m:num>
                    <m:r>
                      <w:rPr>
                        <w:rStyle w:val="EquationChar"/>
                        <w:rFonts w:ascii="Cambria Math" w:hAnsi="Cambria Math"/>
                      </w:rPr>
                      <m:t>σ</m:t>
                    </m:r>
                  </m:num>
                  <m:den>
                    <m:r>
                      <w:rPr>
                        <w:rStyle w:val="EquationChar"/>
                        <w:rFonts w:ascii="Cambria Math" w:hAnsi="Cambria Math"/>
                      </w:rPr>
                      <m:t>E</m:t>
                    </m:r>
                  </m:den>
                </m:f>
              </m:e>
            </m:d>
          </m:e>
          <m:sup>
            <m:sSub>
              <m:sSubPr>
                <m:ctrlPr>
                  <w:rPr>
                    <w:rStyle w:val="EquationChar"/>
                    <w:rFonts w:ascii="Cambria Math" w:hAnsi="Cambria Math"/>
                  </w:rPr>
                </m:ctrlPr>
              </m:sSubPr>
              <m:e>
                <m:r>
                  <w:rPr>
                    <w:rStyle w:val="EquationChar"/>
                    <w:rFonts w:ascii="Cambria Math" w:hAnsi="Cambria Math"/>
                  </w:rPr>
                  <m:t>n</m:t>
                </m:r>
              </m:e>
              <m:sub>
                <m:r>
                  <w:rPr>
                    <w:rStyle w:val="EquationChar"/>
                    <w:rFonts w:ascii="Cambria Math" w:hAnsi="Cambria Math"/>
                  </w:rPr>
                  <m:t>sL</m:t>
                </m:r>
              </m:sub>
            </m:sSub>
          </m:sup>
        </m:sSup>
        <m:func>
          <m:funcPr>
            <m:ctrlPr>
              <w:rPr>
                <w:rStyle w:val="EquationChar"/>
                <w:rFonts w:ascii="Cambria Math" w:hAnsi="Cambria Math"/>
              </w:rPr>
            </m:ctrlPr>
          </m:funcPr>
          <m:fName>
            <m:r>
              <w:rPr>
                <w:rStyle w:val="EquationChar"/>
                <w:rFonts w:ascii="Cambria Math" w:hAnsi="Cambria Math"/>
              </w:rPr>
              <m:t>exp</m:t>
            </m:r>
          </m:fName>
          <m:e>
            <m:d>
              <m:dPr>
                <m:ctrlPr>
                  <w:rPr>
                    <w:rStyle w:val="EquationChar"/>
                    <w:rFonts w:ascii="Cambria Math" w:hAnsi="Cambria Math"/>
                  </w:rPr>
                </m:ctrlPr>
              </m:dPr>
              <m:e>
                <m:r>
                  <m:rPr>
                    <m:sty m:val="p"/>
                  </m:rPr>
                  <w:rPr>
                    <w:rStyle w:val="EquationChar"/>
                    <w:rFonts w:ascii="Cambria Math" w:hAnsi="Cambria Math"/>
                  </w:rPr>
                  <m:t>-</m:t>
                </m:r>
                <m:f>
                  <m:fPr>
                    <m:ctrlPr>
                      <w:rPr>
                        <w:rStyle w:val="EquationChar"/>
                        <w:rFonts w:ascii="Cambria Math" w:hAnsi="Cambria Math"/>
                      </w:rPr>
                    </m:ctrlPr>
                  </m:fPr>
                  <m:num>
                    <m:sSub>
                      <m:sSubPr>
                        <m:ctrlPr>
                          <w:rPr>
                            <w:rStyle w:val="EquationChar"/>
                            <w:rFonts w:ascii="Cambria Math" w:hAnsi="Cambria Math"/>
                          </w:rPr>
                        </m:ctrlPr>
                      </m:sSubPr>
                      <m:e>
                        <m:r>
                          <w:rPr>
                            <w:rStyle w:val="EquationChar"/>
                            <w:rFonts w:ascii="Cambria Math" w:hAnsi="Cambria Math"/>
                          </w:rPr>
                          <m:t>Q</m:t>
                        </m:r>
                      </m:e>
                      <m:sub>
                        <m:r>
                          <w:rPr>
                            <w:rStyle w:val="EquationChar"/>
                            <w:rFonts w:ascii="Cambria Math" w:hAnsi="Cambria Math"/>
                          </w:rPr>
                          <m:t>sL</m:t>
                        </m:r>
                      </m:sub>
                    </m:sSub>
                  </m:num>
                  <m:den>
                    <m:r>
                      <w:rPr>
                        <w:rStyle w:val="EquationChar"/>
                        <w:rFonts w:ascii="Cambria Math" w:hAnsi="Cambria Math"/>
                      </w:rPr>
                      <m:t>RT</m:t>
                    </m:r>
                  </m:den>
                </m:f>
              </m:e>
            </m:d>
          </m:e>
        </m:func>
      </m:oMath>
    </w:p>
    <w:p w14:paraId="35E7860D" w14:textId="77777777" w:rsidR="006929E3" w:rsidRPr="00005891" w:rsidRDefault="006929E3" w:rsidP="006929E3">
      <w:pPr>
        <w:pStyle w:val="Equation"/>
        <w:rPr>
          <w:lang w:val="en-US"/>
        </w:rPr>
      </w:pPr>
      <w:r w:rsidRPr="00C63EA0">
        <w:tab/>
      </w:r>
      <m:oMath>
        <m:sSub>
          <m:sSubPr>
            <m:ctrlPr>
              <w:rPr>
                <w:rFonts w:ascii="Cambria Math" w:hAnsi="Cambria Math"/>
              </w:rPr>
            </m:ctrlPr>
          </m:sSubPr>
          <m:e>
            <m:acc>
              <m:accPr>
                <m:chr m:val="̇"/>
                <m:ctrlPr>
                  <w:rPr>
                    <w:rFonts w:ascii="Cambria Math" w:hAnsi="Cambria Math"/>
                  </w:rPr>
                </m:ctrlPr>
              </m:accPr>
              <m:e>
                <m:r>
                  <w:rPr>
                    <w:rFonts w:ascii="Cambria Math" w:hAnsi="Cambria Math"/>
                  </w:rPr>
                  <m:t>ε</m:t>
                </m:r>
              </m:e>
            </m:acc>
          </m:e>
          <m:sub>
            <m:r>
              <w:rPr>
                <w:rFonts w:ascii="Cambria Math" w:hAnsi="Cambria Math"/>
              </w:rPr>
              <m:t>sH</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sH</m:t>
            </m:r>
          </m:sub>
        </m:sSub>
        <m:d>
          <m:dPr>
            <m:ctrlPr>
              <w:rPr>
                <w:rFonts w:ascii="Cambria Math" w:hAnsi="Cambria Math"/>
              </w:rPr>
            </m:ctrlPr>
          </m:dPr>
          <m:e>
            <m:f>
              <m:fPr>
                <m:ctrlPr>
                  <w:rPr>
                    <w:rFonts w:ascii="Cambria Math" w:hAnsi="Cambria Math"/>
                  </w:rPr>
                </m:ctrlPr>
              </m:fPr>
              <m:num>
                <m:r>
                  <w:rPr>
                    <w:rFonts w:ascii="Cambria Math" w:hAnsi="Cambria Math"/>
                  </w:rPr>
                  <m:t>E</m:t>
                </m:r>
              </m:num>
              <m:den>
                <m:r>
                  <w:rPr>
                    <w:rFonts w:ascii="Cambria Math" w:hAnsi="Cambria Math"/>
                  </w:rPr>
                  <m:t>T</m:t>
                </m:r>
              </m:den>
            </m:f>
          </m:e>
        </m:d>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σ</m:t>
                    </m:r>
                  </m:num>
                  <m:den>
                    <m:r>
                      <w:rPr>
                        <w:rFonts w:ascii="Cambria Math" w:hAnsi="Cambria Math"/>
                      </w:rPr>
                      <m:t>E</m:t>
                    </m:r>
                  </m:den>
                </m:f>
              </m:e>
            </m:d>
          </m:e>
          <m:sup>
            <m:sSub>
              <m:sSubPr>
                <m:ctrlPr>
                  <w:rPr>
                    <w:rFonts w:ascii="Cambria Math" w:hAnsi="Cambria Math"/>
                  </w:rPr>
                </m:ctrlPr>
              </m:sSubPr>
              <m:e>
                <m:r>
                  <w:rPr>
                    <w:rFonts w:ascii="Cambria Math" w:hAnsi="Cambria Math"/>
                  </w:rPr>
                  <m:t>n</m:t>
                </m:r>
              </m:e>
              <m:sub>
                <m:r>
                  <w:rPr>
                    <w:rFonts w:ascii="Cambria Math" w:hAnsi="Cambria Math"/>
                  </w:rPr>
                  <m:t>sH</m:t>
                </m:r>
              </m:sub>
            </m:sSub>
          </m:sup>
        </m:sSup>
        <m:func>
          <m:funcPr>
            <m:ctrlPr>
              <w:rPr>
                <w:rFonts w:ascii="Cambria Math" w:hAnsi="Cambria Math"/>
              </w:rPr>
            </m:ctrlPr>
          </m:funcPr>
          <m:fName>
            <m:r>
              <w:rPr>
                <w:rFonts w:ascii="Cambria Math" w:hAnsi="Cambria Math"/>
              </w:rPr>
              <m:t>exp</m:t>
            </m:r>
          </m:fName>
          <m:e>
            <m:d>
              <m:dPr>
                <m:ctrlPr>
                  <w:rPr>
                    <w:rFonts w:ascii="Cambria Math" w:hAnsi="Cambria Math"/>
                  </w:rPr>
                </m:ctrlPr>
              </m:dPr>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sH</m:t>
                        </m:r>
                      </m:sub>
                    </m:sSub>
                  </m:num>
                  <m:den>
                    <m:r>
                      <w:rPr>
                        <w:rFonts w:ascii="Cambria Math" w:hAnsi="Cambria Math"/>
                      </w:rPr>
                      <m:t>RT</m:t>
                    </m:r>
                  </m:den>
                </m:f>
              </m:e>
            </m:d>
          </m:e>
        </m:func>
      </m:oMath>
    </w:p>
    <w:p w14:paraId="13E4C7AB" w14:textId="2522A35B" w:rsidR="006929E3" w:rsidRDefault="006929E3" w:rsidP="00504D17">
      <w:pPr>
        <w:rPr>
          <w:lang w:val="en-US"/>
        </w:rPr>
      </w:pPr>
      <w:r w:rsidRPr="00005891">
        <w:rPr>
          <w:lang w:val="en-US"/>
        </w:rPr>
        <w:t xml:space="preserve">where </w:t>
      </w:r>
      <w:r w:rsidRPr="00005891">
        <w:rPr>
          <w:i/>
          <w:iCs/>
          <w:lang w:val="en-US"/>
        </w:rPr>
        <w:t>A</w:t>
      </w:r>
      <w:r w:rsidRPr="00005891">
        <w:rPr>
          <w:i/>
          <w:iCs/>
          <w:vertAlign w:val="subscript"/>
          <w:lang w:val="en-US"/>
        </w:rPr>
        <w:t>sL</w:t>
      </w:r>
      <w:r w:rsidRPr="00005891">
        <w:rPr>
          <w:lang w:val="en-US"/>
        </w:rPr>
        <w:t xml:space="preserve"> and </w:t>
      </w:r>
      <w:r w:rsidRPr="00005891">
        <w:rPr>
          <w:i/>
          <w:iCs/>
          <w:lang w:val="en-US"/>
        </w:rPr>
        <w:t>A</w:t>
      </w:r>
      <w:r w:rsidRPr="00005891">
        <w:rPr>
          <w:i/>
          <w:iCs/>
          <w:vertAlign w:val="subscript"/>
          <w:lang w:val="en-US"/>
        </w:rPr>
        <w:t>sH</w:t>
      </w:r>
      <w:r w:rsidRPr="00005891">
        <w:rPr>
          <w:lang w:val="en-US"/>
        </w:rPr>
        <w:t xml:space="preserve"> are constants.</w:t>
      </w:r>
    </w:p>
    <w:p w14:paraId="3CE1AD01" w14:textId="3A469C70" w:rsidR="00D86E49" w:rsidRDefault="00D86E49" w:rsidP="00504D17">
      <w:pPr>
        <w:rPr>
          <w:lang w:val="en-US"/>
        </w:rPr>
      </w:pPr>
    </w:p>
    <w:p w14:paraId="41EC5186" w14:textId="5A3F4F88" w:rsidR="00D86E49" w:rsidRPr="006C62E7" w:rsidRDefault="00D86E49" w:rsidP="00504D17">
      <w:pPr>
        <w:rPr>
          <w:lang w:val="en-US"/>
        </w:rPr>
      </w:pPr>
      <w:r>
        <w:rPr>
          <w:noProof/>
        </w:rPr>
        <w:drawing>
          <wp:inline distT="0" distB="0" distL="0" distR="0" wp14:anchorId="4B5A62AD" wp14:editId="62943440">
            <wp:extent cx="5732145" cy="3918585"/>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3918585"/>
                    </a:xfrm>
                    <a:prstGeom prst="rect">
                      <a:avLst/>
                    </a:prstGeom>
                    <a:noFill/>
                    <a:ln>
                      <a:noFill/>
                    </a:ln>
                  </pic:spPr>
                </pic:pic>
              </a:graphicData>
            </a:graphic>
          </wp:inline>
        </w:drawing>
      </w:r>
    </w:p>
    <w:p w14:paraId="4ED00834" w14:textId="4F6707AF" w:rsidR="00504D17" w:rsidRDefault="00504D17" w:rsidP="00504D17">
      <w:pPr>
        <w:pStyle w:val="Figurecaption"/>
      </w:pPr>
      <w:bookmarkStart w:id="2" w:name="_Ref531204561"/>
      <w:r w:rsidRPr="008A63BA">
        <w:t>F</w:t>
      </w:r>
      <w:r>
        <w:t>IG.</w:t>
      </w:r>
      <w:r w:rsidRPr="008A63BA">
        <w:t xml:space="preserve"> </w:t>
      </w:r>
      <w:bookmarkEnd w:id="2"/>
      <w:r w:rsidR="007675A8">
        <w:t>3</w:t>
      </w:r>
      <w:r w:rsidRPr="008A63BA">
        <w:t>:</w:t>
      </w:r>
      <w:r>
        <w:t xml:space="preserve"> </w:t>
      </w:r>
      <w:r w:rsidRPr="00E73349">
        <w:t xml:space="preserve">Secondary creep strain rate [1/h] </w:t>
      </w:r>
      <w:r>
        <w:t xml:space="preserve">of RXA Zry-2 (left) and CWRSR Zry-4 </w:t>
      </w:r>
      <w:r w:rsidRPr="00E73349">
        <w:t xml:space="preserve">from </w:t>
      </w:r>
      <w:r>
        <w:t>[</w:t>
      </w:r>
      <w:r w:rsidR="00397E67">
        <w:t>6</w:t>
      </w:r>
      <w:r>
        <w:t>].</w:t>
      </w:r>
    </w:p>
    <w:p w14:paraId="652B4B88" w14:textId="77777777" w:rsidR="00504D17" w:rsidRDefault="00504D17" w:rsidP="00504D17">
      <w:pPr>
        <w:pStyle w:val="Figurecaption"/>
      </w:pPr>
    </w:p>
    <w:p w14:paraId="17A12087" w14:textId="192F615D" w:rsidR="00504D17" w:rsidRPr="00C0559F" w:rsidRDefault="00504D17" w:rsidP="00C0559F">
      <w:pPr>
        <w:pStyle w:val="BodyText"/>
        <w:rPr>
          <w:lang w:val="en-US"/>
        </w:rPr>
      </w:pPr>
      <w:r w:rsidRPr="00C0559F">
        <w:rPr>
          <w:lang w:val="en-US"/>
        </w:rPr>
        <w:t>From regression analyses of the experimental results, the following parameters were obtained [</w:t>
      </w:r>
      <w:r w:rsidR="00397E67">
        <w:rPr>
          <w:lang w:val="en-US"/>
        </w:rPr>
        <w:t>7</w:t>
      </w:r>
      <w:r w:rsidRPr="00C0559F">
        <w:rPr>
          <w:lang w:val="en-US"/>
        </w:rPr>
        <w:t>]:</w:t>
      </w:r>
    </w:p>
    <w:p w14:paraId="7889937F" w14:textId="77777777" w:rsidR="00504D17" w:rsidRPr="00005891" w:rsidRDefault="00504D17" w:rsidP="00504D17"/>
    <w:p w14:paraId="1B69A84C" w14:textId="77777777" w:rsidR="00504D17" w:rsidRPr="00005891" w:rsidRDefault="00504D17" w:rsidP="00504D17">
      <w:pPr>
        <w:rPr>
          <w:u w:val="single"/>
          <w:lang w:val="en-US"/>
        </w:rPr>
      </w:pPr>
      <w:r w:rsidRPr="00005891">
        <w:rPr>
          <w:u w:val="single"/>
          <w:lang w:val="en-US"/>
        </w:rPr>
        <w:t>Irradiated Zry-4 cladding</w:t>
      </w:r>
    </w:p>
    <w:p w14:paraId="3F6A2980" w14:textId="77777777" w:rsidR="00504D17" w:rsidRPr="00005891" w:rsidRDefault="00504D17" w:rsidP="00504D17">
      <w:r w:rsidRPr="00005891">
        <w:rPr>
          <w:i/>
        </w:rPr>
        <w:t>A</w:t>
      </w:r>
      <w:r w:rsidRPr="00D83907">
        <w:rPr>
          <w:i/>
          <w:vertAlign w:val="subscript"/>
        </w:rPr>
        <w:t>sL</w:t>
      </w:r>
      <w:r w:rsidRPr="00D83907">
        <w:t xml:space="preserve"> </w:t>
      </w:r>
      <w:r w:rsidRPr="00005891">
        <w:t>= 4.04×10</w:t>
      </w:r>
      <w:r w:rsidRPr="00D83907">
        <w:rPr>
          <w:vertAlign w:val="superscript"/>
        </w:rPr>
        <w:t>1</w:t>
      </w:r>
      <w:r w:rsidRPr="00005891">
        <w:t xml:space="preserve"> K/MPa/h; </w:t>
      </w:r>
      <w:r w:rsidRPr="00005891">
        <w:rPr>
          <w:i/>
        </w:rPr>
        <w:t>n</w:t>
      </w:r>
      <w:r w:rsidRPr="00D83907">
        <w:rPr>
          <w:i/>
          <w:vertAlign w:val="subscript"/>
        </w:rPr>
        <w:t>sL</w:t>
      </w:r>
      <w:r w:rsidRPr="00005891">
        <w:t xml:space="preserve"> = 0.48; </w:t>
      </w:r>
      <w:r w:rsidRPr="00005891">
        <w:rPr>
          <w:i/>
        </w:rPr>
        <w:t>Q</w:t>
      </w:r>
      <w:r w:rsidRPr="00D83907">
        <w:rPr>
          <w:i/>
          <w:vertAlign w:val="subscript"/>
        </w:rPr>
        <w:t>sL</w:t>
      </w:r>
      <w:r w:rsidRPr="00D83907">
        <w:t xml:space="preserve"> </w:t>
      </w:r>
      <w:r w:rsidRPr="00005891">
        <w:t>= 109.9×10</w:t>
      </w:r>
      <w:r w:rsidRPr="00D83907">
        <w:rPr>
          <w:vertAlign w:val="superscript"/>
        </w:rPr>
        <w:t>3</w:t>
      </w:r>
      <w:r w:rsidRPr="00005891">
        <w:t xml:space="preserve"> J/mol</w:t>
      </w:r>
    </w:p>
    <w:p w14:paraId="66C6EEB0" w14:textId="77777777" w:rsidR="00504D17" w:rsidRPr="00005891" w:rsidRDefault="00504D17" w:rsidP="00504D17">
      <w:r w:rsidRPr="00005891">
        <w:rPr>
          <w:i/>
        </w:rPr>
        <w:t>A</w:t>
      </w:r>
      <w:r w:rsidRPr="00D83907">
        <w:rPr>
          <w:i/>
          <w:vertAlign w:val="subscript"/>
        </w:rPr>
        <w:t>sH</w:t>
      </w:r>
      <w:r w:rsidRPr="00D83907">
        <w:t xml:space="preserve"> </w:t>
      </w:r>
      <w:r w:rsidRPr="00005891">
        <w:t>= 2.50×10</w:t>
      </w:r>
      <w:r w:rsidRPr="00D83907">
        <w:rPr>
          <w:vertAlign w:val="superscript"/>
        </w:rPr>
        <w:t>35</w:t>
      </w:r>
      <w:r w:rsidRPr="00005891">
        <w:t xml:space="preserve"> K/MPa/h; </w:t>
      </w:r>
      <w:r w:rsidRPr="00005891">
        <w:rPr>
          <w:i/>
        </w:rPr>
        <w:t>n</w:t>
      </w:r>
      <w:r w:rsidRPr="00D83907">
        <w:rPr>
          <w:i/>
          <w:vertAlign w:val="subscript"/>
        </w:rPr>
        <w:t>sH</w:t>
      </w:r>
      <w:r w:rsidRPr="00005891">
        <w:t xml:space="preserve"> = 7.39; </w:t>
      </w:r>
      <w:r w:rsidRPr="00005891">
        <w:rPr>
          <w:i/>
        </w:rPr>
        <w:t>Q</w:t>
      </w:r>
      <w:r w:rsidRPr="00D83907">
        <w:rPr>
          <w:i/>
          <w:vertAlign w:val="subscript"/>
        </w:rPr>
        <w:t>sH</w:t>
      </w:r>
      <w:r w:rsidRPr="00005891">
        <w:t xml:space="preserve"> = 297.7×10</w:t>
      </w:r>
      <w:r w:rsidRPr="00D83907">
        <w:rPr>
          <w:vertAlign w:val="superscript"/>
        </w:rPr>
        <w:t>3</w:t>
      </w:r>
      <w:r w:rsidRPr="00005891">
        <w:t xml:space="preserve"> J/mol</w:t>
      </w:r>
    </w:p>
    <w:p w14:paraId="78BFB1F2" w14:textId="50EC7987" w:rsidR="00504D17" w:rsidRDefault="00504D17" w:rsidP="00504D17">
      <w:pPr>
        <w:rPr>
          <w:lang w:val="en-US"/>
        </w:rPr>
      </w:pPr>
      <w:r w:rsidRPr="00005891">
        <w:rPr>
          <w:i/>
          <w:lang w:val="en-US"/>
        </w:rPr>
        <w:t>A</w:t>
      </w:r>
      <w:r w:rsidRPr="00D83907">
        <w:rPr>
          <w:i/>
          <w:vertAlign w:val="subscript"/>
          <w:lang w:val="en-US"/>
        </w:rPr>
        <w:t>P</w:t>
      </w:r>
      <w:r w:rsidRPr="00D83907">
        <w:rPr>
          <w:lang w:val="en-US"/>
        </w:rPr>
        <w:t xml:space="preserve"> </w:t>
      </w:r>
      <w:r w:rsidRPr="00005891">
        <w:rPr>
          <w:lang w:val="en-US"/>
        </w:rPr>
        <w:t>= 6.58×10</w:t>
      </w:r>
      <w:r w:rsidRPr="00D83907">
        <w:rPr>
          <w:vertAlign w:val="superscript"/>
          <w:lang w:val="en-US"/>
        </w:rPr>
        <w:t>4</w:t>
      </w:r>
      <w:r w:rsidRPr="00005891">
        <w:rPr>
          <w:lang w:val="en-US"/>
        </w:rPr>
        <w:t xml:space="preserve"> K/MPa; </w:t>
      </w:r>
      <w:r w:rsidRPr="00D83907">
        <w:rPr>
          <w:i/>
          <w:lang w:val="en-US"/>
        </w:rPr>
        <w:t>n</w:t>
      </w:r>
      <w:r w:rsidRPr="00D83907">
        <w:rPr>
          <w:i/>
          <w:vertAlign w:val="subscript"/>
          <w:lang w:val="en-US"/>
        </w:rPr>
        <w:t>P</w:t>
      </w:r>
      <w:r w:rsidRPr="00D83907">
        <w:rPr>
          <w:lang w:val="en-US"/>
        </w:rPr>
        <w:t xml:space="preserve"> </w:t>
      </w:r>
      <w:r w:rsidRPr="00005891">
        <w:rPr>
          <w:lang w:val="en-US"/>
        </w:rPr>
        <w:t xml:space="preserve">= 1.29; </w:t>
      </w:r>
      <w:r w:rsidRPr="00005891">
        <w:rPr>
          <w:i/>
          <w:lang w:val="en-US"/>
        </w:rPr>
        <w:t>Q</w:t>
      </w:r>
      <w:r w:rsidRPr="00D83907">
        <w:rPr>
          <w:i/>
          <w:vertAlign w:val="subscript"/>
          <w:lang w:val="en-US"/>
        </w:rPr>
        <w:t>P</w:t>
      </w:r>
      <w:r w:rsidRPr="00005891">
        <w:rPr>
          <w:lang w:val="en-US"/>
        </w:rPr>
        <w:t xml:space="preserve"> = 77.2×10</w:t>
      </w:r>
      <w:r w:rsidRPr="00D83907">
        <w:rPr>
          <w:vertAlign w:val="superscript"/>
          <w:lang w:val="en-US"/>
        </w:rPr>
        <w:t>3</w:t>
      </w:r>
      <w:r w:rsidRPr="00005891">
        <w:rPr>
          <w:lang w:val="en-US"/>
        </w:rPr>
        <w:t xml:space="preserve"> J/mol</w:t>
      </w:r>
    </w:p>
    <w:p w14:paraId="1AFF1CC4" w14:textId="77777777" w:rsidR="00504D17" w:rsidRPr="00005891" w:rsidRDefault="00504D17" w:rsidP="00504D17">
      <w:pPr>
        <w:rPr>
          <w:lang w:val="en-US"/>
        </w:rPr>
      </w:pPr>
    </w:p>
    <w:p w14:paraId="18E533C0" w14:textId="77777777" w:rsidR="00200057" w:rsidRDefault="00200057" w:rsidP="00504D17">
      <w:pPr>
        <w:rPr>
          <w:u w:val="single"/>
          <w:lang w:val="en-US"/>
        </w:rPr>
      </w:pPr>
    </w:p>
    <w:p w14:paraId="36D7CC9E" w14:textId="77777777" w:rsidR="00200057" w:rsidRDefault="00200057" w:rsidP="00504D17">
      <w:pPr>
        <w:rPr>
          <w:u w:val="single"/>
          <w:lang w:val="en-US"/>
        </w:rPr>
      </w:pPr>
    </w:p>
    <w:p w14:paraId="6D1A9336" w14:textId="4F1A1656" w:rsidR="00504D17" w:rsidRPr="00005891" w:rsidRDefault="00504D17" w:rsidP="00504D17">
      <w:pPr>
        <w:rPr>
          <w:lang w:val="en-US"/>
        </w:rPr>
      </w:pPr>
      <w:r w:rsidRPr="00005891">
        <w:rPr>
          <w:u w:val="single"/>
          <w:lang w:val="en-US"/>
        </w:rPr>
        <w:lastRenderedPageBreak/>
        <w:t>Irradiated Zry-2 cladding</w:t>
      </w:r>
    </w:p>
    <w:p w14:paraId="2F8E7A07" w14:textId="77777777" w:rsidR="00504D17" w:rsidRPr="00005891" w:rsidRDefault="00504D17" w:rsidP="00504D17">
      <w:r w:rsidRPr="00005891">
        <w:rPr>
          <w:i/>
        </w:rPr>
        <w:t>A</w:t>
      </w:r>
      <w:r w:rsidRPr="00D83907">
        <w:rPr>
          <w:i/>
          <w:vertAlign w:val="subscript"/>
        </w:rPr>
        <w:t>sL</w:t>
      </w:r>
      <w:r w:rsidRPr="00005891">
        <w:t>=8.12×10</w:t>
      </w:r>
      <w:r w:rsidRPr="00D83907">
        <w:rPr>
          <w:vertAlign w:val="superscript"/>
        </w:rPr>
        <w:t>-2</w:t>
      </w:r>
      <w:r w:rsidRPr="00005891">
        <w:t xml:space="preserve"> K/Pa/h; </w:t>
      </w:r>
      <w:r w:rsidRPr="00005891">
        <w:rPr>
          <w:i/>
        </w:rPr>
        <w:t>n</w:t>
      </w:r>
      <w:r w:rsidRPr="00D83907">
        <w:rPr>
          <w:i/>
          <w:vertAlign w:val="subscript"/>
        </w:rPr>
        <w:t>sL</w:t>
      </w:r>
      <w:r w:rsidRPr="00005891">
        <w:t xml:space="preserve">=1.3; </w:t>
      </w:r>
      <w:r w:rsidRPr="00005891">
        <w:rPr>
          <w:i/>
        </w:rPr>
        <w:t>Q</w:t>
      </w:r>
      <w:r w:rsidRPr="00D83907">
        <w:rPr>
          <w:i/>
          <w:vertAlign w:val="subscript"/>
        </w:rPr>
        <w:t>sL</w:t>
      </w:r>
      <w:r w:rsidRPr="00005891">
        <w:t>=1.28×10</w:t>
      </w:r>
      <w:r w:rsidRPr="00D83907">
        <w:rPr>
          <w:vertAlign w:val="superscript"/>
        </w:rPr>
        <w:t>5</w:t>
      </w:r>
      <w:r w:rsidRPr="00005891">
        <w:t xml:space="preserve"> J/mol</w:t>
      </w:r>
    </w:p>
    <w:p w14:paraId="07EC1851" w14:textId="77777777" w:rsidR="00504D17" w:rsidRPr="00005891" w:rsidRDefault="00504D17" w:rsidP="00504D17">
      <w:r w:rsidRPr="00005891">
        <w:rPr>
          <w:i/>
        </w:rPr>
        <w:t>A</w:t>
      </w:r>
      <w:r w:rsidRPr="00D83907">
        <w:rPr>
          <w:i/>
          <w:vertAlign w:val="subscript"/>
        </w:rPr>
        <w:t>sH</w:t>
      </w:r>
      <w:r w:rsidRPr="00005891">
        <w:t>=2.41×10</w:t>
      </w:r>
      <w:r w:rsidRPr="00D83907">
        <w:rPr>
          <w:vertAlign w:val="superscript"/>
        </w:rPr>
        <w:t>26</w:t>
      </w:r>
      <w:r w:rsidRPr="00005891">
        <w:t xml:space="preserve"> K/Pa/h; </w:t>
      </w:r>
      <w:r w:rsidRPr="00005891">
        <w:rPr>
          <w:i/>
        </w:rPr>
        <w:t>n</w:t>
      </w:r>
      <w:r w:rsidRPr="00D83907">
        <w:rPr>
          <w:i/>
          <w:vertAlign w:val="subscript"/>
        </w:rPr>
        <w:t>sH</w:t>
      </w:r>
      <w:r w:rsidRPr="00005891">
        <w:t xml:space="preserve">=7.7; </w:t>
      </w:r>
      <w:r w:rsidRPr="00005891">
        <w:rPr>
          <w:i/>
        </w:rPr>
        <w:t>Q</w:t>
      </w:r>
      <w:r w:rsidRPr="00D83907">
        <w:rPr>
          <w:i/>
          <w:vertAlign w:val="subscript"/>
        </w:rPr>
        <w:t>sH</w:t>
      </w:r>
      <w:r w:rsidRPr="00005891">
        <w:t>=2.63×10</w:t>
      </w:r>
      <w:r w:rsidRPr="00D83907">
        <w:rPr>
          <w:vertAlign w:val="superscript"/>
        </w:rPr>
        <w:t>5</w:t>
      </w:r>
      <w:r w:rsidRPr="00D83907">
        <w:t xml:space="preserve"> </w:t>
      </w:r>
      <w:r w:rsidRPr="00005891">
        <w:t>J/mol</w:t>
      </w:r>
    </w:p>
    <w:p w14:paraId="076D90A1" w14:textId="47FF542F" w:rsidR="00504D17" w:rsidRDefault="00504D17" w:rsidP="00504D17">
      <w:r w:rsidRPr="00005891">
        <w:rPr>
          <w:i/>
        </w:rPr>
        <w:t>A</w:t>
      </w:r>
      <w:r w:rsidRPr="00D83907">
        <w:rPr>
          <w:i/>
          <w:vertAlign w:val="subscript"/>
        </w:rPr>
        <w:t>p</w:t>
      </w:r>
      <w:r w:rsidRPr="00005891">
        <w:t>=8.33×10</w:t>
      </w:r>
      <w:r w:rsidRPr="00D83907">
        <w:rPr>
          <w:vertAlign w:val="superscript"/>
        </w:rPr>
        <w:t>-2</w:t>
      </w:r>
      <w:r w:rsidRPr="00005891">
        <w:t xml:space="preserve"> K/Pa; </w:t>
      </w:r>
      <w:r w:rsidRPr="00005891">
        <w:rPr>
          <w:i/>
        </w:rPr>
        <w:t>n</w:t>
      </w:r>
      <w:r w:rsidRPr="00D83907">
        <w:rPr>
          <w:i/>
          <w:vertAlign w:val="subscript"/>
        </w:rPr>
        <w:t>p</w:t>
      </w:r>
      <w:r w:rsidRPr="00005891">
        <w:t xml:space="preserve">=1.3; </w:t>
      </w:r>
      <w:r w:rsidRPr="00005891">
        <w:rPr>
          <w:i/>
        </w:rPr>
        <w:t>Q</w:t>
      </w:r>
      <w:r w:rsidRPr="00D83907">
        <w:rPr>
          <w:i/>
          <w:vertAlign w:val="subscript"/>
        </w:rPr>
        <w:t>p</w:t>
      </w:r>
      <w:r w:rsidRPr="00005891">
        <w:t>=7.71×10</w:t>
      </w:r>
      <w:r w:rsidRPr="00D83907">
        <w:rPr>
          <w:vertAlign w:val="superscript"/>
        </w:rPr>
        <w:t>4</w:t>
      </w:r>
      <w:r w:rsidRPr="00005891">
        <w:t xml:space="preserve"> J/mol</w:t>
      </w:r>
    </w:p>
    <w:p w14:paraId="294D65C5" w14:textId="77777777" w:rsidR="00504D17" w:rsidRPr="00005891" w:rsidRDefault="00504D17" w:rsidP="00504D17">
      <w:pPr>
        <w:rPr>
          <w:lang w:val="en-US"/>
        </w:rPr>
      </w:pPr>
    </w:p>
    <w:p w14:paraId="1706CEBC" w14:textId="5B8B1833" w:rsidR="00504D17" w:rsidRDefault="00504D17" w:rsidP="00C0559F">
      <w:pPr>
        <w:pStyle w:val="BodyText"/>
        <w:rPr>
          <w:lang w:val="en-US"/>
        </w:rPr>
      </w:pPr>
      <w:r w:rsidRPr="007F047D">
        <w:rPr>
          <w:lang w:val="en-US"/>
        </w:rPr>
        <w:t xml:space="preserve">Only very few studies, such as those reported by Ito et al. </w:t>
      </w:r>
      <w:r w:rsidR="007675A8">
        <w:rPr>
          <w:lang w:val="en-US"/>
        </w:rPr>
        <w:t>[</w:t>
      </w:r>
      <w:r w:rsidR="00C96BDD">
        <w:rPr>
          <w:lang w:val="en-US"/>
        </w:rPr>
        <w:t>6</w:t>
      </w:r>
      <w:r w:rsidRPr="007F047D">
        <w:rPr>
          <w:lang w:val="en-US"/>
        </w:rPr>
        <w:t>]</w:t>
      </w:r>
      <w:r w:rsidR="007675A8">
        <w:rPr>
          <w:lang w:val="en-US"/>
        </w:rPr>
        <w:t xml:space="preserve"> and </w:t>
      </w:r>
      <w:r w:rsidR="007675A8" w:rsidRPr="007F047D">
        <w:rPr>
          <w:lang w:val="en-US"/>
        </w:rPr>
        <w:t>Kaspar et al.</w:t>
      </w:r>
      <w:r w:rsidR="007675A8">
        <w:rPr>
          <w:lang w:val="en-US"/>
        </w:rPr>
        <w:t xml:space="preserve"> [8</w:t>
      </w:r>
      <w:r w:rsidR="007675A8" w:rsidRPr="007F047D">
        <w:rPr>
          <w:lang w:val="en-US"/>
        </w:rPr>
        <w:t>]</w:t>
      </w:r>
      <w:r w:rsidRPr="007F047D">
        <w:rPr>
          <w:lang w:val="en-US"/>
        </w:rPr>
        <w:t xml:space="preserve">, contain tests in the two most relevant stress ranges. </w:t>
      </w:r>
      <w:r w:rsidR="00397E67">
        <w:rPr>
          <w:lang w:val="en-US"/>
        </w:rPr>
        <w:t>Figure 4 plots the ratio of irradiated-to-unirradiated creep rate as a function of hoop stress.  In the low stress range</w:t>
      </w:r>
      <w:r w:rsidRPr="007F047D">
        <w:rPr>
          <w:lang w:val="en-US"/>
        </w:rPr>
        <w:t>, the effect of irradiation is significantly smaller than in the high stress range. The rather small effect of irradiation, which is seen for the data-point of Kasp</w:t>
      </w:r>
      <w:r>
        <w:rPr>
          <w:lang w:val="en-US"/>
        </w:rPr>
        <w:t>a</w:t>
      </w:r>
      <w:r w:rsidRPr="007F047D">
        <w:rPr>
          <w:lang w:val="en-US"/>
        </w:rPr>
        <w:t>r et al.</w:t>
      </w:r>
      <w:r w:rsidR="00C96BDD">
        <w:rPr>
          <w:lang w:val="en-US"/>
        </w:rPr>
        <w:t xml:space="preserve"> [8</w:t>
      </w:r>
      <w:r w:rsidR="006929E3">
        <w:rPr>
          <w:lang w:val="en-US"/>
        </w:rPr>
        <w:t>]</w:t>
      </w:r>
      <w:r w:rsidRPr="007F047D">
        <w:rPr>
          <w:lang w:val="en-US"/>
        </w:rPr>
        <w:t xml:space="preserve"> at 395°C and a stress of 70 MPa in</w:t>
      </w:r>
      <w:r w:rsidR="00240852">
        <w:rPr>
          <w:lang w:val="en-US"/>
        </w:rPr>
        <w:t xml:space="preserve"> Fig. 4</w:t>
      </w:r>
      <w:r w:rsidRPr="007F047D">
        <w:rPr>
          <w:lang w:val="en-US"/>
        </w:rPr>
        <w:t>, can be explained by the rather low fast fluence of this particular sample of 1E20 n/cm² (&gt;1 MeV). All other samples had a much higher fast fluence of 6 to 10E21 n/cm², which is more typical for end-of-life conditions.</w:t>
      </w:r>
    </w:p>
    <w:p w14:paraId="32B5DA21" w14:textId="4C7802FA" w:rsidR="00397E67" w:rsidRPr="00C0559F" w:rsidRDefault="00397E67" w:rsidP="00397E67">
      <w:pPr>
        <w:pStyle w:val="BodyText"/>
      </w:pPr>
      <w:r>
        <w:t>S</w:t>
      </w:r>
      <w:r w:rsidRPr="00C0559F">
        <w:t>econdary creep rates and creep strains in irradiated cladding are</w:t>
      </w:r>
      <w:r w:rsidRPr="007F047D">
        <w:t xml:space="preserve">, for all tested temperature conditions and stress regions, </w:t>
      </w:r>
      <w:r w:rsidRPr="00C0559F">
        <w:t>smaller than those of unirradiated cladding, b</w:t>
      </w:r>
      <w:r w:rsidRPr="007F047D">
        <w:t xml:space="preserve">ut the effect is smaller at lower temperature and lower stress. </w:t>
      </w:r>
      <w:r w:rsidRPr="00C0559F">
        <w:t xml:space="preserve">Irradiation defects </w:t>
      </w:r>
      <w:r w:rsidRPr="007F047D">
        <w:t xml:space="preserve">such as point defect clusters, interstitial and dislocation loops, etc., </w:t>
      </w:r>
      <w:r w:rsidRPr="00C0559F">
        <w:t>create obstacles to dislocation climb. As a result, s</w:t>
      </w:r>
      <w:r w:rsidRPr="007F047D">
        <w:t>uppressive effects by irradiation defects are very high in the high stress region. Given that i</w:t>
      </w:r>
      <w:r w:rsidRPr="00C0559F">
        <w:t xml:space="preserve">rradiation defects are not </w:t>
      </w:r>
      <w:r w:rsidRPr="007F047D">
        <w:t xml:space="preserve">considered to be as </w:t>
      </w:r>
      <w:r w:rsidRPr="00C0559F">
        <w:t>effective in impacting grain boundary sliding, s</w:t>
      </w:r>
      <w:r w:rsidRPr="007F047D">
        <w:t>uppressive effects by neutron irradiation in the low stress region are much less pronounced.</w:t>
      </w:r>
    </w:p>
    <w:p w14:paraId="1D752915" w14:textId="77777777" w:rsidR="00397E67" w:rsidRDefault="00397E67" w:rsidP="00C0559F">
      <w:pPr>
        <w:pStyle w:val="BodyText"/>
        <w:rPr>
          <w:lang w:val="en-US"/>
        </w:rPr>
      </w:pPr>
    </w:p>
    <w:p w14:paraId="7B35B2C6" w14:textId="77777777" w:rsidR="00504D17" w:rsidRDefault="00504D17" w:rsidP="00397E67">
      <w:pPr>
        <w:pStyle w:val="Picture"/>
        <w:rPr>
          <w:lang w:val="en-US"/>
        </w:rPr>
      </w:pPr>
      <w:r w:rsidRPr="007F047D">
        <w:rPr>
          <w:noProof/>
          <w:lang w:val="en-US" w:eastAsia="en-US"/>
        </w:rPr>
        <w:drawing>
          <wp:inline distT="0" distB="0" distL="0" distR="0" wp14:anchorId="3E3124EC" wp14:editId="7E6251F0">
            <wp:extent cx="4500000" cy="2924298"/>
            <wp:effectExtent l="19050" t="19050" r="14850" b="28452"/>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0000" cy="2924298"/>
                    </a:xfrm>
                    <a:prstGeom prst="rect">
                      <a:avLst/>
                    </a:prstGeom>
                    <a:noFill/>
                    <a:ln w="6350" cmpd="sng">
                      <a:solidFill>
                        <a:srgbClr val="D4AD6F"/>
                      </a:solidFill>
                      <a:miter lim="800000"/>
                      <a:headEnd/>
                      <a:tailEnd/>
                    </a:ln>
                    <a:effectLst/>
                  </pic:spPr>
                </pic:pic>
              </a:graphicData>
            </a:graphic>
          </wp:inline>
        </w:drawing>
      </w:r>
    </w:p>
    <w:p w14:paraId="20369260" w14:textId="229DF50B" w:rsidR="00434EEA" w:rsidRDefault="00504D17" w:rsidP="00504D17">
      <w:pPr>
        <w:pStyle w:val="Figurecaption"/>
        <w:rPr>
          <w:lang w:val="en-US"/>
        </w:rPr>
      </w:pPr>
      <w:bookmarkStart w:id="3" w:name="_Ref531206201"/>
      <w:r w:rsidRPr="008A63BA">
        <w:t>F</w:t>
      </w:r>
      <w:r w:rsidR="00434EEA">
        <w:t>IG.</w:t>
      </w:r>
      <w:r w:rsidRPr="008A63BA">
        <w:t> </w:t>
      </w:r>
      <w:r w:rsidR="00434EEA">
        <w:t xml:space="preserve"> </w:t>
      </w:r>
      <w:bookmarkEnd w:id="3"/>
      <w:r w:rsidR="00397E67">
        <w:t>4</w:t>
      </w:r>
      <w:r w:rsidRPr="008A63BA">
        <w:t>:</w:t>
      </w:r>
      <w:r>
        <w:t xml:space="preserve"> </w:t>
      </w:r>
      <w:r w:rsidRPr="007F047D">
        <w:rPr>
          <w:lang w:val="en-US"/>
        </w:rPr>
        <w:t>Stress dependency of the decrease in secondary creep rate after irradiation in comparison to unirradiated CWSR Zry-4 cladding, data from [</w:t>
      </w:r>
      <w:r w:rsidR="00C96BDD">
        <w:rPr>
          <w:lang w:val="en-US"/>
        </w:rPr>
        <w:t>6</w:t>
      </w:r>
      <w:r w:rsidRPr="007F047D">
        <w:rPr>
          <w:lang w:val="en-US"/>
        </w:rPr>
        <w:t>] and [</w:t>
      </w:r>
      <w:r w:rsidR="00C96BDD">
        <w:rPr>
          <w:lang w:val="en-US"/>
        </w:rPr>
        <w:t>8</w:t>
      </w:r>
      <w:r w:rsidRPr="007F047D">
        <w:rPr>
          <w:lang w:val="en-US"/>
        </w:rPr>
        <w:t>]</w:t>
      </w:r>
      <w:r>
        <w:rPr>
          <w:lang w:val="en-US"/>
        </w:rPr>
        <w:t>.</w:t>
      </w:r>
    </w:p>
    <w:p w14:paraId="4E62D380" w14:textId="2DD80B3E" w:rsidR="00434EEA" w:rsidRDefault="00434EEA" w:rsidP="00434EEA">
      <w:pPr>
        <w:pStyle w:val="Heading3"/>
      </w:pPr>
      <w:r>
        <w:t>Allowable diametral strain and creep rupture</w:t>
      </w:r>
    </w:p>
    <w:p w14:paraId="425BFB27" w14:textId="0AAC0FB0" w:rsidR="006929E3" w:rsidRPr="00C0559F" w:rsidRDefault="006929E3" w:rsidP="00C0559F">
      <w:pPr>
        <w:pStyle w:val="BodyText"/>
      </w:pPr>
      <w:r w:rsidRPr="00C0559F">
        <w:t>As previously discussed, regulatory requirements seek to minimize the likelihood of creep rupture failures by either limiting the maximum allowed temperature or by limiting the diametral strain to 1%.</w:t>
      </w:r>
    </w:p>
    <w:p w14:paraId="2A35E04D" w14:textId="2531F85A" w:rsidR="006929E3" w:rsidRPr="00C0559F" w:rsidRDefault="006929E3" w:rsidP="00C0559F">
      <w:pPr>
        <w:pStyle w:val="BodyText"/>
      </w:pPr>
      <w:r w:rsidRPr="00C0559F">
        <w:t>Woodford</w:t>
      </w:r>
      <w:r w:rsidR="00BE1B71">
        <w:t xml:space="preserve"> [</w:t>
      </w:r>
      <w:r w:rsidRPr="00C0559F">
        <w:t>9] showed that the strain to creep failure correlates to the stress exponent of secondary creep (</w:t>
      </w:r>
      <w:r w:rsidR="00B93176">
        <w:t>Fig. 5).</w:t>
      </w:r>
      <w:r w:rsidRPr="00C0559F">
        <w:t xml:space="preserve"> This relationship has been shown to apply to Zr-alloys. From the results obtained by [Ito et al., 2004], the stress exponent, n, varied from </w:t>
      </w:r>
      <w:r w:rsidR="003C4193">
        <w:t>1.3</w:t>
      </w:r>
      <w:r w:rsidRPr="00C0559F">
        <w:t xml:space="preserve"> (RXA Zry-2) and </w:t>
      </w:r>
      <w:r w:rsidR="003C4193">
        <w:t>0.5</w:t>
      </w:r>
      <w:r w:rsidRPr="00C0559F">
        <w:t xml:space="preserve"> (CWSR Zry-4) at low stress to 7.</w:t>
      </w:r>
      <w:r w:rsidR="003C4193">
        <w:t>7</w:t>
      </w:r>
      <w:r w:rsidRPr="00C0559F">
        <w:t xml:space="preserve"> (RXA Zry-2) and 7.</w:t>
      </w:r>
      <w:r w:rsidR="003C4193">
        <w:t>4</w:t>
      </w:r>
      <w:r w:rsidRPr="00C0559F">
        <w:t xml:space="preserve"> (CWSR Zry-4) at high stress (</w:t>
      </w:r>
      <w:r w:rsidR="001D5140">
        <w:t>Fig. 3</w:t>
      </w:r>
      <w:r w:rsidRPr="00C0559F">
        <w:t xml:space="preserve">). Consequently, the failure strain should be ≥100% at low stress </w:t>
      </w:r>
      <w:r w:rsidR="00240852" w:rsidRPr="00C0559F">
        <w:t>and</w:t>
      </w:r>
      <w:r w:rsidR="00240852">
        <w:t> </w:t>
      </w:r>
      <w:r w:rsidR="00240852" w:rsidRPr="00C0559F">
        <w:t>≥</w:t>
      </w:r>
      <w:r w:rsidR="00240852">
        <w:t> </w:t>
      </w:r>
      <w:r w:rsidRPr="00C0559F">
        <w:t xml:space="preserve">10% at high stress for structurally sound rods. Achieving such large strains is not </w:t>
      </w:r>
      <w:r w:rsidR="00883CB3">
        <w:t>completely unexpected</w:t>
      </w:r>
      <w:r w:rsidRPr="00C0559F">
        <w:t xml:space="preserve"> when focusing on the creep curve labeled “Constant Stress” in </w:t>
      </w:r>
      <w:r w:rsidR="00883CB3">
        <w:t>Fig. 1</w:t>
      </w:r>
      <w:r w:rsidR="00397E67">
        <w:t>.</w:t>
      </w:r>
    </w:p>
    <w:p w14:paraId="5A4FA2D6" w14:textId="77777777" w:rsidR="006929E3" w:rsidRDefault="006929E3" w:rsidP="006929E3">
      <w:pPr>
        <w:rPr>
          <w:lang w:val="en-US"/>
        </w:rPr>
      </w:pPr>
    </w:p>
    <w:p w14:paraId="6FEAB007" w14:textId="77777777" w:rsidR="006929E3" w:rsidRDefault="006929E3" w:rsidP="006929E3">
      <w:pPr>
        <w:pStyle w:val="Picture"/>
        <w:rPr>
          <w:lang w:val="en-US"/>
        </w:rPr>
      </w:pPr>
      <w:r w:rsidRPr="00FA7D84">
        <w:rPr>
          <w:noProof/>
          <w:lang w:val="en-US" w:eastAsia="en-US"/>
        </w:rPr>
        <w:drawing>
          <wp:inline distT="0" distB="0" distL="0" distR="0" wp14:anchorId="2C8098E0" wp14:editId="5C759606">
            <wp:extent cx="4140000" cy="3166234"/>
            <wp:effectExtent l="19050" t="19050" r="12900" b="15116"/>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0000" cy="3166234"/>
                    </a:xfrm>
                    <a:prstGeom prst="rect">
                      <a:avLst/>
                    </a:prstGeom>
                    <a:noFill/>
                    <a:ln w="6350" cmpd="sng">
                      <a:solidFill>
                        <a:srgbClr val="D4AD6F"/>
                      </a:solidFill>
                      <a:miter lim="800000"/>
                      <a:headEnd/>
                      <a:tailEnd/>
                    </a:ln>
                    <a:effectLst/>
                  </pic:spPr>
                </pic:pic>
              </a:graphicData>
            </a:graphic>
          </wp:inline>
        </w:drawing>
      </w:r>
    </w:p>
    <w:p w14:paraId="41E22611" w14:textId="547B116E" w:rsidR="006929E3" w:rsidRDefault="006929E3" w:rsidP="006929E3">
      <w:pPr>
        <w:pStyle w:val="Figurecaption"/>
        <w:rPr>
          <w:lang w:val="en-US"/>
        </w:rPr>
      </w:pPr>
      <w:bookmarkStart w:id="4" w:name="_Ref531206967"/>
      <w:r w:rsidRPr="008A63BA">
        <w:t>F</w:t>
      </w:r>
      <w:r>
        <w:t>IG.</w:t>
      </w:r>
      <w:r w:rsidRPr="008A63BA">
        <w:t xml:space="preserve"> </w:t>
      </w:r>
      <w:bookmarkEnd w:id="4"/>
      <w:r w:rsidR="00C96BDD">
        <w:t>5</w:t>
      </w:r>
      <w:r w:rsidRPr="008A63BA">
        <w:t>:</w:t>
      </w:r>
      <w:r w:rsidR="0030288B">
        <w:t xml:space="preserve"> </w:t>
      </w:r>
      <w:r w:rsidRPr="00FA7D84">
        <w:rPr>
          <w:lang w:val="en-US"/>
        </w:rPr>
        <w:t xml:space="preserve">Creep rupture ductility versus stress exponent of creep </w:t>
      </w:r>
      <w:r w:rsidRPr="00C0559F">
        <w:rPr>
          <w:iCs/>
          <w:lang w:val="en-US"/>
        </w:rPr>
        <w:t>n</w:t>
      </w:r>
      <w:r w:rsidRPr="00FA7D84">
        <w:rPr>
          <w:iCs/>
          <w:lang w:val="en-US"/>
        </w:rPr>
        <w:t>, after</w:t>
      </w:r>
      <w:r w:rsidRPr="00FA7D84">
        <w:rPr>
          <w:i w:val="0"/>
          <w:iCs/>
          <w:lang w:val="en-US"/>
        </w:rPr>
        <w:t xml:space="preserve"> </w:t>
      </w:r>
      <w:r w:rsidRPr="00FA7D84">
        <w:rPr>
          <w:lang w:val="en-US"/>
        </w:rPr>
        <w:t>[</w:t>
      </w:r>
      <w:r w:rsidR="00BE1B71">
        <w:rPr>
          <w:lang w:val="en-US"/>
        </w:rPr>
        <w:t>9</w:t>
      </w:r>
      <w:r w:rsidRPr="00FA7D84">
        <w:rPr>
          <w:lang w:val="en-US"/>
        </w:rPr>
        <w:t>]</w:t>
      </w:r>
      <w:r>
        <w:rPr>
          <w:lang w:val="en-US"/>
        </w:rPr>
        <w:t>.</w:t>
      </w:r>
    </w:p>
    <w:p w14:paraId="183B8D8C" w14:textId="3DF2E42B" w:rsidR="00EE0041" w:rsidRDefault="006929E3" w:rsidP="00403295">
      <w:pPr>
        <w:pStyle w:val="Heading2"/>
        <w:numPr>
          <w:ilvl w:val="1"/>
          <w:numId w:val="5"/>
        </w:numPr>
      </w:pPr>
      <w:r>
        <w:t>H</w:t>
      </w:r>
      <w:r w:rsidR="008B098A">
        <w:t>ydride reorientation</w:t>
      </w:r>
    </w:p>
    <w:p w14:paraId="12726818" w14:textId="01D6780A" w:rsidR="00185812" w:rsidRDefault="008B098A" w:rsidP="00537496">
      <w:pPr>
        <w:pStyle w:val="BodyText"/>
      </w:pPr>
      <w:r>
        <w:t xml:space="preserve">Hydride re-orientation refers to a change in hydride </w:t>
      </w:r>
      <w:r w:rsidR="00185812">
        <w:t xml:space="preserve">lenses </w:t>
      </w:r>
      <w:r>
        <w:t>stacking orientation that can occur in cladding during the thermal cycle experienced by spent fuel during dry storage. Upon transfer of spent fuel from wet to dry storage, dissolution of zirconium hydrides, possibly up to the hydrogen solubility in the Zr-based alloy, first occurs upon heating. As the fuel slowly cools over time, re-reprecipitation of the hydrides occurs. Depending on alloy characteristics (microstructure, texture, grain shape, …), cladding design (no liner or with inner or outer liner) and condition (hydrogen content, hoop stress level, …), and environmental parameters (temperature, cooling rate, …), alignment of the precipitated hydride</w:t>
      </w:r>
      <w:r w:rsidR="00185812">
        <w:t xml:space="preserve"> lenses</w:t>
      </w:r>
      <w:r>
        <w:t xml:space="preserve"> may be affected. Prior to dissolution, hydrides are in predominantly circumferential orientation. After reprecipitation, nucleation and growth of radially oriented hydrides are observed when hoop stress levels </w:t>
      </w:r>
      <w:r w:rsidR="007465B5">
        <w:t xml:space="preserve">imposed on cladding specimens </w:t>
      </w:r>
      <w:r>
        <w:t xml:space="preserve">are </w:t>
      </w:r>
      <w:r w:rsidR="00B22A59">
        <w:t xml:space="preserve">beyond a critical value referred to as </w:t>
      </w:r>
      <w:r w:rsidR="00A15123">
        <w:t xml:space="preserve">the </w:t>
      </w:r>
      <w:r w:rsidR="00B22A59">
        <w:t>reorientation threshold stress.</w:t>
      </w:r>
    </w:p>
    <w:p w14:paraId="27CDEDDE" w14:textId="63B301E3" w:rsidR="008B6BB9" w:rsidRDefault="00A15123" w:rsidP="00403295">
      <w:pPr>
        <w:pStyle w:val="Heading3"/>
        <w:numPr>
          <w:ilvl w:val="1"/>
          <w:numId w:val="12"/>
        </w:numPr>
      </w:pPr>
      <w:r>
        <w:t>Reorientation t</w:t>
      </w:r>
      <w:r w:rsidR="00B22A59">
        <w:t>hreshold</w:t>
      </w:r>
      <w:r w:rsidR="00185812">
        <w:t xml:space="preserve"> </w:t>
      </w:r>
      <w:r w:rsidR="00B22A59">
        <w:t>s</w:t>
      </w:r>
      <w:r w:rsidR="00185812">
        <w:t>tress</w:t>
      </w:r>
    </w:p>
    <w:p w14:paraId="5A6B05A4" w14:textId="1F191A15" w:rsidR="001F6CF4" w:rsidRPr="00322421" w:rsidRDefault="00185812" w:rsidP="00322421">
      <w:pPr>
        <w:pStyle w:val="BodyText"/>
      </w:pPr>
      <w:r w:rsidRPr="00322421">
        <w:t xml:space="preserve">Many of the investigations on hydride reorientation </w:t>
      </w:r>
      <w:r w:rsidR="00F43101" w:rsidRPr="00322421">
        <w:t>measure, or calculate, t</w:t>
      </w:r>
      <w:r w:rsidRPr="00322421">
        <w:t xml:space="preserve">he </w:t>
      </w:r>
      <w:r w:rsidR="004518FC" w:rsidRPr="00322421">
        <w:t>threshold</w:t>
      </w:r>
      <w:r w:rsidRPr="00322421">
        <w:t xml:space="preserve"> hoop stress that</w:t>
      </w:r>
      <w:r w:rsidR="001F6CF4" w:rsidRPr="00322421">
        <w:t xml:space="preserve"> result</w:t>
      </w:r>
      <w:r w:rsidR="00F43101" w:rsidRPr="00322421">
        <w:t>s</w:t>
      </w:r>
      <w:r w:rsidR="001F6CF4" w:rsidRPr="00322421">
        <w:t xml:space="preserve"> in the </w:t>
      </w:r>
      <w:r w:rsidR="004518FC" w:rsidRPr="00322421">
        <w:t>first indication</w:t>
      </w:r>
      <w:r w:rsidR="00F43101" w:rsidRPr="00322421">
        <w:t xml:space="preserve"> </w:t>
      </w:r>
      <w:r w:rsidR="001F6CF4" w:rsidRPr="00322421">
        <w:t xml:space="preserve">of </w:t>
      </w:r>
      <w:r w:rsidR="004518FC" w:rsidRPr="00322421">
        <w:t>reorientation</w:t>
      </w:r>
      <w:r w:rsidR="00A15123">
        <w:t xml:space="preserve"> in spent fuel cladding tubing</w:t>
      </w:r>
      <w:r w:rsidR="001F6CF4" w:rsidRPr="00322421">
        <w:t xml:space="preserve">. </w:t>
      </w:r>
      <w:r w:rsidR="00A15123">
        <w:t>I</w:t>
      </w:r>
      <w:r w:rsidR="001F6CF4" w:rsidRPr="00322421">
        <w:t xml:space="preserve">nvestigations rely on </w:t>
      </w:r>
      <w:r w:rsidR="00F43101" w:rsidRPr="00322421">
        <w:t xml:space="preserve">imposing a thermo-mechanical treatment </w:t>
      </w:r>
      <w:r w:rsidR="00D1385A">
        <w:t xml:space="preserve">(or hydride reorientation treatment) </w:t>
      </w:r>
      <w:r w:rsidR="00F43101" w:rsidRPr="00322421">
        <w:t xml:space="preserve">consisting of </w:t>
      </w:r>
      <w:r w:rsidR="001F6CF4" w:rsidRPr="00322421">
        <w:t xml:space="preserve">heating cladding tube specimens to a high temperature </w:t>
      </w:r>
      <w:r w:rsidR="004518FC" w:rsidRPr="00322421">
        <w:t xml:space="preserve">(or peak cladding temperature) </w:t>
      </w:r>
      <w:r w:rsidR="00F43101" w:rsidRPr="00322421">
        <w:t>followed by</w:t>
      </w:r>
      <w:r w:rsidR="001F6CF4" w:rsidRPr="00322421">
        <w:t xml:space="preserve"> cooling</w:t>
      </w:r>
      <w:r w:rsidR="004518FC" w:rsidRPr="00322421">
        <w:t xml:space="preserve"> while applying</w:t>
      </w:r>
      <w:r w:rsidR="00F43101" w:rsidRPr="00322421">
        <w:t xml:space="preserve">, during cooling, an initial hoop stress that can be </w:t>
      </w:r>
      <w:r w:rsidR="00A15123">
        <w:t xml:space="preserve">either </w:t>
      </w:r>
      <w:r w:rsidR="00F43101" w:rsidRPr="00322421">
        <w:t>kept constant or allowed to decrease with the decreasing temperature</w:t>
      </w:r>
      <w:r w:rsidR="001F6CF4" w:rsidRPr="00322421">
        <w:t>.</w:t>
      </w:r>
      <w:r w:rsidR="00842FCE" w:rsidRPr="00322421">
        <w:t xml:space="preserve"> It should be noted that the threshold stress only defines a boundary when some hydride reorientation is </w:t>
      </w:r>
      <w:r w:rsidR="00322421" w:rsidRPr="00322421">
        <w:t xml:space="preserve">first </w:t>
      </w:r>
      <w:r w:rsidR="00842FCE" w:rsidRPr="00322421">
        <w:t xml:space="preserve">observed; as the magnitude of the applied stress increases above the threshold stress, greater extents of hydride reorientation are observed. </w:t>
      </w:r>
      <w:r w:rsidR="00322421" w:rsidRPr="00322421">
        <w:t xml:space="preserve">Several metrics have been used to characterize the extent of radial-hydride formation. </w:t>
      </w:r>
      <w:r w:rsidR="00322421">
        <w:t>T</w:t>
      </w:r>
      <w:r w:rsidR="00842FCE" w:rsidRPr="00322421">
        <w:t>he</w:t>
      </w:r>
      <w:r w:rsidR="00322421" w:rsidRPr="00322421">
        <w:t xml:space="preserve"> </w:t>
      </w:r>
      <w:r w:rsidR="00842FCE" w:rsidRPr="00322421">
        <w:t xml:space="preserve">radial-hydride-continuity factor (RHCF) </w:t>
      </w:r>
      <w:r w:rsidR="00322421" w:rsidRPr="00322421">
        <w:t xml:space="preserve">has been proposed by Billone et al. </w:t>
      </w:r>
      <w:r w:rsidR="00842FCE" w:rsidRPr="00322421">
        <w:t xml:space="preserve">to better correlate </w:t>
      </w:r>
      <w:r w:rsidR="00322421">
        <w:t xml:space="preserve">the extent of </w:t>
      </w:r>
      <w:r w:rsidR="00842FCE" w:rsidRPr="00322421">
        <w:t>hydride</w:t>
      </w:r>
      <w:r w:rsidR="00322421" w:rsidRPr="00322421">
        <w:t xml:space="preserve"> </w:t>
      </w:r>
      <w:r w:rsidR="00842FCE" w:rsidRPr="00322421">
        <w:t xml:space="preserve">orientation and morphology with crack initiation and </w:t>
      </w:r>
      <w:r w:rsidR="00322421" w:rsidRPr="00322421">
        <w:t>growth during ring compression testing</w:t>
      </w:r>
      <w:r w:rsidR="00322421">
        <w:t xml:space="preserve"> of a cladding specimen </w:t>
      </w:r>
      <w:r w:rsidR="00A15123">
        <w:t xml:space="preserve">that had been </w:t>
      </w:r>
      <w:r w:rsidR="00322421">
        <w:t>subjected to a hydride reorientation treatment</w:t>
      </w:r>
      <w:r w:rsidR="002376A6">
        <w:t xml:space="preserve"> [10]</w:t>
      </w:r>
      <w:r w:rsidR="00842FCE" w:rsidRPr="00322421">
        <w:t xml:space="preserve">. </w:t>
      </w:r>
    </w:p>
    <w:p w14:paraId="7EDA75B1" w14:textId="1DE20FF9" w:rsidR="00AE5731" w:rsidRPr="00C03178" w:rsidRDefault="00B22A59" w:rsidP="00C03178">
      <w:pPr>
        <w:pStyle w:val="BodyText"/>
      </w:pPr>
      <w:r w:rsidRPr="00C03178">
        <w:t xml:space="preserve">The presence of radial hydrides can result in a degradation of </w:t>
      </w:r>
      <w:r w:rsidR="00A15123" w:rsidRPr="00C03178">
        <w:t xml:space="preserve">the cladding’s </w:t>
      </w:r>
      <w:r w:rsidRPr="00C03178">
        <w:t xml:space="preserve">mechanical properties, with emphasis on ductility and fracture toughness, when applied stress and hydride orientation are perpendicular to </w:t>
      </w:r>
      <w:r w:rsidRPr="00C03178">
        <w:lastRenderedPageBreak/>
        <w:t>each other. Radial hydrides have no meaningful impact when applied stress and orientation are parallel to each other [1</w:t>
      </w:r>
      <w:r w:rsidR="002376A6" w:rsidRPr="00C03178">
        <w:t>1</w:t>
      </w:r>
      <w:r w:rsidRPr="00C03178">
        <w:t xml:space="preserve">]. </w:t>
      </w:r>
    </w:p>
    <w:p w14:paraId="460D27EB" w14:textId="70992180" w:rsidR="00D92E65" w:rsidRPr="005A2216" w:rsidRDefault="00AE5731" w:rsidP="005A2216">
      <w:pPr>
        <w:pStyle w:val="BodyText"/>
      </w:pPr>
      <w:r w:rsidRPr="005A2216">
        <w:t>R</w:t>
      </w:r>
      <w:r w:rsidR="00B22A59" w:rsidRPr="005A2216">
        <w:t xml:space="preserve">adial hydrides have </w:t>
      </w:r>
      <w:r w:rsidR="00E37798" w:rsidRPr="005A2216">
        <w:t xml:space="preserve">little </w:t>
      </w:r>
      <w:r w:rsidR="00B22A59" w:rsidRPr="005A2216">
        <w:t xml:space="preserve">impact on cladding fracture properties </w:t>
      </w:r>
      <w:r w:rsidR="00E37798" w:rsidRPr="005A2216">
        <w:t>as long as the</w:t>
      </w:r>
      <w:r w:rsidR="00B22A59" w:rsidRPr="005A2216">
        <w:t xml:space="preserve"> fracture strength of the hydrides is larger than the strength of the cladding alloy [1</w:t>
      </w:r>
      <w:r w:rsidR="002376A6" w:rsidRPr="005A2216">
        <w:t>2</w:t>
      </w:r>
      <w:r w:rsidR="00B22A59" w:rsidRPr="005A2216">
        <w:t>].</w:t>
      </w:r>
      <w:r w:rsidR="00B93176" w:rsidRPr="005A2216">
        <w:t xml:space="preserve"> </w:t>
      </w:r>
      <w:r w:rsidR="00E37798" w:rsidRPr="005A2216">
        <w:t>According to Kubo et al. [12], the fracture strength of the hydrides is</w:t>
      </w:r>
      <w:r w:rsidRPr="005A2216">
        <w:t xml:space="preserve"> about 710 MPa</w:t>
      </w:r>
      <w:r w:rsidR="00E37798" w:rsidRPr="005A2216">
        <w:t xml:space="preserve">, </w:t>
      </w:r>
      <w:r w:rsidRPr="005A2216">
        <w:t xml:space="preserve">and, </w:t>
      </w:r>
      <w:r w:rsidR="00E37798" w:rsidRPr="005A2216">
        <w:t xml:space="preserve">as a first approximation, independent of temperature in the </w:t>
      </w:r>
      <w:r w:rsidRPr="005A2216">
        <w:t xml:space="preserve">temperature </w:t>
      </w:r>
      <w:r w:rsidR="00E37798" w:rsidRPr="005A2216">
        <w:t>range of interest to dry storage</w:t>
      </w:r>
      <w:r w:rsidR="000521F9" w:rsidRPr="005A2216">
        <w:t xml:space="preserve"> </w:t>
      </w:r>
      <w:r w:rsidRPr="005A2216">
        <w:t>(</w:t>
      </w:r>
      <w:r w:rsidR="00AE5706" w:rsidRPr="005A2216">
        <w:t xml:space="preserve">typically, </w:t>
      </w:r>
      <w:r w:rsidRPr="005A2216">
        <w:t xml:space="preserve">room temperature to </w:t>
      </w:r>
      <w:r w:rsidR="00804318" w:rsidRPr="005A2216">
        <w:rPr>
          <w:rFonts w:ascii="Symbol" w:hAnsi="Symbol" w:cs="Symbol"/>
          <w:lang w:val="en-US" w:eastAsia="en-GB"/>
        </w:rPr>
        <w:t></w:t>
      </w:r>
      <w:r w:rsidR="00804318" w:rsidRPr="005A2216">
        <w:rPr>
          <w:rFonts w:ascii="Symbol" w:hAnsi="Symbol" w:cs="Symbol"/>
          <w:lang w:val="en-US" w:eastAsia="en-GB"/>
        </w:rPr>
        <w:t></w:t>
      </w:r>
      <w:r w:rsidR="005A2216">
        <w:t xml:space="preserve"> </w:t>
      </w:r>
      <w:r w:rsidR="00AE5706" w:rsidRPr="005A2216">
        <w:t xml:space="preserve">400 </w:t>
      </w:r>
      <w:r w:rsidRPr="005A2216">
        <w:t>°C)</w:t>
      </w:r>
      <w:r w:rsidR="00E37798" w:rsidRPr="005A2216">
        <w:t xml:space="preserve">, while the strength of </w:t>
      </w:r>
      <w:r w:rsidR="005C09B5" w:rsidRPr="005A2216">
        <w:t xml:space="preserve">Zircaloy </w:t>
      </w:r>
      <w:r w:rsidR="00E37798" w:rsidRPr="005A2216">
        <w:t>claddings</w:t>
      </w:r>
      <w:r w:rsidR="005C09B5" w:rsidRPr="005A2216">
        <w:t>, for example,</w:t>
      </w:r>
      <w:r w:rsidR="00E37798" w:rsidRPr="005A2216">
        <w:t xml:space="preserve"> </w:t>
      </w:r>
      <w:r w:rsidR="000425FA" w:rsidRPr="005A2216">
        <w:t xml:space="preserve">significantly </w:t>
      </w:r>
      <w:r w:rsidR="00E37798" w:rsidRPr="005A2216">
        <w:t>decreases with increasing temperature</w:t>
      </w:r>
      <w:r w:rsidR="00D2169F" w:rsidRPr="005A2216">
        <w:t xml:space="preserve"> from </w:t>
      </w:r>
      <w:r w:rsidR="005C09B5" w:rsidRPr="005A2216">
        <w:t>&gt; </w:t>
      </w:r>
      <w:r w:rsidR="00BF1518" w:rsidRPr="005A2216">
        <w:t>800</w:t>
      </w:r>
      <w:r w:rsidR="005C09B5" w:rsidRPr="005A2216">
        <w:t> </w:t>
      </w:r>
      <w:r w:rsidR="00BF1518" w:rsidRPr="005A2216">
        <w:t xml:space="preserve">MPa at </w:t>
      </w:r>
      <w:r w:rsidR="005C09B5" w:rsidRPr="005A2216">
        <w:t xml:space="preserve">25 °C to </w:t>
      </w:r>
      <w:r w:rsidR="00804318" w:rsidRPr="005A2216">
        <w:rPr>
          <w:rFonts w:ascii="Symbol" w:hAnsi="Symbol" w:cs="Symbol"/>
          <w:lang w:val="en-US" w:eastAsia="en-GB"/>
        </w:rPr>
        <w:t></w:t>
      </w:r>
      <w:r w:rsidR="00804318" w:rsidRPr="005A2216">
        <w:rPr>
          <w:rFonts w:ascii="Symbol" w:hAnsi="Symbol" w:cs="Symbol"/>
          <w:lang w:val="en-US" w:eastAsia="en-GB"/>
        </w:rPr>
        <w:t></w:t>
      </w:r>
      <w:r w:rsidR="005C09B5" w:rsidRPr="005A2216">
        <w:t>600</w:t>
      </w:r>
      <w:r w:rsidR="00804318" w:rsidRPr="005A2216">
        <w:t> </w:t>
      </w:r>
      <w:r w:rsidR="005C09B5" w:rsidRPr="005A2216">
        <w:t>MPa</w:t>
      </w:r>
      <w:r w:rsidR="00804318" w:rsidRPr="005A2216">
        <w:t xml:space="preserve"> </w:t>
      </w:r>
      <w:r w:rsidR="005C09B5" w:rsidRPr="005A2216">
        <w:t xml:space="preserve">at </w:t>
      </w:r>
      <w:r w:rsidR="005A2216" w:rsidRPr="005A2216">
        <w:t>400</w:t>
      </w:r>
      <w:r w:rsidR="005A2216">
        <w:t> </w:t>
      </w:r>
      <w:r w:rsidR="005C09B5" w:rsidRPr="005A2216">
        <w:t>°C [13]</w:t>
      </w:r>
      <w:r w:rsidR="00E37798" w:rsidRPr="005A2216">
        <w:t xml:space="preserve">. </w:t>
      </w:r>
      <w:r w:rsidR="000521F9" w:rsidRPr="005A2216">
        <w:t xml:space="preserve">Therefore, </w:t>
      </w:r>
      <w:r w:rsidR="00174C99" w:rsidRPr="005A2216">
        <w:t xml:space="preserve">mechanical </w:t>
      </w:r>
      <w:r w:rsidR="000521F9" w:rsidRPr="005A2216">
        <w:t>testing</w:t>
      </w:r>
      <w:r w:rsidRPr="005A2216">
        <w:t>,</w:t>
      </w:r>
      <w:r w:rsidR="000521F9" w:rsidRPr="005A2216">
        <w:t xml:space="preserve"> </w:t>
      </w:r>
      <w:r w:rsidRPr="005A2216">
        <w:t>such as ring compression testing</w:t>
      </w:r>
      <w:r w:rsidR="00E00CB5" w:rsidRPr="005A2216">
        <w:t>,</w:t>
      </w:r>
      <w:r w:rsidR="00BE65FA" w:rsidRPr="005A2216">
        <w:t xml:space="preserve"> </w:t>
      </w:r>
      <w:r w:rsidR="00E00CB5" w:rsidRPr="005A2216">
        <w:t xml:space="preserve">at different temperatures </w:t>
      </w:r>
      <w:r w:rsidR="00174C99" w:rsidRPr="005A2216">
        <w:t xml:space="preserve">of cladding alloys containing </w:t>
      </w:r>
      <w:r w:rsidRPr="005A2216">
        <w:t xml:space="preserve">high levels of </w:t>
      </w:r>
      <w:r w:rsidR="00174C99" w:rsidRPr="005A2216">
        <w:t>radial hydrides</w:t>
      </w:r>
      <w:r w:rsidRPr="005A2216">
        <w:t xml:space="preserve"> </w:t>
      </w:r>
      <w:r w:rsidR="00174C99" w:rsidRPr="005A2216">
        <w:t xml:space="preserve">can </w:t>
      </w:r>
      <w:r w:rsidR="00E00CB5" w:rsidRPr="005A2216">
        <w:t>reveal</w:t>
      </w:r>
      <w:r w:rsidRPr="005A2216">
        <w:t xml:space="preserve"> a</w:t>
      </w:r>
      <w:r w:rsidR="00BE433D" w:rsidRPr="005A2216">
        <w:t xml:space="preserve"> </w:t>
      </w:r>
      <w:r w:rsidR="00174C99" w:rsidRPr="005A2216">
        <w:t xml:space="preserve">shift from brittle to ductile fracture, </w:t>
      </w:r>
      <w:r w:rsidR="00BE433D" w:rsidRPr="005A2216">
        <w:t>correspond</w:t>
      </w:r>
      <w:r w:rsidR="000425FA" w:rsidRPr="005A2216">
        <w:t>ing</w:t>
      </w:r>
      <w:r w:rsidR="00BE433D" w:rsidRPr="005A2216">
        <w:t xml:space="preserve"> to</w:t>
      </w:r>
      <w:r w:rsidR="00174C99" w:rsidRPr="005A2216">
        <w:t xml:space="preserve"> the </w:t>
      </w:r>
      <w:r w:rsidR="000425FA" w:rsidRPr="005A2216">
        <w:t xml:space="preserve">shift from alloy strength greater than hydride fracture strength to alloy strength becoming smaller than hydride fracture strength. </w:t>
      </w:r>
    </w:p>
    <w:p w14:paraId="1865235C" w14:textId="7DC78F53" w:rsidR="00F43101" w:rsidRPr="00AE5731" w:rsidRDefault="00B5342E" w:rsidP="007E3631">
      <w:pPr>
        <w:pStyle w:val="BodyText"/>
      </w:pPr>
      <w:r>
        <w:t>U</w:t>
      </w:r>
      <w:r w:rsidR="004F4FA9" w:rsidRPr="00D92E65">
        <w:t>nlike CWSR claddings,</w:t>
      </w:r>
      <w:r w:rsidR="000425FA" w:rsidRPr="00D92E65">
        <w:t xml:space="preserve"> </w:t>
      </w:r>
      <w:r w:rsidRPr="00D00273">
        <w:t xml:space="preserve">RX claddings </w:t>
      </w:r>
      <w:r w:rsidR="000425FA" w:rsidRPr="00D92E65">
        <w:t>have a relatively low strength prior to ir</w:t>
      </w:r>
      <w:r w:rsidR="000521F9" w:rsidRPr="00D92E65">
        <w:t>radiation</w:t>
      </w:r>
      <w:r w:rsidR="000425FA" w:rsidRPr="00D92E65">
        <w:t xml:space="preserve">; </w:t>
      </w:r>
      <w:r>
        <w:t>however, after irradiation and pickup of hydrogen resulting from corrosion</w:t>
      </w:r>
      <w:r w:rsidR="000425FA" w:rsidRPr="00D92E65">
        <w:t xml:space="preserve">, </w:t>
      </w:r>
      <w:r w:rsidR="00C631F6">
        <w:t xml:space="preserve">radiation </w:t>
      </w:r>
      <w:r w:rsidR="000425FA" w:rsidRPr="00D92E65">
        <w:t xml:space="preserve">hardening </w:t>
      </w:r>
      <w:r w:rsidR="00C631F6">
        <w:t xml:space="preserve">and hydrogen embrittlement </w:t>
      </w:r>
      <w:r w:rsidR="004F4FA9" w:rsidRPr="00D92E65">
        <w:t>cause both RX and CWSR claddings to have similar strengths</w:t>
      </w:r>
      <w:r>
        <w:t>.</w:t>
      </w:r>
      <w:r w:rsidR="004F4FA9" w:rsidRPr="00D92E65">
        <w:t xml:space="preserve"> </w:t>
      </w:r>
      <w:r>
        <w:t>A</w:t>
      </w:r>
      <w:r w:rsidR="00E00CB5" w:rsidRPr="00D92E65">
        <w:t xml:space="preserve">t room temperature, </w:t>
      </w:r>
      <w:r w:rsidR="00C631F6">
        <w:t xml:space="preserve">irradiated </w:t>
      </w:r>
      <w:r>
        <w:t xml:space="preserve">CWSR and RX cladding strengths can </w:t>
      </w:r>
      <w:r w:rsidR="004F4FA9" w:rsidRPr="00D92E65">
        <w:t xml:space="preserve">be significantly higher than the hydride </w:t>
      </w:r>
      <w:r>
        <w:t xml:space="preserve">fracture </w:t>
      </w:r>
      <w:r w:rsidR="000425FA" w:rsidRPr="00D92E65">
        <w:t>strength</w:t>
      </w:r>
      <w:r w:rsidR="004F4FA9" w:rsidRPr="00D92E65">
        <w:t xml:space="preserve">. In this case, a ductile to brittle transition </w:t>
      </w:r>
      <w:r w:rsidR="00C631F6">
        <w:t xml:space="preserve">(DBT) </w:t>
      </w:r>
      <w:r w:rsidR="004F4FA9" w:rsidRPr="00D92E65">
        <w:t xml:space="preserve">can be mapped out in claddings characterized by large </w:t>
      </w:r>
      <w:r w:rsidR="00C631F6">
        <w:t xml:space="preserve">enough </w:t>
      </w:r>
      <w:r w:rsidR="004F4FA9" w:rsidRPr="00D92E65">
        <w:t xml:space="preserve">RHCFs; this defines a temperature range between room temperature and the </w:t>
      </w:r>
      <w:r w:rsidR="00C631F6">
        <w:t>DBT</w:t>
      </w:r>
      <w:r w:rsidR="004F4FA9" w:rsidRPr="00D92E65">
        <w:t xml:space="preserve"> temperature where ductility </w:t>
      </w:r>
      <w:r w:rsidR="00D92E65">
        <w:t>is</w:t>
      </w:r>
      <w:r w:rsidR="004F4FA9" w:rsidRPr="00D92E65">
        <w:t xml:space="preserve"> low</w:t>
      </w:r>
      <w:r w:rsidR="00F82EF0">
        <w:t xml:space="preserve"> and</w:t>
      </w:r>
      <w:r w:rsidR="004F4FA9" w:rsidRPr="00D92E65">
        <w:t xml:space="preserve"> fracture</w:t>
      </w:r>
      <w:r w:rsidR="00E00CB5" w:rsidRPr="00D92E65">
        <w:t xml:space="preserve"> brittle</w:t>
      </w:r>
      <w:r w:rsidR="004F4FA9" w:rsidRPr="00D92E65">
        <w:t xml:space="preserve">.  </w:t>
      </w:r>
      <w:r>
        <w:t>However,</w:t>
      </w:r>
      <w:r w:rsidR="00B05BAF" w:rsidRPr="00D92E65">
        <w:t xml:space="preserve"> for RX claddings, </w:t>
      </w:r>
      <w:r>
        <w:t xml:space="preserve">if the peak cladding temperature and time at temperature of the </w:t>
      </w:r>
      <w:r w:rsidR="00350F83">
        <w:t xml:space="preserve">hydride </w:t>
      </w:r>
      <w:r>
        <w:t>reorientation treatment are both high and long enough, annealing of r</w:t>
      </w:r>
      <w:r w:rsidR="00B05BAF" w:rsidRPr="00D92E65">
        <w:t xml:space="preserve">adiation damage </w:t>
      </w:r>
      <w:r w:rsidR="00D92E65">
        <w:t>can</w:t>
      </w:r>
      <w:r w:rsidR="00D92E65" w:rsidRPr="00D92E65">
        <w:t xml:space="preserve"> </w:t>
      </w:r>
      <w:r w:rsidR="00B05BAF" w:rsidRPr="00D92E65">
        <w:t>restore the strength of the RX claddings</w:t>
      </w:r>
      <w:r w:rsidR="00D92E65">
        <w:t xml:space="preserve"> </w:t>
      </w:r>
      <w:r w:rsidR="00B05BAF" w:rsidRPr="00D92E65">
        <w:t>close</w:t>
      </w:r>
      <w:r w:rsidR="00D92E65">
        <w:t>r</w:t>
      </w:r>
      <w:r w:rsidR="00B05BAF" w:rsidRPr="00D92E65">
        <w:t xml:space="preserve"> to what it was before irradiation</w:t>
      </w:r>
      <w:r w:rsidR="00C631F6">
        <w:t>, i.e., much lower</w:t>
      </w:r>
      <w:r w:rsidR="00B05BAF" w:rsidRPr="00D92E65">
        <w:t xml:space="preserve">. </w:t>
      </w:r>
      <w:r w:rsidR="00C631F6">
        <w:t>B</w:t>
      </w:r>
      <w:r w:rsidR="00D92E65" w:rsidRPr="00D92E65">
        <w:t xml:space="preserve">rittle </w:t>
      </w:r>
      <w:r w:rsidR="00E37798" w:rsidRPr="00D92E65">
        <w:t xml:space="preserve">cracking </w:t>
      </w:r>
      <w:r w:rsidR="00B05BAF" w:rsidRPr="00D92E65">
        <w:t xml:space="preserve">could then be </w:t>
      </w:r>
      <w:r w:rsidR="00C631F6">
        <w:t>averted, even at room temperature for claddings whose hydrogen content is low enough, due</w:t>
      </w:r>
      <w:r w:rsidR="00E00CB5" w:rsidRPr="00D92E65">
        <w:t xml:space="preserve"> to</w:t>
      </w:r>
      <w:r w:rsidR="00E37798" w:rsidRPr="00D92E65">
        <w:t xml:space="preserve"> </w:t>
      </w:r>
      <w:r w:rsidR="00D92E65">
        <w:t>the</w:t>
      </w:r>
      <w:r w:rsidR="00C631F6">
        <w:t xml:space="preserve">ir </w:t>
      </w:r>
      <w:r w:rsidR="00B05BAF" w:rsidRPr="00D92E65">
        <w:t xml:space="preserve">strength </w:t>
      </w:r>
      <w:r w:rsidR="00D92E65" w:rsidRPr="00D00273">
        <w:t xml:space="preserve">being </w:t>
      </w:r>
      <w:r w:rsidR="00C631F6">
        <w:t xml:space="preserve">now </w:t>
      </w:r>
      <w:r w:rsidR="00D92E65">
        <w:t xml:space="preserve">significantly </w:t>
      </w:r>
      <w:r w:rsidR="00D92E65" w:rsidRPr="00D00273">
        <w:t>smaller</w:t>
      </w:r>
      <w:r w:rsidR="00C631F6">
        <w:t xml:space="preserve"> </w:t>
      </w:r>
      <w:r w:rsidR="00D92E65" w:rsidRPr="00D00273">
        <w:t>than the fracture strength of the hydrides</w:t>
      </w:r>
      <w:r w:rsidR="00C631F6">
        <w:t>.</w:t>
      </w:r>
      <w:r w:rsidR="00D92E65">
        <w:t xml:space="preserve"> </w:t>
      </w:r>
    </w:p>
    <w:p w14:paraId="35AE809F" w14:textId="69061485" w:rsidR="00B22A59" w:rsidRDefault="00B22A59" w:rsidP="00C631F6">
      <w:pPr>
        <w:pStyle w:val="Heading3"/>
        <w:numPr>
          <w:ilvl w:val="1"/>
          <w:numId w:val="12"/>
        </w:numPr>
      </w:pPr>
      <w:r>
        <w:t>BWR claddings</w:t>
      </w:r>
    </w:p>
    <w:p w14:paraId="0EAC8A9E" w14:textId="4C3E794C" w:rsidR="001572F7" w:rsidRDefault="00B22A59" w:rsidP="00BE736E">
      <w:pPr>
        <w:pStyle w:val="BodyText"/>
      </w:pPr>
      <w:r>
        <w:t xml:space="preserve">The preponderance of BWR cladding designs use an inner liner made of weakly alloyed zirconium. </w:t>
      </w:r>
      <w:r w:rsidRPr="00BE736E">
        <w:t>Such designs are not susceptible to hydride reorientation because cooling rates, typically &lt;</w:t>
      </w:r>
      <w:r w:rsidR="00EB3F71">
        <w:t>3</w:t>
      </w:r>
      <w:r w:rsidR="00EB3F71" w:rsidRPr="00BE736E">
        <w:t>x10</w:t>
      </w:r>
      <w:r w:rsidRPr="00BE736E">
        <w:rPr>
          <w:vertAlign w:val="superscript"/>
        </w:rPr>
        <w:t>-</w:t>
      </w:r>
      <w:r w:rsidR="00BE736E" w:rsidRPr="00BE736E">
        <w:rPr>
          <w:vertAlign w:val="superscript"/>
        </w:rPr>
        <w:t>3</w:t>
      </w:r>
      <w:r w:rsidR="00BE736E" w:rsidRPr="00BE736E">
        <w:t xml:space="preserve"> </w:t>
      </w:r>
      <w:r w:rsidRPr="00BE736E">
        <w:t>°</w:t>
      </w:r>
      <w:r w:rsidR="00BE736E" w:rsidRPr="00BE736E">
        <w:t>C</w:t>
      </w:r>
      <w:r w:rsidR="00D219DD">
        <w:t>/</w:t>
      </w:r>
      <w:r w:rsidR="00EB3F71">
        <w:t>h</w:t>
      </w:r>
      <w:r w:rsidR="00BE736E">
        <w:t xml:space="preserve"> during dry storage, </w:t>
      </w:r>
      <w:r w:rsidR="00D1385A">
        <w:t>enable</w:t>
      </w:r>
      <w:r w:rsidR="00BE736E">
        <w:t xml:space="preserve"> diffusion of hydrogen out of the cladding alloy matrix (typically, Zircaloy-2) and segregation </w:t>
      </w:r>
      <w:r w:rsidR="00D1385A">
        <w:t xml:space="preserve">of the hydrogen </w:t>
      </w:r>
      <w:r w:rsidR="00BE736E">
        <w:t xml:space="preserve">in the inner liner </w:t>
      </w:r>
      <w:r w:rsidR="00A15123">
        <w:t>as a result of the lower solubility of hydrogen in the inner liner compared to that of the alloy matrix [</w:t>
      </w:r>
      <w:r w:rsidR="005A2216">
        <w:t>14</w:t>
      </w:r>
      <w:r w:rsidR="00A15123">
        <w:t>]</w:t>
      </w:r>
      <w:r w:rsidR="00BE736E">
        <w:t>.</w:t>
      </w:r>
      <w:r w:rsidR="004171C3">
        <w:t xml:space="preserve"> It should also be noted that duplex PWR claddings with outer corrosion-resistant layers would be expected to offer the same protection against hydride reorientation in the meat of the cladding alloy (typically, Zircaloy-4)</w:t>
      </w:r>
      <w:r w:rsidR="00C03178">
        <w:t xml:space="preserve">. </w:t>
      </w:r>
      <w:r w:rsidR="00C03178" w:rsidRPr="009A462F">
        <w:t>Barberis et al. concluded from thermodynamics computations that the H chemical potential of Zr alloys increases with Sn</w:t>
      </w:r>
      <w:r w:rsidR="009A462F">
        <w:t xml:space="preserve"> [15]</w:t>
      </w:r>
      <w:r w:rsidR="00C03178" w:rsidRPr="009A462F">
        <w:t>. This means that H tends to migrate from high</w:t>
      </w:r>
      <w:r w:rsidR="009A462F">
        <w:t>er hydrogen solubility regions (Zircaloy-2 or -4)</w:t>
      </w:r>
      <w:r w:rsidR="00C03178" w:rsidRPr="009A462F">
        <w:t xml:space="preserve"> toward low</w:t>
      </w:r>
      <w:r w:rsidR="009A462F">
        <w:t>er</w:t>
      </w:r>
      <w:r w:rsidR="00C03178" w:rsidRPr="009A462F">
        <w:t xml:space="preserve"> </w:t>
      </w:r>
      <w:r w:rsidR="009A462F">
        <w:t xml:space="preserve">hydrogen solubility </w:t>
      </w:r>
      <w:r w:rsidR="00C03178" w:rsidRPr="009A462F">
        <w:t xml:space="preserve">regions </w:t>
      </w:r>
      <w:r w:rsidR="009A462F">
        <w:t>(weakly alloyed Zr in BWR liner or Sn-free corrosion-resistant in PWR outer liner) because of the differences in</w:t>
      </w:r>
      <w:r w:rsidR="009A462F" w:rsidRPr="009A462F">
        <w:t xml:space="preserve"> </w:t>
      </w:r>
      <w:r w:rsidR="00BC2862">
        <w:t xml:space="preserve">hydrogen </w:t>
      </w:r>
      <w:r w:rsidR="00C03178" w:rsidRPr="009A462F">
        <w:t>equilibrium</w:t>
      </w:r>
      <w:r w:rsidR="009A462F">
        <w:t xml:space="preserve"> </w:t>
      </w:r>
      <w:r w:rsidR="00C03178" w:rsidRPr="009A462F">
        <w:t>concentration.</w:t>
      </w:r>
    </w:p>
    <w:p w14:paraId="2DC64F69" w14:textId="2F5AB854" w:rsidR="004044AF" w:rsidRDefault="001572F7" w:rsidP="00BE736E">
      <w:pPr>
        <w:pStyle w:val="BodyText"/>
      </w:pPr>
      <w:r>
        <w:t xml:space="preserve">BWR cladding designs with no inner liner </w:t>
      </w:r>
      <w:r w:rsidR="00BE65FA">
        <w:t xml:space="preserve">should be considered highly susceptible to hydride orientation </w:t>
      </w:r>
      <w:r w:rsidR="008655C4">
        <w:t xml:space="preserve">when they </w:t>
      </w:r>
      <w:r w:rsidR="009F5E5E">
        <w:t>use</w:t>
      </w:r>
      <w:r w:rsidR="008655C4">
        <w:t xml:space="preserve"> RX Zircaloy-2</w:t>
      </w:r>
      <w:r w:rsidR="00804318">
        <w:t>.</w:t>
      </w:r>
      <w:r w:rsidR="009F5E5E" w:rsidRPr="004F177C">
        <w:t xml:space="preserve"> </w:t>
      </w:r>
      <w:r w:rsidR="009F5E5E">
        <w:t xml:space="preserve">This is reflected in the </w:t>
      </w:r>
      <w:r w:rsidR="009F5E5E" w:rsidRPr="004F177C">
        <w:t>JNES recommendations [</w:t>
      </w:r>
      <w:r w:rsidR="00804318" w:rsidRPr="004F177C">
        <w:t>1</w:t>
      </w:r>
      <w:r w:rsidR="005A2216">
        <w:t>6</w:t>
      </w:r>
      <w:r w:rsidR="009F5E5E" w:rsidRPr="004F177C">
        <w:t>]</w:t>
      </w:r>
      <w:r w:rsidR="009F5E5E">
        <w:t>.</w:t>
      </w:r>
      <w:r w:rsidR="009F5E5E" w:rsidRPr="004F177C">
        <w:t xml:space="preserve"> </w:t>
      </w:r>
      <w:r w:rsidR="009F5E5E">
        <w:t xml:space="preserve">The latter </w:t>
      </w:r>
      <w:r w:rsidR="005A2216">
        <w:t>recommend</w:t>
      </w:r>
      <w:r w:rsidR="005A2216" w:rsidRPr="004F177C">
        <w:t xml:space="preserve"> </w:t>
      </w:r>
      <w:r w:rsidR="009F5E5E" w:rsidRPr="004F177C">
        <w:t xml:space="preserve">maximum (peak) cladding temperature </w:t>
      </w:r>
      <w:r w:rsidR="009F5E5E" w:rsidRPr="00DC62E9">
        <w:rPr>
          <w:rFonts w:ascii="Symbol" w:hAnsi="Symbol"/>
          <w:lang w:val="en-US" w:eastAsia="en-GB"/>
        </w:rPr>
        <w:t></w:t>
      </w:r>
      <w:r w:rsidR="009F5E5E" w:rsidRPr="00DC62E9">
        <w:rPr>
          <w:rFonts w:ascii="Symbol" w:hAnsi="Symbol"/>
        </w:rPr>
        <w:t></w:t>
      </w:r>
      <w:r w:rsidR="009F5E5E" w:rsidRPr="004F177C">
        <w:t xml:space="preserve">200 °C and hoop stress </w:t>
      </w:r>
      <w:r w:rsidR="009F5E5E" w:rsidRPr="00DC62E9">
        <w:rPr>
          <w:rFonts w:ascii="Symbol" w:hAnsi="Symbol" w:cs="Symbol"/>
          <w:lang w:val="en-US" w:eastAsia="en-GB"/>
        </w:rPr>
        <w:t></w:t>
      </w:r>
      <w:r w:rsidR="009F5E5E">
        <w:t xml:space="preserve"> </w:t>
      </w:r>
      <w:r w:rsidR="009F5E5E" w:rsidRPr="004F177C">
        <w:t>70 MPa</w:t>
      </w:r>
      <w:r w:rsidR="009F5E5E" w:rsidRPr="004F177C">
        <w:rPr>
          <w:lang w:val="en-US"/>
        </w:rPr>
        <w:t xml:space="preserve"> </w:t>
      </w:r>
      <w:r w:rsidR="00F82EF0">
        <w:rPr>
          <w:lang w:val="en-US"/>
        </w:rPr>
        <w:t xml:space="preserve">in order </w:t>
      </w:r>
      <w:r w:rsidR="009F5E5E" w:rsidRPr="004F177C">
        <w:rPr>
          <w:lang w:val="en-US"/>
        </w:rPr>
        <w:t xml:space="preserve">to rule out </w:t>
      </w:r>
      <w:r w:rsidR="009F5E5E" w:rsidRPr="004F177C">
        <w:t xml:space="preserve">ductility degradation due to hydride reorientation for BWR RX Zircaloy-2 with no inner liner. </w:t>
      </w:r>
      <w:r w:rsidR="009F5E5E">
        <w:t xml:space="preserve">The limiting temperature of </w:t>
      </w:r>
      <w:r w:rsidR="009F5E5E" w:rsidRPr="004F177C">
        <w:t>200 °C</w:t>
      </w:r>
      <w:r w:rsidR="009F5E5E">
        <w:t xml:space="preserve"> limits dissolution </w:t>
      </w:r>
      <w:r w:rsidR="00B20992">
        <w:t xml:space="preserve">(and therefore potential reorientation) </w:t>
      </w:r>
      <w:r w:rsidR="009F5E5E">
        <w:t xml:space="preserve">of the hydrides to </w:t>
      </w:r>
      <w:r w:rsidR="00DA2BF5">
        <w:t>less than 20 wppm</w:t>
      </w:r>
      <w:r w:rsidR="00B20992">
        <w:t>. The 70</w:t>
      </w:r>
      <w:r w:rsidR="0069714A">
        <w:t>-</w:t>
      </w:r>
      <w:r w:rsidR="00B20992">
        <w:t>MPa</w:t>
      </w:r>
      <w:r w:rsidR="0069714A">
        <w:t xml:space="preserve"> hoop stress limit</w:t>
      </w:r>
      <w:r w:rsidR="00B20992">
        <w:t xml:space="preserve"> </w:t>
      </w:r>
      <w:r w:rsidR="0069714A">
        <w:t xml:space="preserve">was extracted </w:t>
      </w:r>
      <w:r w:rsidR="00B20992">
        <w:t>from Aomi et al.</w:t>
      </w:r>
      <w:r w:rsidR="0069714A">
        <w:t>’s</w:t>
      </w:r>
      <w:r w:rsidR="00B20992">
        <w:t xml:space="preserve"> </w:t>
      </w:r>
      <w:r w:rsidR="00BC2862">
        <w:t xml:space="preserve">data </w:t>
      </w:r>
      <w:r w:rsidR="00B20992">
        <w:t>[</w:t>
      </w:r>
      <w:r w:rsidR="00804318">
        <w:t>1</w:t>
      </w:r>
      <w:r w:rsidR="005A2216">
        <w:t>7</w:t>
      </w:r>
      <w:r w:rsidR="00B20992">
        <w:t xml:space="preserve">] showing that a </w:t>
      </w:r>
      <w:r w:rsidR="00EB3F71">
        <w:t xml:space="preserve">hydride </w:t>
      </w:r>
      <w:r w:rsidR="00B20992">
        <w:t xml:space="preserve">reorientation treatment consisting of heating at </w:t>
      </w:r>
      <w:r w:rsidR="00767F5A">
        <w:t>25</w:t>
      </w:r>
      <w:r w:rsidR="00B20992">
        <w:t>0</w:t>
      </w:r>
      <w:r w:rsidR="009F5E5E">
        <w:t xml:space="preserve"> </w:t>
      </w:r>
      <w:r w:rsidR="00B20992" w:rsidRPr="004F177C">
        <w:t>°C</w:t>
      </w:r>
      <w:r w:rsidR="00B20992">
        <w:t xml:space="preserve"> following by cooling under a</w:t>
      </w:r>
      <w:r w:rsidR="0069714A">
        <w:t xml:space="preserve"> </w:t>
      </w:r>
      <w:r w:rsidR="00767F5A">
        <w:t>constant</w:t>
      </w:r>
      <w:r w:rsidR="00B20992">
        <w:t xml:space="preserve"> hoop stress equal to 70 MPa at a cooling rate of </w:t>
      </w:r>
      <w:r w:rsidR="0069714A">
        <w:t xml:space="preserve">30 </w:t>
      </w:r>
      <w:r w:rsidR="0069714A" w:rsidRPr="004F177C">
        <w:t>°C</w:t>
      </w:r>
      <w:r w:rsidR="0069714A">
        <w:t xml:space="preserve">/h </w:t>
      </w:r>
      <w:r w:rsidR="00B20992">
        <w:t xml:space="preserve">did not result in a </w:t>
      </w:r>
      <w:r w:rsidR="0069714A">
        <w:t>change of</w:t>
      </w:r>
      <w:r w:rsidR="00B20992">
        <w:t xml:space="preserve"> the Zircaloy-2 ductility.</w:t>
      </w:r>
    </w:p>
    <w:p w14:paraId="73E3B6D4" w14:textId="247E5BB1" w:rsidR="00D00A29" w:rsidRDefault="00D00A29" w:rsidP="00403295">
      <w:pPr>
        <w:pStyle w:val="Heading3"/>
        <w:numPr>
          <w:ilvl w:val="1"/>
          <w:numId w:val="12"/>
        </w:numPr>
      </w:pPr>
      <w:r>
        <w:t>PWR claddings</w:t>
      </w:r>
    </w:p>
    <w:p w14:paraId="53CF7454" w14:textId="204CFE04" w:rsidR="00D1385A" w:rsidRPr="00D1385A" w:rsidRDefault="00D1385A" w:rsidP="00D1385A">
      <w:pPr>
        <w:pStyle w:val="BodyText"/>
      </w:pPr>
      <w:r>
        <w:t>PWR claddings include designs consisting of CWSR alloys and more recent designs consisting of recrystallized (RX) or partially recrystallized (pRX) alloys. These two classes of designs have different microstructure and will be considered separately.</w:t>
      </w:r>
    </w:p>
    <w:p w14:paraId="104549A5" w14:textId="77777777" w:rsidR="007128F0" w:rsidRDefault="007128F0">
      <w:pPr>
        <w:overflowPunct/>
        <w:autoSpaceDE/>
        <w:autoSpaceDN/>
        <w:adjustRightInd/>
        <w:textAlignment w:val="auto"/>
        <w:rPr>
          <w:i/>
          <w:sz w:val="20"/>
          <w:lang w:val="en-US"/>
        </w:rPr>
      </w:pPr>
      <w:r>
        <w:br w:type="page"/>
      </w:r>
    </w:p>
    <w:p w14:paraId="5956BF35" w14:textId="232652DA" w:rsidR="0099308D" w:rsidRDefault="0099308D" w:rsidP="00403295">
      <w:pPr>
        <w:pStyle w:val="Heading4"/>
        <w:numPr>
          <w:ilvl w:val="2"/>
          <w:numId w:val="12"/>
        </w:numPr>
      </w:pPr>
      <w:r>
        <w:lastRenderedPageBreak/>
        <w:t>CWSR claddings</w:t>
      </w:r>
    </w:p>
    <w:p w14:paraId="746FA710" w14:textId="202B1813" w:rsidR="004518FC" w:rsidRDefault="00A15123" w:rsidP="00185812">
      <w:pPr>
        <w:pStyle w:val="BodyText"/>
      </w:pPr>
      <w:r>
        <w:t xml:space="preserve">Several </w:t>
      </w:r>
      <w:r w:rsidR="00D00A29">
        <w:t xml:space="preserve">of the previous investigations </w:t>
      </w:r>
      <w:r w:rsidR="0099308D">
        <w:t xml:space="preserve">on irradiated PWR claddings </w:t>
      </w:r>
      <w:r w:rsidR="00D00A29">
        <w:t>ha</w:t>
      </w:r>
      <w:r w:rsidR="00332B37">
        <w:t>ve</w:t>
      </w:r>
      <w:r w:rsidR="00D00A29">
        <w:t xml:space="preserve"> focused on CWSR Zircaloy-4 and ZIRLO</w:t>
      </w:r>
      <w:r w:rsidR="00D00A29" w:rsidRPr="00D00A29">
        <w:rPr>
          <w:vertAlign w:val="superscript"/>
        </w:rPr>
        <w:t>TM</w:t>
      </w:r>
      <w:r w:rsidR="00D00A29">
        <w:t xml:space="preserve">. </w:t>
      </w:r>
      <w:r w:rsidR="001F6CF4">
        <w:t>A recent publication by J.M. Lee et al. [</w:t>
      </w:r>
      <w:r w:rsidR="00751BE5">
        <w:t>18</w:t>
      </w:r>
      <w:r w:rsidR="001F6CF4">
        <w:t>] help</w:t>
      </w:r>
      <w:r w:rsidR="00D00A29">
        <w:t>s</w:t>
      </w:r>
      <w:r w:rsidR="001F6CF4">
        <w:t xml:space="preserve"> in </w:t>
      </w:r>
      <w:r w:rsidR="00E47BAD">
        <w:t>connecting</w:t>
      </w:r>
      <w:r w:rsidR="004518FC">
        <w:t xml:space="preserve"> </w:t>
      </w:r>
      <w:r w:rsidR="001F6CF4">
        <w:t xml:space="preserve">results from past investigations. The results from </w:t>
      </w:r>
      <w:r w:rsidR="0037290B">
        <w:t>Lee et al.</w:t>
      </w:r>
      <w:r w:rsidR="001F6CF4">
        <w:t xml:space="preserve"> obtained </w:t>
      </w:r>
      <w:r w:rsidR="0037290B">
        <w:t>on</w:t>
      </w:r>
      <w:r w:rsidR="0099308D">
        <w:t xml:space="preserve"> unirradiated</w:t>
      </w:r>
      <w:r w:rsidR="0037290B">
        <w:t xml:space="preserve"> </w:t>
      </w:r>
      <w:r w:rsidR="00332B37">
        <w:t>CWSR</w:t>
      </w:r>
      <w:r w:rsidR="001F6CF4">
        <w:t xml:space="preserve"> Zircaloy-4 </w:t>
      </w:r>
      <w:r w:rsidR="004518FC">
        <w:t xml:space="preserve">cladding tube </w:t>
      </w:r>
      <w:r w:rsidR="001F6CF4">
        <w:t>are illustrated in Fig. 6.</w:t>
      </w:r>
      <w:r w:rsidR="004518FC">
        <w:t xml:space="preserve"> Shown are the effects of </w:t>
      </w:r>
      <w:r w:rsidR="00D1385A">
        <w:t xml:space="preserve">peak cladding </w:t>
      </w:r>
      <w:r w:rsidR="004518FC">
        <w:t>temperature and concentration of hydrogen in solid solution</w:t>
      </w:r>
      <w:r w:rsidR="0037290B">
        <w:t>, C</w:t>
      </w:r>
      <w:r w:rsidR="0037290B" w:rsidRPr="0037290B">
        <w:rPr>
          <w:vertAlign w:val="subscript"/>
        </w:rPr>
        <w:t>ss</w:t>
      </w:r>
      <w:r w:rsidR="00365E31">
        <w:t xml:space="preserve">, </w:t>
      </w:r>
      <w:r>
        <w:t>on reorientation threshold stress and RHCF</w:t>
      </w:r>
      <w:r w:rsidR="0065472D">
        <w:t>. The following qualitative behaviours are shown:</w:t>
      </w:r>
    </w:p>
    <w:p w14:paraId="3F470789" w14:textId="3047535D" w:rsidR="004518FC" w:rsidRPr="0037290B" w:rsidRDefault="0065472D" w:rsidP="004518FC">
      <w:pPr>
        <w:pStyle w:val="ListEmdash"/>
        <w:ind w:left="821"/>
        <w:rPr>
          <w:lang w:val="en-US"/>
        </w:rPr>
      </w:pPr>
      <w:r>
        <w:rPr>
          <w:lang w:val="en-US"/>
        </w:rPr>
        <w:t>At</w:t>
      </w:r>
      <w:r w:rsidR="004518FC">
        <w:rPr>
          <w:lang w:val="en-US"/>
        </w:rPr>
        <w:t xml:space="preserve"> a given peak cladding temperature, the </w:t>
      </w:r>
      <w:r w:rsidR="0037290B">
        <w:rPr>
          <w:lang w:val="en-US"/>
        </w:rPr>
        <w:t>threshold</w:t>
      </w:r>
      <w:r w:rsidR="004518FC">
        <w:rPr>
          <w:lang w:val="en-US"/>
        </w:rPr>
        <w:t xml:space="preserve"> reorientation stress is at a minimum for </w:t>
      </w:r>
      <w:r w:rsidR="0037290B">
        <w:t>C</w:t>
      </w:r>
      <w:r w:rsidR="0037290B" w:rsidRPr="0037290B">
        <w:rPr>
          <w:vertAlign w:val="subscript"/>
        </w:rPr>
        <w:t>ss</w:t>
      </w:r>
      <w:r w:rsidR="0037290B">
        <w:rPr>
          <w:vertAlign w:val="subscript"/>
        </w:rPr>
        <w:t xml:space="preserve"> </w:t>
      </w:r>
      <w:r w:rsidR="0037290B" w:rsidRPr="0037290B">
        <w:t>= TSSD</w:t>
      </w:r>
      <w:r w:rsidR="0037290B">
        <w:t>;</w:t>
      </w:r>
      <w:r w:rsidR="00EB3F71">
        <w:t xml:space="preserve"> at 350 </w:t>
      </w:r>
      <w:r w:rsidR="00EB3F71" w:rsidRPr="00FD400E">
        <w:t>°</w:t>
      </w:r>
      <w:r w:rsidR="00EB3F71" w:rsidRPr="00D95C25">
        <w:t>C</w:t>
      </w:r>
      <w:r w:rsidR="00EB3F71">
        <w:t xml:space="preserve"> and </w:t>
      </w:r>
      <w:r w:rsidR="00EB3F71" w:rsidRPr="00D95C25">
        <w:t xml:space="preserve">400 </w:t>
      </w:r>
      <w:r w:rsidR="00EB3F71" w:rsidRPr="00FD400E">
        <w:t>°</w:t>
      </w:r>
      <w:r w:rsidR="00EB3F71" w:rsidRPr="00D95C25">
        <w:t>C</w:t>
      </w:r>
      <w:r w:rsidR="00EB3F71">
        <w:t>, the TSSD is equal to ~</w:t>
      </w:r>
      <w:r w:rsidR="009D414E">
        <w:t>132 wppm</w:t>
      </w:r>
      <w:r w:rsidR="00EB3F71">
        <w:t xml:space="preserve"> and </w:t>
      </w:r>
      <w:r w:rsidR="009D414E">
        <w:t>~</w:t>
      </w:r>
      <w:r w:rsidR="00EB3F71">
        <w:t>210 wppm</w:t>
      </w:r>
      <w:r w:rsidR="009D414E">
        <w:t>, respectively [</w:t>
      </w:r>
      <w:r w:rsidR="00751BE5">
        <w:t>19</w:t>
      </w:r>
      <w:r w:rsidR="009D414E">
        <w:t>].</w:t>
      </w:r>
      <w:r w:rsidR="00EB3F71">
        <w:t xml:space="preserve"> </w:t>
      </w:r>
      <w:r w:rsidR="009D414E">
        <w:t xml:space="preserve">The threshold </w:t>
      </w:r>
      <w:r w:rsidR="0037290B">
        <w:t>increases monotonically as C</w:t>
      </w:r>
      <w:r w:rsidR="0037290B" w:rsidRPr="0037290B">
        <w:rPr>
          <w:vertAlign w:val="subscript"/>
        </w:rPr>
        <w:t>ss</w:t>
      </w:r>
      <w:r w:rsidR="0037290B">
        <w:rPr>
          <w:vertAlign w:val="subscript"/>
        </w:rPr>
        <w:t xml:space="preserve"> </w:t>
      </w:r>
      <w:r w:rsidR="0037290B" w:rsidRPr="0037290B">
        <w:t xml:space="preserve">decreases </w:t>
      </w:r>
      <w:r w:rsidR="0037290B">
        <w:rPr>
          <w:lang w:val="en-US"/>
        </w:rPr>
        <w:t xml:space="preserve">when </w:t>
      </w:r>
      <w:r w:rsidR="0037290B">
        <w:t>C</w:t>
      </w:r>
      <w:r w:rsidR="0037290B" w:rsidRPr="0037290B">
        <w:rPr>
          <w:vertAlign w:val="subscript"/>
        </w:rPr>
        <w:t>ss</w:t>
      </w:r>
      <w:r w:rsidR="0037290B">
        <w:rPr>
          <w:vertAlign w:val="subscript"/>
        </w:rPr>
        <w:t xml:space="preserve"> </w:t>
      </w:r>
      <w:r w:rsidR="0037290B" w:rsidRPr="0037290B">
        <w:t xml:space="preserve">is &lt; TSSD; </w:t>
      </w:r>
      <w:r w:rsidR="00A15123">
        <w:t>it</w:t>
      </w:r>
      <w:r w:rsidR="0037290B" w:rsidRPr="0037290B">
        <w:t xml:space="preserve"> increases </w:t>
      </w:r>
      <w:r w:rsidR="0037290B">
        <w:t xml:space="preserve">first </w:t>
      </w:r>
      <w:r w:rsidR="0037290B" w:rsidRPr="0037290B">
        <w:t xml:space="preserve">and </w:t>
      </w:r>
      <w:r w:rsidR="0037290B">
        <w:t xml:space="preserve">then </w:t>
      </w:r>
      <w:r w:rsidR="0037290B" w:rsidRPr="0037290B">
        <w:t>tend</w:t>
      </w:r>
      <w:r w:rsidR="0037290B">
        <w:t>s</w:t>
      </w:r>
      <w:r w:rsidR="0037290B" w:rsidRPr="0037290B">
        <w:t xml:space="preserve"> to level off</w:t>
      </w:r>
      <w:r w:rsidR="00857406">
        <w:t xml:space="preserve"> </w:t>
      </w:r>
      <w:r w:rsidR="0037290B" w:rsidRPr="0037290B">
        <w:t>when C</w:t>
      </w:r>
      <w:r w:rsidR="0037290B" w:rsidRPr="00332B37">
        <w:rPr>
          <w:vertAlign w:val="subscript"/>
        </w:rPr>
        <w:t>ss</w:t>
      </w:r>
      <w:r w:rsidR="0037290B" w:rsidRPr="0037290B">
        <w:t xml:space="preserve"> increases</w:t>
      </w:r>
      <w:r w:rsidR="0037290B">
        <w:rPr>
          <w:vertAlign w:val="subscript"/>
        </w:rPr>
        <w:t xml:space="preserve"> </w:t>
      </w:r>
      <w:r w:rsidR="0037290B" w:rsidRPr="0037290B">
        <w:t>when</w:t>
      </w:r>
      <w:r w:rsidR="0037290B">
        <w:rPr>
          <w:vertAlign w:val="subscript"/>
        </w:rPr>
        <w:t xml:space="preserve"> </w:t>
      </w:r>
      <w:r w:rsidR="0037290B">
        <w:t>C</w:t>
      </w:r>
      <w:r w:rsidR="0037290B" w:rsidRPr="0037290B">
        <w:rPr>
          <w:vertAlign w:val="subscript"/>
        </w:rPr>
        <w:t>ss</w:t>
      </w:r>
      <w:r w:rsidR="0037290B">
        <w:rPr>
          <w:vertAlign w:val="subscript"/>
        </w:rPr>
        <w:t xml:space="preserve"> </w:t>
      </w:r>
      <w:r w:rsidR="0037290B">
        <w:rPr>
          <w:lang w:val="en-US"/>
        </w:rPr>
        <w:t>is &gt; TSSD.</w:t>
      </w:r>
    </w:p>
    <w:p w14:paraId="22F8DB74" w14:textId="269757BB" w:rsidR="004518FC" w:rsidRPr="00E47BAD" w:rsidRDefault="0037290B" w:rsidP="004518FC">
      <w:pPr>
        <w:pStyle w:val="ListEmdash"/>
        <w:ind w:left="821"/>
      </w:pPr>
      <w:r>
        <w:rPr>
          <w:lang w:val="en-US"/>
        </w:rPr>
        <w:t>The threshold stress decreases when the peak cladding temperature increases.</w:t>
      </w:r>
    </w:p>
    <w:p w14:paraId="4007ABF6" w14:textId="47584074" w:rsidR="004518FC" w:rsidRDefault="0037290B" w:rsidP="00857406">
      <w:pPr>
        <w:pStyle w:val="BodyText"/>
        <w:rPr>
          <w:lang w:val="en-US"/>
        </w:rPr>
      </w:pPr>
      <w:r w:rsidRPr="00434B1C">
        <w:t xml:space="preserve">Also plotted is </w:t>
      </w:r>
      <w:r w:rsidR="00332B37">
        <w:t>the Radial Hydride Continuity Factor, or RHCF</w:t>
      </w:r>
      <w:r w:rsidRPr="00434B1C">
        <w:t xml:space="preserve">, as </w:t>
      </w:r>
      <w:r w:rsidR="0065472D">
        <w:t>determined</w:t>
      </w:r>
      <w:r w:rsidRPr="00434B1C">
        <w:t xml:space="preserve"> </w:t>
      </w:r>
      <w:r w:rsidR="0065472D">
        <w:t>on</w:t>
      </w:r>
      <w:r w:rsidRPr="00434B1C">
        <w:t xml:space="preserve"> etch</w:t>
      </w:r>
      <w:r w:rsidR="0065472D">
        <w:t>ed cross sections of</w:t>
      </w:r>
      <w:r w:rsidRPr="00434B1C">
        <w:t xml:space="preserve"> the cladding</w:t>
      </w:r>
      <w:r w:rsidR="00332B37">
        <w:t xml:space="preserve"> </w:t>
      </w:r>
      <w:r w:rsidR="0065472D">
        <w:t xml:space="preserve">specimens after hydride reorientation </w:t>
      </w:r>
      <w:r w:rsidR="002376A6">
        <w:t>t</w:t>
      </w:r>
      <w:r w:rsidR="0065472D">
        <w:t>reatment</w:t>
      </w:r>
      <w:r w:rsidR="00332B37">
        <w:t>.</w:t>
      </w:r>
    </w:p>
    <w:p w14:paraId="0B6C760C" w14:textId="0FE58930" w:rsidR="000E3BAB" w:rsidRDefault="00332B37" w:rsidP="000E3BAB">
      <w:pPr>
        <w:pStyle w:val="ListEmdash"/>
        <w:ind w:left="821"/>
        <w:rPr>
          <w:lang w:val="en-US"/>
        </w:rPr>
      </w:pPr>
      <w:r w:rsidRPr="00020EC9">
        <w:rPr>
          <w:lang w:val="en-US"/>
        </w:rPr>
        <w:t>The</w:t>
      </w:r>
      <w:r w:rsidR="00857406" w:rsidRPr="00020EC9">
        <w:rPr>
          <w:lang w:val="en-US"/>
        </w:rPr>
        <w:t xml:space="preserve"> RHCF </w:t>
      </w:r>
      <w:r w:rsidRPr="00020EC9">
        <w:rPr>
          <w:lang w:val="en-US"/>
        </w:rPr>
        <w:t xml:space="preserve">data </w:t>
      </w:r>
      <w:r w:rsidR="00857406" w:rsidRPr="00020EC9">
        <w:rPr>
          <w:lang w:val="en-US"/>
        </w:rPr>
        <w:t xml:space="preserve">show the opposite trends </w:t>
      </w:r>
      <w:r w:rsidRPr="00020EC9">
        <w:rPr>
          <w:lang w:val="en-US"/>
        </w:rPr>
        <w:t xml:space="preserve">as a function of </w:t>
      </w:r>
      <w:r w:rsidR="00857406" w:rsidRPr="00020EC9">
        <w:rPr>
          <w:lang w:val="en-US"/>
        </w:rPr>
        <w:t>C</w:t>
      </w:r>
      <w:r w:rsidR="00857406" w:rsidRPr="00655A12">
        <w:rPr>
          <w:vertAlign w:val="subscript"/>
          <w:lang w:val="en-US"/>
        </w:rPr>
        <w:t>ss</w:t>
      </w:r>
      <w:r w:rsidR="00831951" w:rsidRPr="00020EC9">
        <w:rPr>
          <w:lang w:val="en-US"/>
        </w:rPr>
        <w:t xml:space="preserve"> compared to the reorientation threshold stress</w:t>
      </w:r>
      <w:r w:rsidRPr="00020EC9">
        <w:rPr>
          <w:lang w:val="en-US"/>
        </w:rPr>
        <w:t>.</w:t>
      </w:r>
    </w:p>
    <w:p w14:paraId="06C44CA3" w14:textId="77777777" w:rsidR="000E3BAB" w:rsidRPr="000E3BAB" w:rsidRDefault="000E3BAB" w:rsidP="000E3BAB">
      <w:pPr>
        <w:pStyle w:val="ListEmdash"/>
        <w:numPr>
          <w:ilvl w:val="0"/>
          <w:numId w:val="0"/>
        </w:numPr>
        <w:ind w:left="1287" w:hanging="360"/>
        <w:rPr>
          <w:lang w:val="en-US"/>
        </w:rPr>
      </w:pPr>
    </w:p>
    <w:p w14:paraId="52579C63" w14:textId="77777777" w:rsidR="00A73D73" w:rsidRDefault="00A73D73" w:rsidP="00020EC9">
      <w:pPr>
        <w:pStyle w:val="ListEmdash"/>
        <w:ind w:left="360" w:firstLine="0"/>
        <w:jc w:val="right"/>
      </w:pPr>
      <w:r>
        <w:rPr>
          <w:noProof/>
        </w:rPr>
        <w:drawing>
          <wp:inline distT="0" distB="0" distL="0" distR="0" wp14:anchorId="016938D1" wp14:editId="3CB56A71">
            <wp:extent cx="5732145" cy="453771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4537710"/>
                    </a:xfrm>
                    <a:prstGeom prst="rect">
                      <a:avLst/>
                    </a:prstGeom>
                    <a:noFill/>
                    <a:ln>
                      <a:noFill/>
                    </a:ln>
                  </pic:spPr>
                </pic:pic>
              </a:graphicData>
            </a:graphic>
          </wp:inline>
        </w:drawing>
      </w:r>
      <w:r>
        <w:t xml:space="preserve">  </w:t>
      </w:r>
    </w:p>
    <w:p w14:paraId="06175165" w14:textId="77777777" w:rsidR="00A73D73" w:rsidRDefault="00A73D73" w:rsidP="00A73D73">
      <w:pPr>
        <w:pStyle w:val="BodyText"/>
        <w:ind w:left="360" w:firstLine="0"/>
        <w:rPr>
          <w:i/>
          <w:sz w:val="18"/>
          <w:szCs w:val="18"/>
          <w:lang w:val="en-US" w:eastAsia="en-GB"/>
        </w:rPr>
      </w:pPr>
    </w:p>
    <w:p w14:paraId="479A317C" w14:textId="6534205A" w:rsidR="00A73D73" w:rsidRDefault="00A73D73" w:rsidP="00A73D73">
      <w:pPr>
        <w:pStyle w:val="BodyText"/>
        <w:ind w:left="360" w:firstLine="0"/>
        <w:jc w:val="center"/>
        <w:rPr>
          <w:i/>
          <w:sz w:val="18"/>
          <w:szCs w:val="18"/>
          <w:lang w:val="en-US" w:eastAsia="en-GB"/>
        </w:rPr>
      </w:pPr>
      <w:r w:rsidRPr="00763770">
        <w:rPr>
          <w:i/>
          <w:sz w:val="18"/>
          <w:szCs w:val="18"/>
          <w:lang w:val="en-US" w:eastAsia="en-GB"/>
        </w:rPr>
        <w:t xml:space="preserve">FIG. 6: Hydrogen concentration-dependent threshold stress </w:t>
      </w:r>
      <w:r>
        <w:rPr>
          <w:i/>
          <w:sz w:val="18"/>
          <w:szCs w:val="18"/>
          <w:lang w:val="en-US" w:eastAsia="en-GB"/>
        </w:rPr>
        <w:t>and RHCF (Adapted from [</w:t>
      </w:r>
      <w:r w:rsidR="004A2300">
        <w:rPr>
          <w:i/>
          <w:sz w:val="18"/>
          <w:szCs w:val="18"/>
          <w:lang w:val="en-US" w:eastAsia="en-GB"/>
        </w:rPr>
        <w:t>18</w:t>
      </w:r>
      <w:r>
        <w:rPr>
          <w:i/>
          <w:sz w:val="18"/>
          <w:szCs w:val="18"/>
          <w:lang w:val="en-US" w:eastAsia="en-GB"/>
        </w:rPr>
        <w:t>]</w:t>
      </w:r>
    </w:p>
    <w:p w14:paraId="48B043DE" w14:textId="77777777" w:rsidR="00020EC9" w:rsidRDefault="00020EC9" w:rsidP="007914E1">
      <w:pPr>
        <w:pStyle w:val="BodyText"/>
      </w:pPr>
    </w:p>
    <w:p w14:paraId="6FF1DF20" w14:textId="3B55F50C" w:rsidR="007914E1" w:rsidRDefault="007914E1" w:rsidP="007914E1">
      <w:pPr>
        <w:pStyle w:val="BodyText"/>
      </w:pPr>
      <w:r w:rsidRPr="0099308D">
        <w:t xml:space="preserve">Such </w:t>
      </w:r>
      <w:r>
        <w:t>trend</w:t>
      </w:r>
      <w:r w:rsidRPr="0099308D">
        <w:t xml:space="preserve">s appear </w:t>
      </w:r>
      <w:r>
        <w:t xml:space="preserve">to be generally </w:t>
      </w:r>
      <w:r w:rsidRPr="0099308D">
        <w:t>consistent with data</w:t>
      </w:r>
      <w:r>
        <w:t xml:space="preserve"> reported</w:t>
      </w:r>
      <w:r w:rsidRPr="0099308D">
        <w:t xml:space="preserve"> in the open literature. </w:t>
      </w:r>
      <w:r>
        <w:t>However, t</w:t>
      </w:r>
      <w:r w:rsidRPr="0099308D">
        <w:t>he absolute values of threshold stress and RHCF will depend</w:t>
      </w:r>
      <w:r>
        <w:t xml:space="preserve"> on several factors, such as specimen conditions, as well as </w:t>
      </w:r>
      <w:r w:rsidRPr="0099308D">
        <w:t>on</w:t>
      </w:r>
      <w:r>
        <w:t xml:space="preserve"> imposed </w:t>
      </w:r>
      <w:r w:rsidR="009D414E">
        <w:t xml:space="preserve">hydride </w:t>
      </w:r>
      <w:r>
        <w:t>reorientation treatment parameter</w:t>
      </w:r>
      <w:r w:rsidRPr="0099308D">
        <w:t xml:space="preserve">s, </w:t>
      </w:r>
      <w:r>
        <w:t>such</w:t>
      </w:r>
      <w:r w:rsidR="00F82EF0">
        <w:t xml:space="preserve"> as</w:t>
      </w:r>
      <w:r>
        <w:t xml:space="preserve"> cooling under constant or decreasing stress and cooling rate.</w:t>
      </w:r>
    </w:p>
    <w:p w14:paraId="2D09BD5F" w14:textId="6026E180" w:rsidR="007914E1" w:rsidRDefault="007914E1" w:rsidP="007914E1">
      <w:pPr>
        <w:pStyle w:val="BodyText"/>
      </w:pPr>
      <w:r w:rsidRPr="00D95C25">
        <w:t>Past and more recent investigations in assessing and measuring rod internal pressures</w:t>
      </w:r>
      <w:r>
        <w:t>,</w:t>
      </w:r>
      <w:r w:rsidRPr="00D95C25">
        <w:t xml:space="preserve"> and consequently hoop stresses</w:t>
      </w:r>
      <w:r>
        <w:t>,</w:t>
      </w:r>
      <w:r w:rsidRPr="00D95C25">
        <w:t xml:space="preserve"> in discharged spent CWSR claddings result in hoop stresses &lt;100 MPa [</w:t>
      </w:r>
      <w:r w:rsidR="000D2CA2">
        <w:t>20</w:t>
      </w:r>
      <w:r w:rsidRPr="00D95C25">
        <w:t>] [</w:t>
      </w:r>
      <w:r w:rsidR="000D2CA2">
        <w:t>21</w:t>
      </w:r>
      <w:r w:rsidRPr="00D95C25">
        <w:t xml:space="preserve">], which would be </w:t>
      </w:r>
      <w:r w:rsidRPr="00D95C25">
        <w:lastRenderedPageBreak/>
        <w:t xml:space="preserve">close to Lee et al.’s threshold stress </w:t>
      </w:r>
      <w:r>
        <w:t xml:space="preserve">values </w:t>
      </w:r>
      <w:r w:rsidRPr="00D95C25">
        <w:t xml:space="preserve">at 400 </w:t>
      </w:r>
      <w:r w:rsidRPr="00FD400E">
        <w:t>°</w:t>
      </w:r>
      <w:r w:rsidRPr="00D95C25">
        <w:t>C, assuming 300</w:t>
      </w:r>
      <w:r>
        <w:t>-500</w:t>
      </w:r>
      <w:r w:rsidRPr="00D95C25">
        <w:t xml:space="preserve"> wppm in hydrogen content, and below</w:t>
      </w:r>
      <w:r>
        <w:t xml:space="preserve"> those at 350 </w:t>
      </w:r>
      <w:r w:rsidRPr="00FD400E">
        <w:t>°</w:t>
      </w:r>
      <w:r w:rsidRPr="00D95C25">
        <w:t>C</w:t>
      </w:r>
      <w:r>
        <w:t xml:space="preserve">. For such CWSR claddings, there is less interest in hydrogen content smaller than 200 to 300 wppm, because these claddings tend to have high oxidation layers and high hydrogen content after </w:t>
      </w:r>
      <w:r w:rsidR="00F82EF0">
        <w:t>in-</w:t>
      </w:r>
      <w:r w:rsidR="009D414E">
        <w:t xml:space="preserve">reactor </w:t>
      </w:r>
      <w:r>
        <w:t>PWR duty. It should be noted that the low rod internal pressures and resulting hoop stress may not be valid for a small fleet of PWRs that routinely discharge fuel with rod-average burnup greater than 62 GWd/MTU.</w:t>
      </w:r>
    </w:p>
    <w:p w14:paraId="10783E11" w14:textId="77777777" w:rsidR="007914E1" w:rsidRPr="00763770" w:rsidRDefault="007914E1" w:rsidP="00A73D73">
      <w:pPr>
        <w:pStyle w:val="BodyText"/>
        <w:ind w:left="360" w:firstLine="0"/>
        <w:jc w:val="center"/>
        <w:rPr>
          <w:i/>
          <w:sz w:val="18"/>
          <w:szCs w:val="18"/>
        </w:rPr>
      </w:pPr>
    </w:p>
    <w:p w14:paraId="1127F6B6" w14:textId="1457FA93" w:rsidR="00FD400E" w:rsidRDefault="00FD400E" w:rsidP="00A73D73">
      <w:pPr>
        <w:pStyle w:val="Heading4"/>
        <w:numPr>
          <w:ilvl w:val="2"/>
          <w:numId w:val="16"/>
        </w:numPr>
      </w:pPr>
      <w:r>
        <w:t>RX and</w:t>
      </w:r>
      <w:r w:rsidR="00D03978">
        <w:t xml:space="preserve"> p</w:t>
      </w:r>
      <w:r>
        <w:t>RX claddings</w:t>
      </w:r>
    </w:p>
    <w:p w14:paraId="51F8195E" w14:textId="0920E573" w:rsidR="00FD400E" w:rsidRDefault="0065472D" w:rsidP="00FD400E">
      <w:pPr>
        <w:pStyle w:val="BodyText"/>
        <w:rPr>
          <w:lang w:val="en-US"/>
        </w:rPr>
      </w:pPr>
      <w:r>
        <w:rPr>
          <w:lang w:val="en-US"/>
        </w:rPr>
        <w:t xml:space="preserve">More recent </w:t>
      </w:r>
      <w:r w:rsidR="007914E1">
        <w:rPr>
          <w:lang w:val="en-US"/>
        </w:rPr>
        <w:t>PWR</w:t>
      </w:r>
      <w:r w:rsidR="00020EC9">
        <w:rPr>
          <w:lang w:val="en-US"/>
        </w:rPr>
        <w:t xml:space="preserve"> </w:t>
      </w:r>
      <w:r w:rsidR="00FD400E">
        <w:rPr>
          <w:lang w:val="en-US"/>
        </w:rPr>
        <w:t>cladding</w:t>
      </w:r>
      <w:r>
        <w:rPr>
          <w:lang w:val="en-US"/>
        </w:rPr>
        <w:t xml:space="preserve"> formulations</w:t>
      </w:r>
      <w:r w:rsidR="00FD400E">
        <w:rPr>
          <w:lang w:val="en-US"/>
        </w:rPr>
        <w:t xml:space="preserve"> </w:t>
      </w:r>
      <w:r w:rsidR="008422BC">
        <w:rPr>
          <w:lang w:val="en-US"/>
        </w:rPr>
        <w:t xml:space="preserve">contain Nb </w:t>
      </w:r>
      <w:r w:rsidR="000B639C">
        <w:rPr>
          <w:lang w:val="en-US"/>
        </w:rPr>
        <w:t>and are produced with RX and pRX microstructures. The</w:t>
      </w:r>
      <w:r w:rsidR="007914E1">
        <w:rPr>
          <w:lang w:val="en-US"/>
        </w:rPr>
        <w:t>se</w:t>
      </w:r>
      <w:r w:rsidR="000B639C">
        <w:rPr>
          <w:lang w:val="en-US"/>
        </w:rPr>
        <w:t xml:space="preserve"> new claddings </w:t>
      </w:r>
      <w:r w:rsidR="00FD400E">
        <w:rPr>
          <w:lang w:val="en-US"/>
        </w:rPr>
        <w:t xml:space="preserve">have shown to have </w:t>
      </w:r>
      <w:r w:rsidR="00831951">
        <w:rPr>
          <w:lang w:val="en-US"/>
        </w:rPr>
        <w:t xml:space="preserve">significantly </w:t>
      </w:r>
      <w:r w:rsidR="00FD400E">
        <w:rPr>
          <w:lang w:val="en-US"/>
        </w:rPr>
        <w:t>high</w:t>
      </w:r>
      <w:r w:rsidR="00831951">
        <w:rPr>
          <w:lang w:val="en-US"/>
        </w:rPr>
        <w:t>er</w:t>
      </w:r>
      <w:r w:rsidR="00FD400E">
        <w:rPr>
          <w:lang w:val="en-US"/>
        </w:rPr>
        <w:t xml:space="preserve"> corrosion resistance</w:t>
      </w:r>
      <w:r w:rsidR="00831951">
        <w:rPr>
          <w:lang w:val="en-US"/>
        </w:rPr>
        <w:t xml:space="preserve"> than </w:t>
      </w:r>
      <w:r w:rsidR="000B639C">
        <w:rPr>
          <w:lang w:val="en-US"/>
        </w:rPr>
        <w:t xml:space="preserve">Sn-containing </w:t>
      </w:r>
      <w:r w:rsidR="00831951">
        <w:rPr>
          <w:lang w:val="en-US"/>
        </w:rPr>
        <w:t>CWSR claddings considered in the previous section.</w:t>
      </w:r>
      <w:r w:rsidR="00FD400E">
        <w:rPr>
          <w:lang w:val="en-US"/>
        </w:rPr>
        <w:t xml:space="preserve"> </w:t>
      </w:r>
      <w:r w:rsidR="00831951">
        <w:rPr>
          <w:lang w:val="en-US"/>
        </w:rPr>
        <w:t>T</w:t>
      </w:r>
      <w:r w:rsidR="00FD400E">
        <w:rPr>
          <w:lang w:val="en-US"/>
        </w:rPr>
        <w:t xml:space="preserve">herefore, the </w:t>
      </w:r>
      <w:r w:rsidR="00831951">
        <w:rPr>
          <w:lang w:val="en-US"/>
        </w:rPr>
        <w:t xml:space="preserve">greater </w:t>
      </w:r>
      <w:r w:rsidR="00FD400E">
        <w:rPr>
          <w:lang w:val="en-US"/>
        </w:rPr>
        <w:t xml:space="preserve">interest is in the low hydrogen content side of the curves in Fig. 6. RX microstructures have a higher susceptibility to </w:t>
      </w:r>
      <w:r w:rsidR="00D03978">
        <w:rPr>
          <w:lang w:val="en-US"/>
        </w:rPr>
        <w:t xml:space="preserve">radial hydride formation because of the shape of the alloy grains and </w:t>
      </w:r>
      <w:r w:rsidR="00831951">
        <w:rPr>
          <w:lang w:val="en-US"/>
        </w:rPr>
        <w:t xml:space="preserve">resulting </w:t>
      </w:r>
      <w:r w:rsidR="00D03978">
        <w:rPr>
          <w:lang w:val="en-US"/>
        </w:rPr>
        <w:t>orientation of grain boundaries</w:t>
      </w:r>
      <w:r w:rsidR="00831951">
        <w:rPr>
          <w:lang w:val="en-US"/>
        </w:rPr>
        <w:t>, which can promote nucleation of hydrides</w:t>
      </w:r>
      <w:r w:rsidR="00D03978">
        <w:rPr>
          <w:lang w:val="en-US"/>
        </w:rPr>
        <w:t xml:space="preserve">. Although there is presently no </w:t>
      </w:r>
      <w:r w:rsidR="00831951">
        <w:rPr>
          <w:lang w:val="en-US"/>
        </w:rPr>
        <w:t xml:space="preserve">published data </w:t>
      </w:r>
      <w:r w:rsidR="00D03978">
        <w:rPr>
          <w:lang w:val="en-US"/>
        </w:rPr>
        <w:t>similar to Figure 6 for RX and pRX claddings, it can be rationalized that the curves would have similar shapes with lower values for the threshold stresses at C</w:t>
      </w:r>
      <w:r w:rsidR="00D03978" w:rsidRPr="00D03978">
        <w:rPr>
          <w:vertAlign w:val="subscript"/>
          <w:lang w:val="en-US"/>
        </w:rPr>
        <w:t>ss</w:t>
      </w:r>
      <w:r w:rsidR="00D03978">
        <w:rPr>
          <w:lang w:val="en-US"/>
        </w:rPr>
        <w:t xml:space="preserve"> = TSSD. </w:t>
      </w:r>
      <w:r w:rsidR="00B56F88">
        <w:rPr>
          <w:lang w:val="en-US"/>
        </w:rPr>
        <w:t>Such s</w:t>
      </w:r>
      <w:r>
        <w:rPr>
          <w:lang w:val="en-US"/>
        </w:rPr>
        <w:t xml:space="preserve">hapes </w:t>
      </w:r>
      <w:r w:rsidR="00B56F88">
        <w:rPr>
          <w:lang w:val="en-US"/>
        </w:rPr>
        <w:t>can</w:t>
      </w:r>
      <w:r>
        <w:rPr>
          <w:lang w:val="en-US"/>
        </w:rPr>
        <w:t xml:space="preserve"> be expected based on the competition between radial hydride nucleation and </w:t>
      </w:r>
      <w:r w:rsidR="000E7F11">
        <w:rPr>
          <w:lang w:val="en-US"/>
        </w:rPr>
        <w:t>growth of existing radial or circumferential hydrides</w:t>
      </w:r>
      <w:r w:rsidR="00B56F88">
        <w:rPr>
          <w:lang w:val="en-US"/>
        </w:rPr>
        <w:t>, and l</w:t>
      </w:r>
      <w:r w:rsidR="000E7F11">
        <w:rPr>
          <w:lang w:val="en-US"/>
        </w:rPr>
        <w:t>ower threshold stresses would be expected based on grain shape.</w:t>
      </w:r>
    </w:p>
    <w:p w14:paraId="06DDB450" w14:textId="7C06E67E" w:rsidR="00FD4420" w:rsidRDefault="00D03978" w:rsidP="00185812">
      <w:pPr>
        <w:pStyle w:val="BodyText"/>
      </w:pPr>
      <w:r w:rsidRPr="004F177C">
        <w:rPr>
          <w:lang w:val="en-US"/>
        </w:rPr>
        <w:t>However, p</w:t>
      </w:r>
      <w:r w:rsidR="00145B4D" w:rsidRPr="004F177C">
        <w:rPr>
          <w:lang w:val="en-US"/>
        </w:rPr>
        <w:t>e</w:t>
      </w:r>
      <w:r w:rsidRPr="004F177C">
        <w:rPr>
          <w:lang w:val="en-US"/>
        </w:rPr>
        <w:t>ak cladding temperature</w:t>
      </w:r>
      <w:r w:rsidR="00B56F88" w:rsidRPr="004F177C">
        <w:rPr>
          <w:lang w:val="en-US"/>
        </w:rPr>
        <w:t>s</w:t>
      </w:r>
      <w:r w:rsidRPr="004F177C">
        <w:rPr>
          <w:lang w:val="en-US"/>
        </w:rPr>
        <w:t xml:space="preserve"> as high as 350 and 400 </w:t>
      </w:r>
      <w:r w:rsidRPr="004F177C">
        <w:t xml:space="preserve">°C would result in some or all </w:t>
      </w:r>
      <w:r w:rsidR="000E7F11" w:rsidRPr="004F177C">
        <w:t xml:space="preserve">of the </w:t>
      </w:r>
      <w:r w:rsidRPr="004F177C">
        <w:t>r</w:t>
      </w:r>
      <w:r w:rsidR="00145B4D" w:rsidRPr="004F177C">
        <w:t>adiation damage</w:t>
      </w:r>
      <w:r w:rsidR="000E7F11" w:rsidRPr="004F177C">
        <w:t xml:space="preserve"> being </w:t>
      </w:r>
      <w:r w:rsidR="00145B4D" w:rsidRPr="004F177C">
        <w:t>anneal</w:t>
      </w:r>
      <w:r w:rsidR="009D414E">
        <w:t>ed</w:t>
      </w:r>
      <w:r w:rsidR="000E7F11" w:rsidRPr="004F177C">
        <w:t>;</w:t>
      </w:r>
      <w:r w:rsidR="00145B4D" w:rsidRPr="004F177C">
        <w:t xml:space="preserve"> </w:t>
      </w:r>
      <w:r w:rsidR="000E7F11" w:rsidRPr="004F177C">
        <w:t>this</w:t>
      </w:r>
      <w:r w:rsidR="00145B4D" w:rsidRPr="004F177C">
        <w:t xml:space="preserve"> would lower the alloy strength below the hydride fracture strength. </w:t>
      </w:r>
      <w:r w:rsidR="00B56F88" w:rsidRPr="004F177C">
        <w:t>When</w:t>
      </w:r>
      <w:r w:rsidR="00145B4D" w:rsidRPr="004F177C">
        <w:t xml:space="preserve"> this </w:t>
      </w:r>
      <w:r w:rsidR="00B56F88" w:rsidRPr="004F177C">
        <w:t xml:space="preserve">is the </w:t>
      </w:r>
      <w:r w:rsidR="00145B4D" w:rsidRPr="004F177C">
        <w:t xml:space="preserve">case, radially oriented hydrides will not significantly impact the mechanical and fracture properties of the cladding, as shown by Bouffioux et al. </w:t>
      </w:r>
      <w:r w:rsidR="000E7F11" w:rsidRPr="004F177C">
        <w:t>for M5</w:t>
      </w:r>
      <w:r w:rsidR="00B56F88" w:rsidRPr="004F177C">
        <w:t>, even when the radial hydrides have RHCF that are close to 100% of the cladding wall thickness</w:t>
      </w:r>
      <w:r w:rsidR="002376A6" w:rsidRPr="004F177C">
        <w:t xml:space="preserve"> </w:t>
      </w:r>
      <w:r w:rsidR="00145B4D" w:rsidRPr="004F177C">
        <w:t>[</w:t>
      </w:r>
      <w:r w:rsidR="000D2CA2">
        <w:t>22</w:t>
      </w:r>
      <w:r w:rsidR="00145B4D" w:rsidRPr="004F177C">
        <w:t xml:space="preserve">]. Therefore, the </w:t>
      </w:r>
      <w:r w:rsidR="000E7F11" w:rsidRPr="004F177C">
        <w:t xml:space="preserve">more interesting </w:t>
      </w:r>
      <w:r w:rsidR="00145B4D" w:rsidRPr="004F177C">
        <w:t xml:space="preserve">temperature </w:t>
      </w:r>
      <w:r w:rsidR="00B56F88" w:rsidRPr="004F177C">
        <w:t xml:space="preserve">range </w:t>
      </w:r>
      <w:r w:rsidR="00145B4D" w:rsidRPr="004F177C">
        <w:t>to investigate is in the 300 to 325 °C range</w:t>
      </w:r>
      <w:r w:rsidR="000E7F11" w:rsidRPr="004F177C">
        <w:t>, w</w:t>
      </w:r>
      <w:r w:rsidR="00B56F88" w:rsidRPr="004F177C">
        <w:t>here</w:t>
      </w:r>
      <w:r w:rsidR="000E7F11" w:rsidRPr="004F177C">
        <w:t xml:space="preserve"> </w:t>
      </w:r>
      <w:r w:rsidR="00B56F88" w:rsidRPr="004F177C">
        <w:t xml:space="preserve">(1) the cladding hydrogen content, </w:t>
      </w:r>
      <w:r w:rsidR="00145B4D" w:rsidRPr="004F177C">
        <w:t>C</w:t>
      </w:r>
      <w:r w:rsidR="00145B4D" w:rsidRPr="004F177C">
        <w:rPr>
          <w:vertAlign w:val="subscript"/>
        </w:rPr>
        <w:t>ss</w:t>
      </w:r>
      <w:r w:rsidR="00B56F88" w:rsidRPr="004F177C">
        <w:t>,</w:t>
      </w:r>
      <w:r w:rsidRPr="004F177C">
        <w:rPr>
          <w:lang w:val="en-US"/>
        </w:rPr>
        <w:t xml:space="preserve"> </w:t>
      </w:r>
      <w:r w:rsidR="00B56F88" w:rsidRPr="004F177C">
        <w:rPr>
          <w:lang w:val="en-US"/>
        </w:rPr>
        <w:t xml:space="preserve">can be </w:t>
      </w:r>
      <w:r w:rsidR="000E7F11" w:rsidRPr="004F177C">
        <w:rPr>
          <w:lang w:val="en-US"/>
        </w:rPr>
        <w:t xml:space="preserve">equal to or </w:t>
      </w:r>
      <w:r w:rsidR="00145B4D" w:rsidRPr="004F177C">
        <w:rPr>
          <w:lang w:val="en-US"/>
        </w:rPr>
        <w:t xml:space="preserve">lower than </w:t>
      </w:r>
      <w:r w:rsidR="000E7F11" w:rsidRPr="004F177C">
        <w:rPr>
          <w:lang w:val="en-US"/>
        </w:rPr>
        <w:t xml:space="preserve">the </w:t>
      </w:r>
      <w:r w:rsidR="00145B4D" w:rsidRPr="004F177C">
        <w:rPr>
          <w:lang w:val="en-US"/>
        </w:rPr>
        <w:t>TSSD</w:t>
      </w:r>
      <w:r w:rsidR="00B56F88" w:rsidRPr="004F177C">
        <w:rPr>
          <w:lang w:val="en-US"/>
        </w:rPr>
        <w:t xml:space="preserve"> in that lower temperature range</w:t>
      </w:r>
      <w:r w:rsidR="00145B4D" w:rsidRPr="004F177C">
        <w:rPr>
          <w:lang w:val="en-US"/>
        </w:rPr>
        <w:t xml:space="preserve"> (75 wppm &lt; TSSD &lt; 100 wppm), </w:t>
      </w:r>
      <w:r w:rsidR="000E7F11" w:rsidRPr="004F177C">
        <w:rPr>
          <w:lang w:val="en-US"/>
        </w:rPr>
        <w:t xml:space="preserve">and </w:t>
      </w:r>
      <w:r w:rsidR="00B56F88" w:rsidRPr="004F177C">
        <w:rPr>
          <w:lang w:val="en-US"/>
        </w:rPr>
        <w:t xml:space="preserve">(2) </w:t>
      </w:r>
      <w:r w:rsidR="009D414E">
        <w:rPr>
          <w:lang w:val="en-US"/>
        </w:rPr>
        <w:t xml:space="preserve">taking into </w:t>
      </w:r>
      <w:r w:rsidR="00982E85">
        <w:rPr>
          <w:lang w:val="en-US"/>
        </w:rPr>
        <w:t xml:space="preserve">account </w:t>
      </w:r>
      <w:r w:rsidR="009D414E">
        <w:rPr>
          <w:lang w:val="en-US"/>
        </w:rPr>
        <w:t>that</w:t>
      </w:r>
      <w:r w:rsidR="009D414E" w:rsidRPr="004F177C">
        <w:rPr>
          <w:lang w:val="en-US"/>
        </w:rPr>
        <w:t xml:space="preserve"> </w:t>
      </w:r>
      <w:r w:rsidR="00350F83">
        <w:rPr>
          <w:lang w:val="en-US"/>
        </w:rPr>
        <w:t>significant</w:t>
      </w:r>
      <w:r w:rsidR="009D414E">
        <w:rPr>
          <w:lang w:val="en-US"/>
        </w:rPr>
        <w:t xml:space="preserve"> </w:t>
      </w:r>
      <w:r w:rsidR="00145B4D" w:rsidRPr="004F177C">
        <w:rPr>
          <w:lang w:val="en-US"/>
        </w:rPr>
        <w:t>radiation damage annealing</w:t>
      </w:r>
      <w:r w:rsidR="009D414E">
        <w:rPr>
          <w:lang w:val="en-US"/>
        </w:rPr>
        <w:t xml:space="preserve"> is not expected in this temperature range</w:t>
      </w:r>
      <w:r w:rsidR="00145B4D" w:rsidRPr="004F177C">
        <w:rPr>
          <w:lang w:val="en-US"/>
        </w:rPr>
        <w:t>.</w:t>
      </w:r>
    </w:p>
    <w:p w14:paraId="43FFDEDA" w14:textId="7B6229F7" w:rsidR="00C86F4C" w:rsidRDefault="00397E67" w:rsidP="00A73D73">
      <w:pPr>
        <w:pStyle w:val="Heading2"/>
        <w:numPr>
          <w:ilvl w:val="1"/>
          <w:numId w:val="16"/>
        </w:numPr>
        <w:ind w:left="0"/>
      </w:pPr>
      <w:r>
        <w:t>Summary</w:t>
      </w:r>
    </w:p>
    <w:p w14:paraId="7FF0DAD8" w14:textId="4AC4E2D2" w:rsidR="00C86F4C" w:rsidRPr="00C86F4C" w:rsidRDefault="00C86F4C" w:rsidP="00ED1C57">
      <w:pPr>
        <w:pStyle w:val="Abstracttext"/>
      </w:pPr>
      <w:r>
        <w:t>The paper examined two degradation mechanisms</w:t>
      </w:r>
      <w:r w:rsidR="00B8505B">
        <w:t>, thermal creep and hydride re-orientation,</w:t>
      </w:r>
      <w:r>
        <w:t xml:space="preserve"> </w:t>
      </w:r>
      <w:r w:rsidR="00B8505B">
        <w:t xml:space="preserve">which </w:t>
      </w:r>
      <w:r>
        <w:t>have been the focus of regulatory authorities’ reviews when evaluating applications for storage and subsequently transportation of spent nuclear fuel under dry, inert atmosphere conditions</w:t>
      </w:r>
      <w:r w:rsidR="00B8505B">
        <w:t>.</w:t>
      </w:r>
    </w:p>
    <w:p w14:paraId="49FB511C" w14:textId="1DE1D2D6" w:rsidR="00C86F4C" w:rsidRDefault="00C86F4C" w:rsidP="00A73D73">
      <w:pPr>
        <w:pStyle w:val="Heading4"/>
        <w:numPr>
          <w:ilvl w:val="2"/>
          <w:numId w:val="16"/>
        </w:numPr>
      </w:pPr>
      <w:r>
        <w:t>Thermal creep</w:t>
      </w:r>
    </w:p>
    <w:p w14:paraId="6ABEBF64" w14:textId="3419B4DC" w:rsidR="00F83917" w:rsidRPr="00F83917" w:rsidRDefault="00C86F4C" w:rsidP="00C86F4C">
      <w:pPr>
        <w:pStyle w:val="BodyText"/>
        <w:rPr>
          <w:lang w:val="en-US"/>
        </w:rPr>
      </w:pPr>
      <w:r w:rsidRPr="00C86F4C">
        <w:rPr>
          <w:lang w:val="en-US"/>
        </w:rPr>
        <w:t>T</w:t>
      </w:r>
      <w:r w:rsidR="00F83917" w:rsidRPr="00F83917">
        <w:rPr>
          <w:lang w:val="en-US"/>
        </w:rPr>
        <w:t>hermal creep of cladding tubes under low and high stresses are governed by different mechanisms</w:t>
      </w:r>
      <w:r w:rsidRPr="00C86F4C">
        <w:rPr>
          <w:lang w:val="en-US"/>
        </w:rPr>
        <w:t>. As a result, t</w:t>
      </w:r>
      <w:r w:rsidR="00F83917" w:rsidRPr="00F83917">
        <w:rPr>
          <w:lang w:val="en-US"/>
        </w:rPr>
        <w:t>he parameters affecting creep, such as stress</w:t>
      </w:r>
      <w:r w:rsidRPr="00C86F4C">
        <w:rPr>
          <w:lang w:val="en-US"/>
        </w:rPr>
        <w:t xml:space="preserve"> and</w:t>
      </w:r>
      <w:r w:rsidR="00F83917" w:rsidRPr="00F83917">
        <w:rPr>
          <w:lang w:val="en-US"/>
        </w:rPr>
        <w:t xml:space="preserve"> temperature depend on the dominant creep mechanism, which itself is a function of stress and temperature</w:t>
      </w:r>
      <w:r w:rsidRPr="00C86F4C">
        <w:rPr>
          <w:lang w:val="en-US"/>
        </w:rPr>
        <w:t xml:space="preserve">. </w:t>
      </w:r>
      <w:r w:rsidR="00F83917" w:rsidRPr="00F83917">
        <w:rPr>
          <w:lang w:val="en-US"/>
        </w:rPr>
        <w:t xml:space="preserve">Information on long-term creep under dry storage conditions at the expected stress of SNF cladding should preferably be deduced from long-duration tests in both the </w:t>
      </w:r>
      <w:r w:rsidR="00B8505B">
        <w:rPr>
          <w:lang w:val="en-US"/>
        </w:rPr>
        <w:t>high</w:t>
      </w:r>
      <w:r w:rsidR="00F83917" w:rsidRPr="00F83917">
        <w:rPr>
          <w:lang w:val="en-US"/>
        </w:rPr>
        <w:t xml:space="preserve"> and low stress range</w:t>
      </w:r>
      <w:r>
        <w:rPr>
          <w:lang w:val="en-US"/>
        </w:rPr>
        <w:t>.</w:t>
      </w:r>
    </w:p>
    <w:p w14:paraId="3FB9F33C" w14:textId="1BEE70C1" w:rsidR="00F83917" w:rsidRDefault="00F83917" w:rsidP="00C86F4C">
      <w:pPr>
        <w:pStyle w:val="BodyText"/>
        <w:rPr>
          <w:lang w:val="en-US"/>
        </w:rPr>
      </w:pPr>
      <w:r w:rsidRPr="00F83917">
        <w:rPr>
          <w:lang w:val="en-US"/>
        </w:rPr>
        <w:t>The secondary creep rate and creep strain of irradiated cladding are, for all tested temperature conditions and stress regions, smaller than those of unirradiated cladding</w:t>
      </w:r>
      <w:r w:rsidR="00C86F4C" w:rsidRPr="00C86F4C">
        <w:rPr>
          <w:lang w:val="en-US"/>
        </w:rPr>
        <w:t xml:space="preserve">. </w:t>
      </w:r>
      <w:r w:rsidRPr="00F83917">
        <w:rPr>
          <w:lang w:val="en-US"/>
        </w:rPr>
        <w:t>However, the effect is smaller at lower temperature and lower stress, where grain boundary sliding mechanism dominates</w:t>
      </w:r>
      <w:r w:rsidR="00C86F4C" w:rsidRPr="00C86F4C">
        <w:rPr>
          <w:lang w:val="en-US"/>
        </w:rPr>
        <w:t>.</w:t>
      </w:r>
    </w:p>
    <w:p w14:paraId="13E800F7" w14:textId="593C34B6" w:rsidR="00C86F4C" w:rsidRDefault="00C86F4C" w:rsidP="00C86F4C">
      <w:pPr>
        <w:pStyle w:val="BodyText"/>
        <w:rPr>
          <w:lang w:val="en-US"/>
        </w:rPr>
      </w:pPr>
      <w:r w:rsidRPr="00C86F4C">
        <w:rPr>
          <w:lang w:val="en-US"/>
        </w:rPr>
        <w:t>In some regulatory regimes, a 1% diametral strain criterion is specified as the maximum allowable strain during dry storage</w:t>
      </w:r>
      <w:r>
        <w:rPr>
          <w:lang w:val="en-US"/>
        </w:rPr>
        <w:t xml:space="preserve">. </w:t>
      </w:r>
      <w:r w:rsidRPr="00C86F4C">
        <w:rPr>
          <w:lang w:val="en-US"/>
        </w:rPr>
        <w:t>Failure strain depends on the stress exponent</w:t>
      </w:r>
      <w:r>
        <w:rPr>
          <w:lang w:val="en-US"/>
        </w:rPr>
        <w:t xml:space="preserve">. </w:t>
      </w:r>
      <w:r w:rsidRPr="00C86F4C">
        <w:rPr>
          <w:lang w:val="en-US"/>
        </w:rPr>
        <w:t>In the relevant stress range (&lt;120 MPa), rupture strain</w:t>
      </w:r>
      <w:r w:rsidR="00B8505B">
        <w:rPr>
          <w:lang w:val="en-US"/>
        </w:rPr>
        <w:t>s</w:t>
      </w:r>
      <w:r w:rsidRPr="00C86F4C">
        <w:rPr>
          <w:lang w:val="en-US"/>
        </w:rPr>
        <w:t xml:space="preserve"> are likely to be at least one order of magnitude greater than the 1% diametral strain criterion</w:t>
      </w:r>
      <w:r>
        <w:rPr>
          <w:lang w:val="en-US"/>
        </w:rPr>
        <w:t>.</w:t>
      </w:r>
    </w:p>
    <w:p w14:paraId="50CB25A2" w14:textId="4C56FE94" w:rsidR="00C86F4C" w:rsidRDefault="00C86F4C" w:rsidP="00397E67">
      <w:pPr>
        <w:pStyle w:val="BodyText"/>
        <w:rPr>
          <w:lang w:val="en-US"/>
        </w:rPr>
      </w:pPr>
      <w:r w:rsidRPr="00C86F4C">
        <w:rPr>
          <w:lang w:val="en-US"/>
        </w:rPr>
        <w:t xml:space="preserve">In addition to the decrease of temperature over time, any increase in void volume </w:t>
      </w:r>
      <w:r w:rsidR="00B8505B">
        <w:rPr>
          <w:lang w:val="en-US"/>
        </w:rPr>
        <w:t xml:space="preserve">due to creep </w:t>
      </w:r>
      <w:r w:rsidRPr="00C86F4C">
        <w:rPr>
          <w:lang w:val="en-US"/>
        </w:rPr>
        <w:t>would also result in a decrease of cladding hoop stress</w:t>
      </w:r>
      <w:r>
        <w:rPr>
          <w:lang w:val="en-US"/>
        </w:rPr>
        <w:t>. T</w:t>
      </w:r>
      <w:r w:rsidRPr="00C86F4C">
        <w:rPr>
          <w:lang w:val="en-US"/>
        </w:rPr>
        <w:t>hermal creep is a self-limiting mechanism in a closed system such as a fuel rod</w:t>
      </w:r>
      <w:r>
        <w:rPr>
          <w:lang w:val="en-US"/>
        </w:rPr>
        <w:t>.</w:t>
      </w:r>
    </w:p>
    <w:p w14:paraId="231B4A4E" w14:textId="045CA156" w:rsidR="00397E67" w:rsidRDefault="00397E67" w:rsidP="00397E67">
      <w:pPr>
        <w:pStyle w:val="BodyText"/>
      </w:pPr>
      <w:r w:rsidRPr="00C0559F">
        <w:lastRenderedPageBreak/>
        <w:t xml:space="preserve">The potential for creep rupture </w:t>
      </w:r>
      <w:r w:rsidR="00C86F4C">
        <w:t xml:space="preserve">during dry storage </w:t>
      </w:r>
      <w:r w:rsidRPr="00C0559F">
        <w:t>can be ruled out</w:t>
      </w:r>
      <w:r w:rsidR="00C86F4C">
        <w:t xml:space="preserve"> except </w:t>
      </w:r>
      <w:r w:rsidR="00B8505B">
        <w:t xml:space="preserve">possibly </w:t>
      </w:r>
      <w:r w:rsidRPr="00C0559F">
        <w:t>for rods with large and localized cladding defects characterized by excessive, localized wall thickness reduction due to grid-to-rod fretting, hydride blisters, large incipient cracks, or possibly others.</w:t>
      </w:r>
    </w:p>
    <w:p w14:paraId="55FF747C" w14:textId="26A3B8CA" w:rsidR="00546863" w:rsidRDefault="00B8505B" w:rsidP="00A73D73">
      <w:pPr>
        <w:pStyle w:val="Heading4"/>
        <w:numPr>
          <w:ilvl w:val="2"/>
          <w:numId w:val="16"/>
        </w:numPr>
      </w:pPr>
      <w:r>
        <w:t>Hydride reorientation</w:t>
      </w:r>
    </w:p>
    <w:p w14:paraId="599A275E" w14:textId="51AA1628" w:rsidR="00546863" w:rsidRDefault="00546863" w:rsidP="00546863">
      <w:pPr>
        <w:pStyle w:val="BodyText"/>
      </w:pPr>
      <w:r>
        <w:t>Through a process of elimination, the formation of radial hydrides can be assessed to be minor or completely eliminated for the following claddings:</w:t>
      </w:r>
    </w:p>
    <w:p w14:paraId="0520E728" w14:textId="77777777" w:rsidR="00A73D73" w:rsidRDefault="00A73D73" w:rsidP="00546863">
      <w:pPr>
        <w:pStyle w:val="BodyText"/>
      </w:pPr>
    </w:p>
    <w:p w14:paraId="09E53092" w14:textId="78A9FA32" w:rsidR="00546863" w:rsidRDefault="00B8505B" w:rsidP="00546863">
      <w:pPr>
        <w:pStyle w:val="ListParagraph"/>
        <w:numPr>
          <w:ilvl w:val="0"/>
          <w:numId w:val="13"/>
        </w:numPr>
        <w:spacing w:after="160" w:line="259" w:lineRule="auto"/>
        <w:contextualSpacing/>
      </w:pPr>
      <w:r>
        <w:t>BWR c</w:t>
      </w:r>
      <w:r w:rsidR="00546863">
        <w:t>ladding designs with inner liners</w:t>
      </w:r>
      <w:r>
        <w:t xml:space="preserve"> and duplex PWR cladding designs with outer corrosion-resistant layers</w:t>
      </w:r>
      <w:r w:rsidR="00546863">
        <w:t>;</w:t>
      </w:r>
    </w:p>
    <w:p w14:paraId="38850856" w14:textId="20AC41FE" w:rsidR="00546863" w:rsidRDefault="00546863" w:rsidP="00546863">
      <w:pPr>
        <w:pStyle w:val="ListParagraph"/>
        <w:numPr>
          <w:ilvl w:val="0"/>
          <w:numId w:val="13"/>
        </w:numPr>
        <w:spacing w:after="160" w:line="259" w:lineRule="auto"/>
        <w:contextualSpacing/>
      </w:pPr>
      <w:r>
        <w:t>BWR and PWR CWSRA claddings irradiated in today’s reactors discharging fuel with maximum rod-average burnup of ~62 GWd/MTU</w:t>
      </w:r>
      <w:r w:rsidR="00B8505B">
        <w:t>, because of low rod internal pressures in discharged fuel rods.</w:t>
      </w:r>
    </w:p>
    <w:p w14:paraId="43E634A2" w14:textId="75BB8BB5" w:rsidR="00546863" w:rsidRDefault="005D0AAD" w:rsidP="00546863">
      <w:pPr>
        <w:pStyle w:val="BodyText"/>
      </w:pPr>
      <w:r>
        <w:t>Recrystallized or partially recrystallized BWR (</w:t>
      </w:r>
      <w:r w:rsidR="00E433A8">
        <w:t xml:space="preserve">with </w:t>
      </w:r>
      <w:r>
        <w:t>no inner liner) and PWR</w:t>
      </w:r>
      <w:r w:rsidR="00E433A8">
        <w:t xml:space="preserve"> </w:t>
      </w:r>
      <w:r>
        <w:t xml:space="preserve">claddings </w:t>
      </w:r>
      <w:r w:rsidR="00E433A8">
        <w:t xml:space="preserve">may be more susceptible to hydride reorientation. However, the impact of radial hydrides on mechanical properties is minimal, if any, when peak cladding temperatures and time at high temperature are </w:t>
      </w:r>
      <w:r w:rsidR="004529BF">
        <w:t xml:space="preserve">both </w:t>
      </w:r>
      <w:r w:rsidR="00E433A8">
        <w:t xml:space="preserve">high and long enough during dry storage, resulting in annealing of radiation damage. </w:t>
      </w:r>
      <w:r w:rsidR="00546863">
        <w:t>There presently remains some lack of experimental verification in the open literature for the impact of radial hydrides in RX or partially recrystallized (pRX) alloys when hydride dissolution upon heating and reprecipitation upon cooling occur in a temperature range sufficiently high for complete hydride dissolution</w:t>
      </w:r>
      <w:r w:rsidR="00B8505B">
        <w:t>,</w:t>
      </w:r>
      <w:r w:rsidR="00546863">
        <w:t xml:space="preserve"> but too low for any significant radiation damage annealing.</w:t>
      </w:r>
    </w:p>
    <w:p w14:paraId="4943AA39" w14:textId="77777777" w:rsidR="00546863" w:rsidRPr="00C0559F" w:rsidRDefault="00546863" w:rsidP="00397E67">
      <w:pPr>
        <w:pStyle w:val="BodyText"/>
      </w:pPr>
    </w:p>
    <w:p w14:paraId="02C6C396" w14:textId="5A50AF37" w:rsidR="00285755" w:rsidRDefault="00285755" w:rsidP="00537496">
      <w:pPr>
        <w:pStyle w:val="Otherunnumberedheadings"/>
      </w:pPr>
      <w:r w:rsidRPr="00285755">
        <w:t>ACKNOWLEDGMENTS</w:t>
      </w:r>
    </w:p>
    <w:p w14:paraId="01FB5FB0" w14:textId="429C6CA1" w:rsidR="00ED1C57" w:rsidRDefault="00185AE5" w:rsidP="00546863">
      <w:pPr>
        <w:pStyle w:val="BodyText"/>
      </w:pPr>
      <w:r w:rsidRPr="00546863">
        <w:t>Th</w:t>
      </w:r>
      <w:r w:rsidR="00081E67" w:rsidRPr="00546863">
        <w:t>e thermal creep</w:t>
      </w:r>
      <w:r w:rsidRPr="00546863">
        <w:t xml:space="preserve"> work was sponsored </w:t>
      </w:r>
      <w:r w:rsidR="00081E67" w:rsidRPr="00546863">
        <w:t xml:space="preserve">by </w:t>
      </w:r>
      <w:r w:rsidRPr="00546863">
        <w:t>Advanced Nuclear Technology International (ANT</w:t>
      </w:r>
      <w:r w:rsidR="00081E67" w:rsidRPr="00546863">
        <w:t xml:space="preserve"> International</w:t>
      </w:r>
      <w:r w:rsidRPr="00546863">
        <w:t>)</w:t>
      </w:r>
      <w:r w:rsidR="00081E67" w:rsidRPr="00546863">
        <w:t xml:space="preserve"> and the hydride reorientation work by the Electric Power Research Institute (EPRI)</w:t>
      </w:r>
      <w:r w:rsidR="00546863">
        <w:t>.</w:t>
      </w:r>
    </w:p>
    <w:p w14:paraId="060034C2" w14:textId="50F4A8E7" w:rsidR="000E3BAB" w:rsidRDefault="000E3BAB" w:rsidP="00546863">
      <w:pPr>
        <w:pStyle w:val="BodyText"/>
      </w:pPr>
    </w:p>
    <w:p w14:paraId="186872E0" w14:textId="77777777" w:rsidR="00D26ADA" w:rsidRPr="00285755" w:rsidRDefault="00D26ADA" w:rsidP="00537496">
      <w:pPr>
        <w:pStyle w:val="Otherunnumberedheadings"/>
      </w:pPr>
      <w:r>
        <w:t>References</w:t>
      </w:r>
    </w:p>
    <w:p w14:paraId="428C9686" w14:textId="77777777" w:rsidR="008D5EE1" w:rsidRPr="005C74E7" w:rsidRDefault="00081E67" w:rsidP="00E252C4">
      <w:pPr>
        <w:pStyle w:val="Referencelist"/>
        <w:rPr>
          <w:bCs/>
          <w:lang w:val="en-US" w:eastAsia="en-GB"/>
        </w:rPr>
      </w:pPr>
      <w:r w:rsidRPr="005C74E7">
        <w:t>NRC</w:t>
      </w:r>
      <w:r w:rsidR="00D26ADA" w:rsidRPr="005C74E7">
        <w:t xml:space="preserve">, </w:t>
      </w:r>
      <w:r w:rsidR="008140F9" w:rsidRPr="005C74E7">
        <w:t>Standard Review Plan for Dry Cask Storage Systems, U.S. Nuclear Regulatory Commission, Washington, DC, USA (1997)</w:t>
      </w:r>
      <w:r w:rsidR="007A72B8" w:rsidRPr="005C74E7">
        <w:t>.</w:t>
      </w:r>
    </w:p>
    <w:p w14:paraId="1D1EF0D2" w14:textId="232FEEE5" w:rsidR="009E0D5B" w:rsidRPr="00E252C4" w:rsidRDefault="00081E67" w:rsidP="005A5FB0">
      <w:pPr>
        <w:pStyle w:val="Referencelist"/>
      </w:pPr>
      <w:r w:rsidRPr="005C74E7">
        <w:t>EINZIGER</w:t>
      </w:r>
      <w:r w:rsidR="008140F9" w:rsidRPr="005C74E7">
        <w:t xml:space="preserve"> </w:t>
      </w:r>
      <w:r w:rsidR="008140F9" w:rsidRPr="00E252C4">
        <w:rPr>
          <w:lang w:val="en-US" w:eastAsia="en-GB"/>
        </w:rPr>
        <w:t>R.E., S. D. ATKIN, D.E. STELLRECHT and V. PASUPATHI</w:t>
      </w:r>
      <w:r w:rsidR="009E0D5B" w:rsidRPr="005C74E7">
        <w:t xml:space="preserve">, </w:t>
      </w:r>
      <w:r w:rsidR="005448EA" w:rsidRPr="00E252C4">
        <w:rPr>
          <w:bCs/>
          <w:i/>
          <w:lang w:val="en-US" w:eastAsia="en-GB"/>
        </w:rPr>
        <w:t>High</w:t>
      </w:r>
      <w:r w:rsidR="005448EA" w:rsidRPr="00E252C4">
        <w:rPr>
          <w:bCs/>
          <w:lang w:val="en-US" w:eastAsia="en-GB"/>
        </w:rPr>
        <w:t xml:space="preserve"> </w:t>
      </w:r>
      <w:r w:rsidR="005448EA" w:rsidRPr="00E252C4">
        <w:rPr>
          <w:bCs/>
          <w:i/>
          <w:lang w:val="en-US" w:eastAsia="en-GB"/>
        </w:rPr>
        <w:t>Temperature</w:t>
      </w:r>
      <w:r w:rsidR="00E252C4" w:rsidRPr="00E252C4">
        <w:rPr>
          <w:bCs/>
          <w:i/>
          <w:lang w:val="en-US" w:eastAsia="en-GB"/>
        </w:rPr>
        <w:t xml:space="preserve"> </w:t>
      </w:r>
      <w:r w:rsidR="005448EA" w:rsidRPr="00E252C4">
        <w:rPr>
          <w:bCs/>
          <w:i/>
          <w:lang w:val="en-US" w:eastAsia="en-GB"/>
        </w:rPr>
        <w:t>Post</w:t>
      </w:r>
      <w:r w:rsidR="005C74E7" w:rsidRPr="00E252C4">
        <w:rPr>
          <w:bCs/>
          <w:i/>
          <w:lang w:val="en-US" w:eastAsia="en-GB"/>
        </w:rPr>
        <w:t>-</w:t>
      </w:r>
      <w:r w:rsidR="005448EA" w:rsidRPr="00E252C4">
        <w:rPr>
          <w:bCs/>
          <w:i/>
          <w:lang w:val="en-US" w:eastAsia="en-GB"/>
        </w:rPr>
        <w:t>irradiation Materials Performance of Spent Pressurized Water Reactor Fuel Rods under Dry Storage Conditions</w:t>
      </w:r>
      <w:r w:rsidR="00A04A4B" w:rsidRPr="00E252C4">
        <w:rPr>
          <w:bCs/>
          <w:i/>
          <w:lang w:val="en-US" w:eastAsia="en-GB"/>
        </w:rPr>
        <w:t xml:space="preserve">, </w:t>
      </w:r>
      <w:r w:rsidR="005448EA" w:rsidRPr="005C3D94">
        <w:t>Nuclear Technology</w:t>
      </w:r>
      <w:r w:rsidR="008140F9" w:rsidRPr="005C3D94">
        <w:t>,</w:t>
      </w:r>
      <w:r w:rsidR="008140F9" w:rsidRPr="00E252C4">
        <w:t xml:space="preserve"> Vol. 57 (1982).</w:t>
      </w:r>
    </w:p>
    <w:p w14:paraId="470976F7" w14:textId="19BD6EC0" w:rsidR="009E0D5B" w:rsidRDefault="009E0D5B" w:rsidP="00E252C4">
      <w:pPr>
        <w:pStyle w:val="Referencelist"/>
      </w:pPr>
      <w:r>
        <w:t xml:space="preserve"> </w:t>
      </w:r>
      <w:r w:rsidR="00A04A4B">
        <w:t xml:space="preserve">NRC, Standard Review Plan for Spent Fuel Dry Storage System at a General License Facility, Final Report, Office of Nuclear Material Safety and Safeguards, U.S. Nuclear Regulatory Commission, Rockville, Maryland, </w:t>
      </w:r>
      <w:bookmarkStart w:id="5" w:name="_GoBack"/>
      <w:bookmarkEnd w:id="5"/>
      <w:r w:rsidR="00A04A4B">
        <w:t>Revision 1 (2010)</w:t>
      </w:r>
      <w:r>
        <w:t>.</w:t>
      </w:r>
    </w:p>
    <w:p w14:paraId="134E8CFA" w14:textId="688BA2CB" w:rsidR="00A04A4B" w:rsidRDefault="00A04A4B" w:rsidP="00E252C4">
      <w:pPr>
        <w:pStyle w:val="Referencelist"/>
      </w:pPr>
      <w:r>
        <w:t>NRC, Staff Interim Guidance 11, Revision 3, Cladding Considerations for the Transportation and Storage of Spent Fuel, Rockville, Maryland, USA, 2013.</w:t>
      </w:r>
    </w:p>
    <w:p w14:paraId="2A9433A4" w14:textId="77777777" w:rsidR="00311BF3" w:rsidRDefault="007A42AE" w:rsidP="00E252C4">
      <w:pPr>
        <w:pStyle w:val="Referencelist"/>
      </w:pPr>
      <w:r w:rsidRPr="00A04A4B">
        <w:t>C</w:t>
      </w:r>
      <w:r w:rsidR="00A04A4B">
        <w:t xml:space="preserve">HIN B.A., </w:t>
      </w:r>
      <w:r w:rsidR="00A04A4B" w:rsidRPr="00311BF3">
        <w:rPr>
          <w:caps/>
        </w:rPr>
        <w:t>Khan M.A. and Tarn J.C.L</w:t>
      </w:r>
      <w:r w:rsidR="00A04A4B">
        <w:t xml:space="preserve">., </w:t>
      </w:r>
      <w:r w:rsidR="00A04A4B" w:rsidRPr="00DB6DE9">
        <w:rPr>
          <w:i/>
        </w:rPr>
        <w:t>Deformation and fracture map methodology for predicting cladding behaviour during dry storage</w:t>
      </w:r>
      <w:r w:rsidR="00A04A4B">
        <w:t>, PNL Report 5998, 1986</w:t>
      </w:r>
      <w:r w:rsidR="00D26ADA" w:rsidRPr="009E0D5B">
        <w:t>.</w:t>
      </w:r>
    </w:p>
    <w:p w14:paraId="6CB5106D" w14:textId="56565FE2" w:rsidR="00311BF3" w:rsidRDefault="007A42AE" w:rsidP="00E252C4">
      <w:pPr>
        <w:pStyle w:val="Referencelist"/>
      </w:pPr>
      <w:r w:rsidRPr="00311BF3">
        <w:t>ITO</w:t>
      </w:r>
      <w:r w:rsidR="00A04A4B" w:rsidRPr="00311BF3">
        <w:t xml:space="preserve"> K</w:t>
      </w:r>
      <w:r w:rsidR="00A42898" w:rsidRPr="00311BF3">
        <w:t xml:space="preserve">., </w:t>
      </w:r>
      <w:r w:rsidR="005448EA" w:rsidRPr="00311BF3">
        <w:t xml:space="preserve">K. </w:t>
      </w:r>
      <w:r w:rsidR="005448EA" w:rsidRPr="00311BF3">
        <w:rPr>
          <w:caps/>
        </w:rPr>
        <w:t>Kamimura, and TSukuda Y</w:t>
      </w:r>
      <w:r w:rsidR="005448EA" w:rsidRPr="00311BF3">
        <w:t xml:space="preserve">., </w:t>
      </w:r>
      <w:r w:rsidR="005448EA" w:rsidRPr="00DB6DE9">
        <w:rPr>
          <w:i/>
        </w:rPr>
        <w:t>Evaluation of Irradiation Effects on Spent Fuel Cladding Creep Properties</w:t>
      </w:r>
      <w:r w:rsidR="005448EA" w:rsidRPr="00311BF3">
        <w:t>, International Meeting on LWR Fuel Performance, Orlando, Florida, USA American Nuclear Society, Paper 1117, (2004)</w:t>
      </w:r>
      <w:r w:rsidR="007A72B8">
        <w:t>.</w:t>
      </w:r>
    </w:p>
    <w:p w14:paraId="17F42923" w14:textId="58D3F477" w:rsidR="00311BF3" w:rsidRDefault="00DA5E87" w:rsidP="00E252C4">
      <w:pPr>
        <w:pStyle w:val="Referencelist"/>
      </w:pPr>
      <w:r w:rsidRPr="00311BF3">
        <w:rPr>
          <w:bCs/>
          <w:iCs/>
          <w:lang w:val="en-US" w:eastAsia="en-GB"/>
        </w:rPr>
        <w:t>Spent Fuel Performance</w:t>
      </w:r>
      <w:r w:rsidR="00311BF3" w:rsidRPr="00311BF3">
        <w:rPr>
          <w:bCs/>
          <w:iCs/>
          <w:lang w:val="en-US" w:eastAsia="en-GB"/>
        </w:rPr>
        <w:t xml:space="preserve"> </w:t>
      </w:r>
      <w:r w:rsidRPr="00311BF3">
        <w:rPr>
          <w:bCs/>
          <w:iCs/>
          <w:lang w:val="en-US" w:eastAsia="en-GB"/>
        </w:rPr>
        <w:t>Assessment and Research:</w:t>
      </w:r>
      <w:r w:rsidR="00311BF3" w:rsidRPr="00311BF3">
        <w:rPr>
          <w:bCs/>
          <w:iCs/>
          <w:lang w:val="en-US" w:eastAsia="en-GB"/>
        </w:rPr>
        <w:t xml:space="preserve"> </w:t>
      </w:r>
      <w:r w:rsidRPr="00311BF3">
        <w:rPr>
          <w:bCs/>
          <w:iCs/>
          <w:lang w:val="en-US" w:eastAsia="en-GB"/>
        </w:rPr>
        <w:t>Final Report of a Coordinated</w:t>
      </w:r>
      <w:r w:rsidR="00311BF3" w:rsidRPr="00311BF3">
        <w:rPr>
          <w:bCs/>
          <w:iCs/>
          <w:lang w:val="en-US" w:eastAsia="en-GB"/>
        </w:rPr>
        <w:t xml:space="preserve"> </w:t>
      </w:r>
      <w:r w:rsidRPr="00311BF3">
        <w:rPr>
          <w:bCs/>
          <w:iCs/>
          <w:lang w:val="en-US" w:eastAsia="en-GB"/>
        </w:rPr>
        <w:t>Research Project (SPAR-II)</w:t>
      </w:r>
      <w:r w:rsidR="00311BF3" w:rsidRPr="00311BF3">
        <w:rPr>
          <w:bCs/>
          <w:iCs/>
          <w:lang w:val="en-US" w:eastAsia="en-GB"/>
        </w:rPr>
        <w:t xml:space="preserve">, </w:t>
      </w:r>
      <w:r w:rsidR="00311BF3" w:rsidRPr="00311BF3">
        <w:rPr>
          <w:rFonts w:ascii="TimesNewRoman" w:hAnsi="TimesNewRoman" w:cs="TimesNewRoman"/>
          <w:lang w:val="en-US" w:eastAsia="en-GB"/>
        </w:rPr>
        <w:t>IAEA-TECDOC-1680,</w:t>
      </w:r>
      <w:r w:rsidR="00311BF3" w:rsidRPr="00311BF3">
        <w:t xml:space="preserve"> </w:t>
      </w:r>
      <w:r w:rsidR="007A42AE">
        <w:t>I</w:t>
      </w:r>
      <w:r w:rsidR="00311BF3">
        <w:t xml:space="preserve">nternational </w:t>
      </w:r>
      <w:r w:rsidR="007A42AE">
        <w:t>A</w:t>
      </w:r>
      <w:r w:rsidR="00311BF3">
        <w:t xml:space="preserve">tomic </w:t>
      </w:r>
      <w:r w:rsidR="007A42AE">
        <w:t>E</w:t>
      </w:r>
      <w:r w:rsidR="00311BF3">
        <w:t xml:space="preserve">nergy </w:t>
      </w:r>
      <w:r w:rsidR="007A42AE">
        <w:t>A</w:t>
      </w:r>
      <w:r w:rsidR="00311BF3">
        <w:t>gency, Vienna, Austria (2012)</w:t>
      </w:r>
      <w:r w:rsidR="007A72B8">
        <w:t>.</w:t>
      </w:r>
    </w:p>
    <w:p w14:paraId="61A155A7" w14:textId="3E082082" w:rsidR="005448EA" w:rsidRDefault="007A42AE" w:rsidP="00E252C4">
      <w:pPr>
        <w:pStyle w:val="Referencelist"/>
      </w:pPr>
      <w:r>
        <w:t>KASPAR</w:t>
      </w:r>
      <w:r w:rsidR="005448EA">
        <w:t xml:space="preserve"> G., </w:t>
      </w:r>
      <w:r w:rsidR="005448EA" w:rsidRPr="00AA5532">
        <w:t>Peehs</w:t>
      </w:r>
      <w:r w:rsidR="005448EA">
        <w:t xml:space="preserve"> M., and STEINBERG E., </w:t>
      </w:r>
      <w:r w:rsidR="005448EA" w:rsidRPr="00DB6DE9">
        <w:rPr>
          <w:i/>
        </w:rPr>
        <w:t>Experimental Investigation of post pile creep of Zircaloy cladding tubes</w:t>
      </w:r>
      <w:r w:rsidR="003728E6">
        <w:t>,</w:t>
      </w:r>
      <w:r w:rsidR="005448EA">
        <w:t xml:space="preserve"> 8</w:t>
      </w:r>
      <w:r w:rsidR="005448EA" w:rsidRPr="00AA5532">
        <w:t>th</w:t>
      </w:r>
      <w:r w:rsidR="005448EA">
        <w:t xml:space="preserve"> SMIRT Conference, Brussels, Belgium, 1985</w:t>
      </w:r>
      <w:r w:rsidR="007A72B8">
        <w:t>.</w:t>
      </w:r>
    </w:p>
    <w:p w14:paraId="427D5A59" w14:textId="77777777" w:rsidR="002376A6" w:rsidRPr="002376A6" w:rsidRDefault="00AA5532" w:rsidP="00E252C4">
      <w:pPr>
        <w:pStyle w:val="Referencelist"/>
        <w:rPr>
          <w:lang w:val="en-US" w:eastAsia="en-GB"/>
        </w:rPr>
      </w:pPr>
      <w:r>
        <w:t>WOODFORD</w:t>
      </w:r>
      <w:r w:rsidR="000F2B7F">
        <w:t xml:space="preserve"> D.A., </w:t>
      </w:r>
      <w:r w:rsidR="000F2B7F" w:rsidRPr="002376A6">
        <w:rPr>
          <w:i/>
        </w:rPr>
        <w:t>Strain Rate Sensitivity as a Measure of Ductility</w:t>
      </w:r>
      <w:r w:rsidR="000F2B7F">
        <w:t>, Transactions of the ASM, Vol. 62, pp. 291-</w:t>
      </w:r>
      <w:r w:rsidR="000F2B7F" w:rsidRPr="002376A6">
        <w:t>293, 1969.</w:t>
      </w:r>
    </w:p>
    <w:p w14:paraId="6F7D3BAA" w14:textId="53534EF0" w:rsidR="002376A6" w:rsidRDefault="002376A6" w:rsidP="00E252C4">
      <w:pPr>
        <w:pStyle w:val="Referencelist"/>
        <w:rPr>
          <w:lang w:val="en-US" w:eastAsia="en-GB"/>
        </w:rPr>
      </w:pPr>
      <w:r w:rsidRPr="002376A6">
        <w:rPr>
          <w:lang w:val="en-US" w:eastAsia="en-GB"/>
        </w:rPr>
        <w:lastRenderedPageBreak/>
        <w:t xml:space="preserve">BILLONE M.C., BURTSEVA T.A., </w:t>
      </w:r>
      <w:r>
        <w:rPr>
          <w:lang w:val="en-US" w:eastAsia="en-GB"/>
        </w:rPr>
        <w:t xml:space="preserve">and </w:t>
      </w:r>
      <w:r w:rsidRPr="002376A6">
        <w:rPr>
          <w:lang w:val="en-US" w:eastAsia="en-GB"/>
        </w:rPr>
        <w:t xml:space="preserve">EINZIGER R.E., </w:t>
      </w:r>
      <w:r w:rsidRPr="002376A6">
        <w:rPr>
          <w:i/>
          <w:lang w:val="en-US" w:eastAsia="en-GB"/>
        </w:rPr>
        <w:t>Ductile-to-brittle transition temperature for high-burnup cladding alloys exposed to simulated drying-storage conditions</w:t>
      </w:r>
      <w:r w:rsidRPr="002376A6">
        <w:rPr>
          <w:lang w:val="en-US" w:eastAsia="en-GB"/>
        </w:rPr>
        <w:t>, J. Nucl. Mater. 433 (2013)</w:t>
      </w:r>
      <w:r w:rsidR="007A72B8">
        <w:rPr>
          <w:lang w:val="en-US" w:eastAsia="en-GB"/>
        </w:rPr>
        <w:t>.</w:t>
      </w:r>
    </w:p>
    <w:p w14:paraId="6E3B69C6" w14:textId="3A185A77" w:rsidR="002376A6" w:rsidRDefault="002376A6" w:rsidP="00E252C4">
      <w:pPr>
        <w:pStyle w:val="Referencelist"/>
        <w:rPr>
          <w:lang w:val="en-US" w:eastAsia="en-GB"/>
        </w:rPr>
      </w:pPr>
      <w:r>
        <w:rPr>
          <w:lang w:val="en-US" w:eastAsia="en-GB"/>
        </w:rPr>
        <w:t>YAGNIK S</w:t>
      </w:r>
      <w:r w:rsidR="00DB37B8">
        <w:rPr>
          <w:lang w:val="en-US" w:eastAsia="en-GB"/>
        </w:rPr>
        <w:t>.</w:t>
      </w:r>
      <w:r w:rsidR="007A72B8">
        <w:rPr>
          <w:lang w:val="en-US" w:eastAsia="en-GB"/>
        </w:rPr>
        <w:t xml:space="preserve">, </w:t>
      </w:r>
      <w:r w:rsidR="007A72B8" w:rsidRPr="007A72B8">
        <w:t xml:space="preserve">KUO R.C., RASHID Y.R., MACHIELS A.J., and YANG R.L., </w:t>
      </w:r>
      <w:r w:rsidR="007A72B8" w:rsidRPr="007A72B8">
        <w:rPr>
          <w:i/>
        </w:rPr>
        <w:t>Effect of Hydrides on the Mechanical Properties of Zircaloy-4</w:t>
      </w:r>
      <w:r w:rsidR="007A72B8" w:rsidRPr="007A72B8">
        <w:t>, ANS Topical Meeting on LWR Fuel Performance, Orlando, FL (2004)</w:t>
      </w:r>
      <w:r w:rsidR="007A72B8">
        <w:t>.</w:t>
      </w:r>
    </w:p>
    <w:p w14:paraId="47C69EA0" w14:textId="180689BE" w:rsidR="00743F1B" w:rsidRDefault="003F0506" w:rsidP="00E252C4">
      <w:pPr>
        <w:pStyle w:val="Referencelist"/>
        <w:rPr>
          <w:lang w:val="en-US" w:eastAsia="en-GB"/>
        </w:rPr>
      </w:pPr>
      <w:r w:rsidRPr="003F0506">
        <w:rPr>
          <w:lang w:val="en-US" w:eastAsia="en-GB"/>
        </w:rPr>
        <w:t>KUBO</w:t>
      </w:r>
      <w:r>
        <w:rPr>
          <w:lang w:val="en-US" w:eastAsia="en-GB"/>
        </w:rPr>
        <w:t xml:space="preserve"> T.,</w:t>
      </w:r>
      <w:r w:rsidRPr="003F0506">
        <w:rPr>
          <w:lang w:val="en-US" w:eastAsia="en-GB"/>
        </w:rPr>
        <w:t xml:space="preserve"> KOBAYASHI</w:t>
      </w:r>
      <w:r>
        <w:rPr>
          <w:lang w:val="en-US" w:eastAsia="en-GB"/>
        </w:rPr>
        <w:t xml:space="preserve"> Y., and </w:t>
      </w:r>
      <w:r w:rsidRPr="003F0506">
        <w:rPr>
          <w:lang w:val="en-US" w:eastAsia="en-GB"/>
        </w:rPr>
        <w:t>UCHIKOSHI</w:t>
      </w:r>
      <w:r>
        <w:rPr>
          <w:lang w:val="en-US" w:eastAsia="en-GB"/>
        </w:rPr>
        <w:t xml:space="preserve"> </w:t>
      </w:r>
      <w:r w:rsidRPr="003F0506">
        <w:rPr>
          <w:lang w:val="en-US" w:eastAsia="en-GB"/>
        </w:rPr>
        <w:t xml:space="preserve">H., </w:t>
      </w:r>
      <w:r w:rsidR="00661BEC" w:rsidRPr="00661BEC">
        <w:rPr>
          <w:i/>
          <w:lang w:val="en-US" w:eastAsia="en-GB"/>
        </w:rPr>
        <w:t xml:space="preserve">Determination of fracture strength of </w:t>
      </w:r>
      <w:r w:rsidR="00661BEC" w:rsidRPr="00661BEC">
        <w:rPr>
          <w:rFonts w:ascii="Symbol" w:hAnsi="Symbol"/>
          <w:i/>
          <w:lang w:val="en-US" w:eastAsia="en-GB"/>
        </w:rPr>
        <w:t></w:t>
      </w:r>
      <w:r w:rsidR="00661BEC" w:rsidRPr="00661BEC">
        <w:rPr>
          <w:i/>
          <w:lang w:val="en-US" w:eastAsia="en-GB"/>
        </w:rPr>
        <w:t>-zirconium hydrides embedded in zirconium matrix at high temperatures,</w:t>
      </w:r>
      <w:r w:rsidR="00661BEC">
        <w:rPr>
          <w:lang w:val="en-US" w:eastAsia="en-GB"/>
        </w:rPr>
        <w:t xml:space="preserve"> </w:t>
      </w:r>
      <w:r w:rsidRPr="003F0506">
        <w:rPr>
          <w:lang w:val="en-US" w:eastAsia="en-GB"/>
        </w:rPr>
        <w:t>J</w:t>
      </w:r>
      <w:r>
        <w:rPr>
          <w:lang w:val="en-US" w:eastAsia="en-GB"/>
        </w:rPr>
        <w:t>ournal of</w:t>
      </w:r>
      <w:r w:rsidRPr="003F0506">
        <w:rPr>
          <w:lang w:val="en-US" w:eastAsia="en-GB"/>
        </w:rPr>
        <w:t xml:space="preserve"> Nucl</w:t>
      </w:r>
      <w:r>
        <w:rPr>
          <w:lang w:val="en-US" w:eastAsia="en-GB"/>
        </w:rPr>
        <w:t>ear</w:t>
      </w:r>
      <w:r w:rsidRPr="003F0506">
        <w:rPr>
          <w:lang w:val="en-US" w:eastAsia="en-GB"/>
        </w:rPr>
        <w:t xml:space="preserve"> Mater</w:t>
      </w:r>
      <w:r>
        <w:rPr>
          <w:lang w:val="en-US" w:eastAsia="en-GB"/>
        </w:rPr>
        <w:t>ials</w:t>
      </w:r>
      <w:r w:rsidRPr="003F0506">
        <w:rPr>
          <w:lang w:val="en-US" w:eastAsia="en-GB"/>
        </w:rPr>
        <w:t>. 435 (2013)</w:t>
      </w:r>
      <w:r>
        <w:rPr>
          <w:lang w:val="en-US" w:eastAsia="en-GB"/>
        </w:rPr>
        <w:t>.</w:t>
      </w:r>
    </w:p>
    <w:p w14:paraId="6FFBEB14" w14:textId="3C6EC692" w:rsidR="00804318" w:rsidRDefault="00804318" w:rsidP="00E252C4">
      <w:pPr>
        <w:pStyle w:val="Referencelist"/>
        <w:rPr>
          <w:lang w:val="en-US" w:eastAsia="en-GB"/>
        </w:rPr>
      </w:pPr>
      <w:r>
        <w:rPr>
          <w:lang w:val="en-US" w:eastAsia="en-GB"/>
        </w:rPr>
        <w:t xml:space="preserve">GEELHOOD K., BEYER C., and LUSCHER W., Stress/Strain Correlation for Zircaloy, Battelle Pacific Northwest Laboratory, Springfield, Virginia, USA, 2008. </w:t>
      </w:r>
    </w:p>
    <w:p w14:paraId="7D4382DE" w14:textId="25C8BFBD" w:rsidR="00DB37B8" w:rsidRDefault="00DB37B8" w:rsidP="00743F1B">
      <w:pPr>
        <w:pStyle w:val="Referencelist"/>
        <w:rPr>
          <w:lang w:val="en-US" w:eastAsia="en-GB"/>
        </w:rPr>
      </w:pPr>
      <w:r w:rsidRPr="00743F1B">
        <w:rPr>
          <w:lang w:val="en-US" w:eastAsia="en-GB"/>
        </w:rPr>
        <w:t>AUZOUX Q</w:t>
      </w:r>
      <w:r w:rsidR="00743F1B" w:rsidRPr="00743F1B">
        <w:rPr>
          <w:lang w:val="en-US" w:eastAsia="en-GB"/>
        </w:rPr>
        <w:t xml:space="preserve">., </w:t>
      </w:r>
      <w:r w:rsidR="00743F1B" w:rsidRPr="00743F1B">
        <w:rPr>
          <w:lang w:val="fr-FR"/>
        </w:rPr>
        <w:t>BOUFFIOUX</w:t>
      </w:r>
      <w:r w:rsidR="00743F1B" w:rsidRPr="00743F1B">
        <w:rPr>
          <w:vertAlign w:val="superscript"/>
          <w:lang w:val="fr-FR"/>
        </w:rPr>
        <w:t xml:space="preserve"> </w:t>
      </w:r>
      <w:r w:rsidR="00743F1B" w:rsidRPr="00743F1B">
        <w:rPr>
          <w:lang w:val="fr-FR"/>
        </w:rPr>
        <w:t>P., MACHIELS A.J., YAGNIK</w:t>
      </w:r>
      <w:r w:rsidR="00743F1B" w:rsidRPr="00743F1B">
        <w:rPr>
          <w:vertAlign w:val="superscript"/>
          <w:lang w:val="fr-FR"/>
        </w:rPr>
        <w:t xml:space="preserve"> </w:t>
      </w:r>
      <w:r w:rsidR="00743F1B" w:rsidRPr="00743F1B">
        <w:rPr>
          <w:lang w:val="fr-FR"/>
        </w:rPr>
        <w:t>S., BOURDILIAU</w:t>
      </w:r>
      <w:r w:rsidR="00743F1B" w:rsidRPr="00743F1B">
        <w:rPr>
          <w:vertAlign w:val="superscript"/>
          <w:lang w:val="fr-FR"/>
        </w:rPr>
        <w:t xml:space="preserve"> </w:t>
      </w:r>
      <w:r w:rsidR="00743F1B" w:rsidRPr="00743F1B">
        <w:rPr>
          <w:lang w:val="fr-FR"/>
        </w:rPr>
        <w:t>B., MALLET C., MOZZANI</w:t>
      </w:r>
      <w:r w:rsidR="00743F1B" w:rsidRPr="00743F1B">
        <w:rPr>
          <w:vertAlign w:val="superscript"/>
          <w:lang w:val="fr-FR"/>
        </w:rPr>
        <w:t xml:space="preserve"> </w:t>
      </w:r>
      <w:r w:rsidR="00743F1B" w:rsidRPr="00743F1B">
        <w:rPr>
          <w:lang w:val="fr-FR"/>
        </w:rPr>
        <w:t xml:space="preserve">N., and COLAS </w:t>
      </w:r>
      <w:r w:rsidR="007A72B8" w:rsidRPr="00743F1B">
        <w:rPr>
          <w:lang w:val="fr-FR"/>
        </w:rPr>
        <w:t>K.</w:t>
      </w:r>
      <w:r w:rsidR="00743F1B" w:rsidRPr="00743F1B">
        <w:rPr>
          <w:lang w:val="fr-FR"/>
        </w:rPr>
        <w:t xml:space="preserve">, </w:t>
      </w:r>
      <w:r w:rsidR="00743F1B" w:rsidRPr="00743F1B">
        <w:rPr>
          <w:i/>
          <w:lang w:val="en-US" w:eastAsia="en-GB"/>
        </w:rPr>
        <w:t xml:space="preserve">Hydride reorientation and its impact on ambient temperature mechanical properties of high burn-up irradiated and unirradiated recrystallized Zircaloy-2 nuclear fuel cladding with an inner liner, </w:t>
      </w:r>
      <w:r w:rsidR="00743F1B" w:rsidRPr="00743F1B">
        <w:rPr>
          <w:lang w:val="en-US" w:eastAsia="en-GB"/>
        </w:rPr>
        <w:t>Journal of Nuclear Materials 494 (2017)</w:t>
      </w:r>
      <w:r w:rsidR="007E3631">
        <w:rPr>
          <w:lang w:val="en-US" w:eastAsia="en-GB"/>
        </w:rPr>
        <w:t>.</w:t>
      </w:r>
    </w:p>
    <w:p w14:paraId="30CC975F" w14:textId="77777777" w:rsidR="004A2300" w:rsidRPr="004A2300" w:rsidRDefault="00BC2862" w:rsidP="00743F1B">
      <w:pPr>
        <w:pStyle w:val="Referencelist"/>
        <w:rPr>
          <w:lang w:val="en-US" w:eastAsia="en-GB"/>
        </w:rPr>
      </w:pPr>
      <w:r>
        <w:rPr>
          <w:sz w:val="20"/>
          <w:szCs w:val="20"/>
        </w:rPr>
        <w:t>BARBERIS P</w:t>
      </w:r>
      <w:r w:rsidR="000D1725">
        <w:rPr>
          <w:sz w:val="20"/>
          <w:szCs w:val="20"/>
        </w:rPr>
        <w:t xml:space="preserve">., </w:t>
      </w:r>
      <w:r>
        <w:rPr>
          <w:sz w:val="20"/>
          <w:szCs w:val="20"/>
        </w:rPr>
        <w:t xml:space="preserve">VAUGLIN C., FREMIOT P., and GUERIN P., </w:t>
      </w:r>
      <w:r>
        <w:rPr>
          <w:i/>
          <w:iCs/>
          <w:sz w:val="20"/>
          <w:szCs w:val="20"/>
        </w:rPr>
        <w:t>Thermodynamics of Zr alloys: application to heterogeneous materials</w:t>
      </w:r>
      <w:r w:rsidR="000D1725">
        <w:rPr>
          <w:sz w:val="20"/>
          <w:szCs w:val="20"/>
        </w:rPr>
        <w:t xml:space="preserve">, </w:t>
      </w:r>
      <w:r>
        <w:rPr>
          <w:sz w:val="20"/>
          <w:szCs w:val="20"/>
        </w:rPr>
        <w:t>ASTM International Symposium on Zirconium in the Nuclear Industry, Hyderabad, ASTM STP 1543, 2015</w:t>
      </w:r>
      <w:r w:rsidR="000D1725">
        <w:rPr>
          <w:sz w:val="20"/>
          <w:szCs w:val="20"/>
        </w:rPr>
        <w:t>.</w:t>
      </w:r>
    </w:p>
    <w:p w14:paraId="1D3EA1A2" w14:textId="1BCA091E" w:rsidR="0069714A" w:rsidRDefault="007E3631" w:rsidP="00743F1B">
      <w:pPr>
        <w:pStyle w:val="Referencelist"/>
        <w:rPr>
          <w:lang w:val="en-US" w:eastAsia="en-GB"/>
        </w:rPr>
      </w:pPr>
      <w:r>
        <w:rPr>
          <w:lang w:val="en-US" w:eastAsia="en-GB"/>
        </w:rPr>
        <w:t xml:space="preserve">KAMIMURA </w:t>
      </w:r>
      <w:r w:rsidR="0069714A">
        <w:rPr>
          <w:lang w:val="en-US" w:eastAsia="en-GB"/>
        </w:rPr>
        <w:t>K., Integrity Criteria of Spent Fuel for Dry Storage in Japan, International Seminar on Spent Fuel Storage (ISSF) 2010, November 15 – 17, 2010, Tokyo, Japan</w:t>
      </w:r>
      <w:r>
        <w:rPr>
          <w:lang w:val="en-US" w:eastAsia="en-GB"/>
        </w:rPr>
        <w:t>.</w:t>
      </w:r>
    </w:p>
    <w:p w14:paraId="2D87B883" w14:textId="4B7EB735" w:rsidR="0069714A" w:rsidRPr="0069714A" w:rsidRDefault="007E3631" w:rsidP="0069714A">
      <w:pPr>
        <w:pStyle w:val="Referencelist"/>
        <w:rPr>
          <w:lang w:val="en-US" w:eastAsia="en-GB"/>
        </w:rPr>
      </w:pPr>
      <w:r w:rsidRPr="0069714A">
        <w:rPr>
          <w:lang w:val="en-US" w:eastAsia="en-GB"/>
        </w:rPr>
        <w:t xml:space="preserve">AOMI </w:t>
      </w:r>
      <w:r>
        <w:rPr>
          <w:lang w:val="en-US" w:eastAsia="en-GB"/>
        </w:rPr>
        <w:t>M., BABA T., MYASHITA T., KAMIMURA K., YASUDA T., SHINOHARA Y., and TAKEDA T</w:t>
      </w:r>
      <w:r w:rsidR="00191AE0">
        <w:rPr>
          <w:lang w:val="en-US" w:eastAsia="en-GB"/>
        </w:rPr>
        <w:t>.</w:t>
      </w:r>
      <w:r w:rsidR="0069714A" w:rsidRPr="0069714A">
        <w:rPr>
          <w:lang w:val="en-US" w:eastAsia="en-GB"/>
        </w:rPr>
        <w:t xml:space="preserve"> </w:t>
      </w:r>
      <w:r w:rsidR="0069714A" w:rsidRPr="0069714A">
        <w:rPr>
          <w:i/>
          <w:lang w:val="en-US" w:eastAsia="en-GB"/>
        </w:rPr>
        <w:t>Evaluation of hydride reorientation behavior and mechanical properties for high-burnup fuel-cladding tubes in interim dry storage</w:t>
      </w:r>
      <w:r w:rsidR="0069714A">
        <w:rPr>
          <w:i/>
          <w:lang w:val="en-US" w:eastAsia="en-GB"/>
        </w:rPr>
        <w:t xml:space="preserve">, </w:t>
      </w:r>
      <w:r w:rsidR="0069714A" w:rsidRPr="0069714A">
        <w:rPr>
          <w:lang w:val="en-US" w:eastAsia="en-GB"/>
        </w:rPr>
        <w:t xml:space="preserve">Journal of ASTM International, Vol. </w:t>
      </w:r>
      <w:r w:rsidR="0069714A" w:rsidRPr="0069714A">
        <w:rPr>
          <w:b/>
          <w:bCs/>
          <w:lang w:val="en-US" w:eastAsia="en-GB"/>
        </w:rPr>
        <w:t>5</w:t>
      </w:r>
      <w:r w:rsidR="0069714A" w:rsidRPr="0069714A">
        <w:rPr>
          <w:lang w:val="en-US" w:eastAsia="en-GB"/>
        </w:rPr>
        <w:t>, No. 9 (2008)</w:t>
      </w:r>
      <w:r>
        <w:rPr>
          <w:lang w:val="en-US" w:eastAsia="en-GB"/>
        </w:rPr>
        <w:t>.</w:t>
      </w:r>
    </w:p>
    <w:p w14:paraId="1B78A64A" w14:textId="019A4612" w:rsidR="00DB37B8" w:rsidRDefault="00DB37B8" w:rsidP="00DB37B8">
      <w:pPr>
        <w:pStyle w:val="Referencelist"/>
        <w:rPr>
          <w:lang w:val="en-US" w:eastAsia="en-GB"/>
        </w:rPr>
      </w:pPr>
      <w:r w:rsidRPr="00A37AA9">
        <w:rPr>
          <w:color w:val="000000"/>
          <w:lang w:val="en-US" w:eastAsia="en-GB"/>
        </w:rPr>
        <w:t>LEE J-M., KIM H-A., KOOK D-H., and KIM Y-S.,</w:t>
      </w:r>
      <w:r w:rsidRPr="00DB37B8">
        <w:rPr>
          <w:rFonts w:ascii="AdvOT863180fb" w:hAnsi="AdvOT863180fb" w:cs="AdvOT863180fb"/>
          <w:color w:val="000000"/>
          <w:sz w:val="21"/>
          <w:szCs w:val="21"/>
          <w:lang w:val="en-US" w:eastAsia="en-GB"/>
        </w:rPr>
        <w:t xml:space="preserve"> </w:t>
      </w:r>
      <w:r w:rsidRPr="00DB37B8">
        <w:rPr>
          <w:i/>
          <w:lang w:val="en-US" w:eastAsia="en-GB"/>
        </w:rPr>
        <w:t xml:space="preserve">A study on the effects of hydrogen content and peak temperature on threshold stress for hydride reorientation in Zircaloy-4 cladding, </w:t>
      </w:r>
      <w:r w:rsidRPr="00DB37B8">
        <w:rPr>
          <w:lang w:val="en-US" w:eastAsia="en-GB"/>
        </w:rPr>
        <w:t>Journal of Nuclear Materials 509 (2018)</w:t>
      </w:r>
      <w:r w:rsidR="007E3631">
        <w:rPr>
          <w:lang w:val="en-US" w:eastAsia="en-GB"/>
        </w:rPr>
        <w:t>.</w:t>
      </w:r>
    </w:p>
    <w:p w14:paraId="167EC183" w14:textId="582E319A" w:rsidR="00751BE5" w:rsidRDefault="00751BE5" w:rsidP="00DB37B8">
      <w:pPr>
        <w:pStyle w:val="Referencelist"/>
        <w:rPr>
          <w:lang w:val="en-US" w:eastAsia="en-GB"/>
        </w:rPr>
      </w:pPr>
      <w:r>
        <w:rPr>
          <w:color w:val="000000"/>
          <w:lang w:val="en-US" w:eastAsia="en-GB"/>
        </w:rPr>
        <w:t>KAMMENZIND B.</w:t>
      </w:r>
      <w:r>
        <w:rPr>
          <w:lang w:val="en-US" w:eastAsia="en-GB"/>
        </w:rPr>
        <w:t xml:space="preserve">, FRANKLIN D., PETERS H., and DUFFIN W., Hydrogen Pickup and Redistribution in Alpha-Annealed Zr-4, Zirconium in the Nuclear Industry: </w:t>
      </w:r>
      <w:r w:rsidRPr="00BC2862">
        <w:rPr>
          <w:lang w:val="en-US" w:eastAsia="en-GB"/>
        </w:rPr>
        <w:t>11</w:t>
      </w:r>
      <w:r w:rsidRPr="00E433A8">
        <w:rPr>
          <w:vertAlign w:val="superscript"/>
          <w:lang w:val="en-US" w:eastAsia="en-GB"/>
        </w:rPr>
        <w:t>th</w:t>
      </w:r>
      <w:r w:rsidRPr="00E433A8">
        <w:rPr>
          <w:lang w:val="en-US" w:eastAsia="en-GB"/>
        </w:rPr>
        <w:t xml:space="preserve"> Internatio</w:t>
      </w:r>
      <w:r>
        <w:rPr>
          <w:lang w:val="en-US" w:eastAsia="en-GB"/>
        </w:rPr>
        <w:t>n</w:t>
      </w:r>
      <w:r w:rsidRPr="00E433A8">
        <w:rPr>
          <w:lang w:val="en-US" w:eastAsia="en-GB"/>
        </w:rPr>
        <w:t>al Symposium</w:t>
      </w:r>
      <w:r>
        <w:rPr>
          <w:lang w:val="en-US" w:eastAsia="en-GB"/>
        </w:rPr>
        <w:t>; ASTM</w:t>
      </w:r>
      <w:r w:rsidR="00661BEC">
        <w:rPr>
          <w:lang w:val="en-US" w:eastAsia="en-GB"/>
        </w:rPr>
        <w:t xml:space="preserve"> STP</w:t>
      </w:r>
      <w:r>
        <w:rPr>
          <w:lang w:val="en-US" w:eastAsia="en-GB"/>
        </w:rPr>
        <w:t>-1295, pp. 338 – 370, 1996.</w:t>
      </w:r>
    </w:p>
    <w:p w14:paraId="110F1F64" w14:textId="4BEFAFAA" w:rsidR="00A37AA9" w:rsidRPr="00A37AA9" w:rsidRDefault="00A37AA9" w:rsidP="00DB37B8">
      <w:pPr>
        <w:pStyle w:val="Referencelist"/>
        <w:rPr>
          <w:lang w:val="en-US" w:eastAsia="en-GB"/>
        </w:rPr>
      </w:pPr>
      <w:r w:rsidRPr="00A37AA9">
        <w:rPr>
          <w:color w:val="000000"/>
          <w:lang w:val="en-US" w:eastAsia="en-GB"/>
        </w:rPr>
        <w:t>MACHIELS A.J</w:t>
      </w:r>
      <w:r w:rsidR="003F0506" w:rsidRPr="003F0506">
        <w:rPr>
          <w:color w:val="000000"/>
          <w:lang w:val="en-US" w:eastAsia="en-GB"/>
        </w:rPr>
        <w:t xml:space="preserve">., </w:t>
      </w:r>
      <w:r w:rsidR="003F0506" w:rsidRPr="003F0506">
        <w:rPr>
          <w:lang w:val="en-US" w:eastAsia="en-GB"/>
        </w:rPr>
        <w:t xml:space="preserve">RASHID Y.R., LYON W.F., </w:t>
      </w:r>
      <w:r w:rsidR="003F0506">
        <w:rPr>
          <w:lang w:val="en-US" w:eastAsia="en-GB"/>
        </w:rPr>
        <w:t>and</w:t>
      </w:r>
      <w:r w:rsidR="003F0506" w:rsidRPr="003F0506">
        <w:rPr>
          <w:lang w:val="en-US" w:eastAsia="en-GB"/>
        </w:rPr>
        <w:t xml:space="preserve"> SUNDERLAND D.J</w:t>
      </w:r>
      <w:r w:rsidR="003F0506">
        <w:rPr>
          <w:rFonts w:ascii="AdvOT596495f2" w:hAnsi="AdvOT596495f2" w:cs="AdvOT596495f2"/>
          <w:sz w:val="21"/>
          <w:szCs w:val="21"/>
          <w:lang w:val="en-US" w:eastAsia="en-GB"/>
        </w:rPr>
        <w:t xml:space="preserve">., </w:t>
      </w:r>
      <w:r w:rsidR="003F0506" w:rsidRPr="003F0506">
        <w:rPr>
          <w:i/>
          <w:lang w:val="en-US" w:eastAsia="en-GB"/>
        </w:rPr>
        <w:t>Characterization of end</w:t>
      </w:r>
      <w:r w:rsidR="00661BEC">
        <w:rPr>
          <w:i/>
          <w:lang w:val="en-US" w:eastAsia="en-GB"/>
        </w:rPr>
        <w:noBreakHyphen/>
      </w:r>
      <w:r w:rsidR="003F0506" w:rsidRPr="003F0506">
        <w:rPr>
          <w:i/>
          <w:lang w:val="en-US" w:eastAsia="en-GB"/>
        </w:rPr>
        <w:t xml:space="preserve">of-life rod internal pressure in PWR fuel, </w:t>
      </w:r>
      <w:r w:rsidR="003F0506" w:rsidRPr="003F0506">
        <w:rPr>
          <w:lang w:val="en-US" w:eastAsia="en-GB"/>
        </w:rPr>
        <w:t>Nuclear Engineering and Design 324 (2017) 250–259</w:t>
      </w:r>
      <w:r w:rsidR="007E3631">
        <w:rPr>
          <w:lang w:val="en-US" w:eastAsia="en-GB"/>
        </w:rPr>
        <w:t>.</w:t>
      </w:r>
    </w:p>
    <w:p w14:paraId="2DE23AC1" w14:textId="672FB67D" w:rsidR="009A2535" w:rsidRPr="007C410E" w:rsidRDefault="007C410E" w:rsidP="00406A47">
      <w:pPr>
        <w:pStyle w:val="Referencelist"/>
        <w:rPr>
          <w:lang w:val="en-US" w:eastAsia="en-GB"/>
        </w:rPr>
      </w:pPr>
      <w:r w:rsidRPr="007C410E">
        <w:rPr>
          <w:color w:val="000000"/>
          <w:lang w:val="en-US" w:eastAsia="en-GB"/>
        </w:rPr>
        <w:t xml:space="preserve">RICHMOND D.J. AND GEELHOOD K.J., </w:t>
      </w:r>
      <w:r w:rsidR="00110D24" w:rsidRPr="00110D24">
        <w:rPr>
          <w:i/>
          <w:iCs/>
          <w:color w:val="000000"/>
          <w:lang w:val="en-US" w:eastAsia="en-GB"/>
        </w:rPr>
        <w:t>FRAPCON Analysis of Cladding Performance during Dry Storage Operations</w:t>
      </w:r>
      <w:r w:rsidRPr="007C410E">
        <w:rPr>
          <w:color w:val="000000"/>
          <w:lang w:val="en-US" w:eastAsia="en-GB"/>
        </w:rPr>
        <w:t xml:space="preserve">, </w:t>
      </w:r>
      <w:r w:rsidRPr="007C410E">
        <w:rPr>
          <w:color w:val="000000"/>
          <w:lang w:eastAsia="en-GB"/>
        </w:rPr>
        <w:t>2017 Water Reactor Fuel Performance Meeting, Jeju Island, Korea (Sept. 10-14, 2017)</w:t>
      </w:r>
      <w:r w:rsidR="007E3631">
        <w:rPr>
          <w:color w:val="000000"/>
          <w:lang w:eastAsia="en-GB"/>
        </w:rPr>
        <w:t>.</w:t>
      </w:r>
    </w:p>
    <w:p w14:paraId="3BF06672" w14:textId="455E4E9E" w:rsidR="00A37AA9" w:rsidRPr="009A2535" w:rsidRDefault="00A37AA9" w:rsidP="009A2535">
      <w:pPr>
        <w:pStyle w:val="Referencelist"/>
        <w:rPr>
          <w:lang w:val="en-US" w:eastAsia="en-GB"/>
        </w:rPr>
      </w:pPr>
      <w:r w:rsidRPr="009A2535">
        <w:rPr>
          <w:color w:val="000000"/>
          <w:lang w:val="en-US" w:eastAsia="en-GB"/>
        </w:rPr>
        <w:t>BOUFFIOUX P</w:t>
      </w:r>
      <w:r w:rsidR="002D7021" w:rsidRPr="009A2535">
        <w:rPr>
          <w:color w:val="000000"/>
          <w:lang w:val="en-US" w:eastAsia="en-GB"/>
        </w:rPr>
        <w:t xml:space="preserve">., </w:t>
      </w:r>
      <w:r w:rsidR="002D7021" w:rsidRPr="009A2535">
        <w:rPr>
          <w:lang w:val="en-US" w:eastAsia="en-GB"/>
        </w:rPr>
        <w:t>AMBARD, A. MIQUET, C. CAPPELAERE, AUZOUX Q., BONO M., RABOUILLE O., ALLEGRE S., CHABRETOU V., and SCOTT C.P., Proc. Int. LWR Fuel Performance Meeting. TopFuel 2013, September 15</w:t>
      </w:r>
      <w:r w:rsidR="009A2535" w:rsidRPr="009A2535">
        <w:rPr>
          <w:lang w:val="en-US" w:eastAsia="en-GB"/>
        </w:rPr>
        <w:t xml:space="preserve"> -</w:t>
      </w:r>
      <w:r w:rsidR="002D7021" w:rsidRPr="009A2535">
        <w:rPr>
          <w:lang w:val="en-US" w:eastAsia="en-GB"/>
        </w:rPr>
        <w:t xml:space="preserve"> 18, 2013, Charlotte, North Carolina,</w:t>
      </w:r>
      <w:r w:rsidR="009A2535" w:rsidRPr="009A2535">
        <w:rPr>
          <w:lang w:val="en-US" w:eastAsia="en-GB"/>
        </w:rPr>
        <w:t xml:space="preserve"> </w:t>
      </w:r>
      <w:r w:rsidR="002D7021" w:rsidRPr="009A2535">
        <w:rPr>
          <w:lang w:val="en-US" w:eastAsia="en-GB"/>
        </w:rPr>
        <w:t xml:space="preserve">United States, </w:t>
      </w:r>
      <w:r w:rsidR="009A2535">
        <w:rPr>
          <w:lang w:val="en-US" w:eastAsia="en-GB"/>
        </w:rPr>
        <w:t>P</w:t>
      </w:r>
      <w:r w:rsidR="002D7021" w:rsidRPr="009A2535">
        <w:rPr>
          <w:lang w:val="en-US" w:eastAsia="en-GB"/>
        </w:rPr>
        <w:t xml:space="preserve">aper </w:t>
      </w:r>
      <w:r w:rsidR="009A2535">
        <w:rPr>
          <w:lang w:val="en-US" w:eastAsia="en-GB"/>
        </w:rPr>
        <w:t>#</w:t>
      </w:r>
      <w:r w:rsidR="002D7021" w:rsidRPr="009A2535">
        <w:rPr>
          <w:lang w:val="en-US" w:eastAsia="en-GB"/>
        </w:rPr>
        <w:t>8557.</w:t>
      </w:r>
    </w:p>
    <w:p w14:paraId="0A7153BB" w14:textId="77777777" w:rsidR="00DB37B8" w:rsidRDefault="00DB37B8" w:rsidP="00DB37B8">
      <w:pPr>
        <w:pStyle w:val="Referencelist"/>
        <w:numPr>
          <w:ilvl w:val="0"/>
          <w:numId w:val="0"/>
        </w:numPr>
        <w:ind w:left="720" w:hanging="360"/>
        <w:rPr>
          <w:lang w:val="en-US" w:eastAsia="en-GB"/>
        </w:rPr>
      </w:pPr>
    </w:p>
    <w:p w14:paraId="64FC43F8" w14:textId="585081EF" w:rsidR="002376A6" w:rsidRDefault="002376A6" w:rsidP="009A3D8F">
      <w:pPr>
        <w:pStyle w:val="Referencelist"/>
        <w:numPr>
          <w:ilvl w:val="0"/>
          <w:numId w:val="0"/>
        </w:numPr>
        <w:ind w:left="720" w:hanging="360"/>
        <w:rPr>
          <w:lang w:val="en-US" w:eastAsia="en-GB"/>
        </w:rPr>
      </w:pPr>
    </w:p>
    <w:p w14:paraId="23958139" w14:textId="77777777" w:rsidR="00DB37B8" w:rsidRPr="002376A6" w:rsidRDefault="00DB37B8" w:rsidP="009A3D8F">
      <w:pPr>
        <w:pStyle w:val="Referencelist"/>
        <w:numPr>
          <w:ilvl w:val="0"/>
          <w:numId w:val="0"/>
        </w:numPr>
        <w:ind w:left="720" w:hanging="360"/>
        <w:rPr>
          <w:lang w:val="en-US" w:eastAsia="en-GB"/>
        </w:rPr>
      </w:pPr>
    </w:p>
    <w:p w14:paraId="4CA2B87F" w14:textId="66D1BF0B" w:rsidR="003728E6" w:rsidRPr="003728E6" w:rsidRDefault="003728E6" w:rsidP="002376A6">
      <w:pPr>
        <w:pStyle w:val="Referencelist"/>
        <w:numPr>
          <w:ilvl w:val="0"/>
          <w:numId w:val="0"/>
        </w:numPr>
        <w:ind w:left="720"/>
      </w:pPr>
    </w:p>
    <w:sectPr w:rsidR="003728E6" w:rsidRPr="003728E6" w:rsidSect="0026525A">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274EF" w14:textId="77777777" w:rsidR="00417798" w:rsidRDefault="00417798">
      <w:r>
        <w:separator/>
      </w:r>
    </w:p>
  </w:endnote>
  <w:endnote w:type="continuationSeparator" w:id="0">
    <w:p w14:paraId="749B3C54" w14:textId="77777777" w:rsidR="00417798" w:rsidRDefault="00417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bon LT Std">
    <w:altName w:val="Cambria"/>
    <w:panose1 w:val="00000000000000000000"/>
    <w:charset w:val="00"/>
    <w:family w:val="roman"/>
    <w:notTrueType/>
    <w:pitch w:val="variable"/>
    <w:sig w:usb0="800000AF" w:usb1="5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abon RomanOsF">
    <w:altName w:val="Times New Roman"/>
    <w:charset w:val="00"/>
    <w:family w:val="roman"/>
    <w:pitch w:val="variable"/>
    <w:sig w:usb0="00000001" w:usb1="10000048" w:usb2="00000000" w:usb3="00000000" w:csb0="00000111"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swiss"/>
    <w:notTrueType/>
    <w:pitch w:val="default"/>
    <w:sig w:usb0="00000003" w:usb1="00000000" w:usb2="00000000" w:usb3="00000000" w:csb0="00000001" w:csb1="00000000"/>
  </w:font>
  <w:font w:name="AdvOT863180fb">
    <w:altName w:val="Cambria"/>
    <w:panose1 w:val="00000000000000000000"/>
    <w:charset w:val="00"/>
    <w:family w:val="roman"/>
    <w:notTrueType/>
    <w:pitch w:val="default"/>
    <w:sig w:usb0="00000003" w:usb1="00000000" w:usb2="00000000" w:usb3="00000000" w:csb0="00000001" w:csb1="00000000"/>
  </w:font>
  <w:font w:name="AdvOT596495f2">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56B0C" w14:textId="213DFB3C" w:rsidR="001616CC" w:rsidRDefault="001616CC">
    <w:pPr>
      <w:pStyle w:val="zyxClassification1"/>
    </w:pPr>
    <w:r>
      <w:fldChar w:fldCharType="begin"/>
    </w:r>
    <w:r>
      <w:instrText xml:space="preserve"> DOCPROPERTY "IaeaClassification"  \* MERGEFORMAT </w:instrText>
    </w:r>
    <w:r>
      <w:fldChar w:fldCharType="end"/>
    </w:r>
  </w:p>
  <w:p w14:paraId="775EC4D8" w14:textId="4E7C2978" w:rsidR="00F30D0D" w:rsidRPr="00037321" w:rsidRDefault="00F30D0D" w:rsidP="00F30D0D">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p w14:paraId="291899CE" w14:textId="682077F8" w:rsidR="001616CC" w:rsidRDefault="001616CC">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24898" w14:textId="70700B95" w:rsidR="001616CC" w:rsidRDefault="001616CC">
    <w:pPr>
      <w:pStyle w:val="zyxClassification1"/>
    </w:pPr>
    <w:r>
      <w:fldChar w:fldCharType="begin"/>
    </w:r>
    <w:r>
      <w:instrText xml:space="preserve"> DOCPROPERTY "IaeaClassification"  \* MERGEFORMAT </w:instrText>
    </w:r>
    <w:r>
      <w:fldChar w:fldCharType="end"/>
    </w:r>
  </w:p>
  <w:p w14:paraId="6047A923" w14:textId="6700BDC5" w:rsidR="001616CC" w:rsidRPr="00037321" w:rsidRDefault="001616CC">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1616CC" w14:paraId="5ADC0CF1" w14:textId="77777777">
      <w:trPr>
        <w:cantSplit/>
      </w:trPr>
      <w:tc>
        <w:tcPr>
          <w:tcW w:w="4644" w:type="dxa"/>
        </w:tcPr>
        <w:p w14:paraId="4E1FAC46" w14:textId="4C5296DF" w:rsidR="001616CC" w:rsidRDefault="001616CC">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020D691" w14:textId="29BDEA74" w:rsidR="001616CC" w:rsidRDefault="001616CC">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7" w:name="DOC_bkmClassification2"/>
      <w:tc>
        <w:tcPr>
          <w:tcW w:w="5670" w:type="dxa"/>
          <w:tcMar>
            <w:right w:w="249" w:type="dxa"/>
          </w:tcMar>
        </w:tcPr>
        <w:p w14:paraId="76D44A0B" w14:textId="01F16D54" w:rsidR="001616CC" w:rsidRDefault="001616CC">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7"/>
        <w:p w14:paraId="4929923D" w14:textId="173DCB20" w:rsidR="001616CC" w:rsidRDefault="001616CC">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8" w:name="DOC_bkmFileName"/>
  <w:p w14:paraId="46E97123" w14:textId="6D9F96FE" w:rsidR="001616CC" w:rsidRDefault="001616CC">
    <w:r>
      <w:rPr>
        <w:sz w:val="16"/>
      </w:rPr>
      <w:fldChar w:fldCharType="begin"/>
    </w:r>
    <w:r>
      <w:rPr>
        <w:sz w:val="16"/>
      </w:rPr>
      <w:instrText xml:space="preserve"> FILENAME \* MERGEFORMAT </w:instrText>
    </w:r>
    <w:r>
      <w:rPr>
        <w:sz w:val="16"/>
      </w:rPr>
      <w:fldChar w:fldCharType="separate"/>
    </w:r>
    <w:r w:rsidR="004529BF">
      <w:rPr>
        <w:noProof/>
        <w:sz w:val="16"/>
      </w:rPr>
      <w:t>IAEA_Paper 122_Machiels et al.</w:t>
    </w:r>
    <w:r>
      <w:rPr>
        <w:sz w:val="16"/>
      </w:rPr>
      <w:fldChar w:fldCharType="end"/>
    </w:r>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2DC22" w14:textId="77777777" w:rsidR="00417798" w:rsidRDefault="00417798">
      <w:r>
        <w:t>___________________________________________________________________________</w:t>
      </w:r>
    </w:p>
  </w:footnote>
  <w:footnote w:type="continuationSeparator" w:id="0">
    <w:p w14:paraId="5165A405" w14:textId="77777777" w:rsidR="00417798" w:rsidRDefault="00417798">
      <w:r>
        <w:t>___________________________________________________________________________</w:t>
      </w:r>
    </w:p>
  </w:footnote>
  <w:footnote w:type="continuationNotice" w:id="1">
    <w:p w14:paraId="42131EB0" w14:textId="77777777" w:rsidR="00417798" w:rsidRDefault="004177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13FB4" w14:textId="7A9C7700" w:rsidR="00420FA7" w:rsidRDefault="00420FA7" w:rsidP="00420FA7">
    <w:pPr>
      <w:pStyle w:val="Runninghead"/>
    </w:pPr>
    <w:r>
      <w:t>IAEA-CN-12</w:t>
    </w:r>
    <w:r w:rsidR="00F30D0D">
      <w:t>2</w:t>
    </w:r>
  </w:p>
  <w:p w14:paraId="0A41DEF6" w14:textId="68069E5D" w:rsidR="00420FA7" w:rsidRDefault="00420FA7" w:rsidP="00420FA7">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1C133F63" w14:textId="65507C73" w:rsidR="00420FA7" w:rsidRDefault="00420FA7" w:rsidP="00420FA7">
    <w:pPr>
      <w:pStyle w:val="zyxClassification2"/>
    </w:pPr>
    <w:r>
      <w:fldChar w:fldCharType="begin"/>
    </w:r>
    <w:r>
      <w:instrText>DOCPROPERTY "IaeaClassification2"  \* MERGEFORMAT</w:instrText>
    </w:r>
    <w:r>
      <w:fldChar w:fldCharType="end"/>
    </w:r>
  </w:p>
  <w:p w14:paraId="13808C8C" w14:textId="6CFDE1BE" w:rsidR="001616CC" w:rsidRDefault="001616CC"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59CA157" w14:textId="7FEB9F21" w:rsidR="001616CC" w:rsidRDefault="001616CC">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9A4D5" w14:textId="28724548" w:rsidR="001616CC" w:rsidRDefault="001616CC" w:rsidP="00B82FA5">
    <w:pPr>
      <w:pStyle w:val="Runninghead"/>
    </w:pPr>
    <w:r>
      <w:t>MACHIELS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1616CC" w14:paraId="7E7518E8" w14:textId="77777777">
      <w:trPr>
        <w:cantSplit/>
        <w:trHeight w:val="716"/>
      </w:trPr>
      <w:tc>
        <w:tcPr>
          <w:tcW w:w="979" w:type="dxa"/>
          <w:vMerge w:val="restart"/>
        </w:tcPr>
        <w:p w14:paraId="39A6473B" w14:textId="77777777" w:rsidR="001616CC" w:rsidRDefault="001616CC">
          <w:pPr>
            <w:spacing w:before="180"/>
            <w:ind w:left="17"/>
          </w:pPr>
        </w:p>
      </w:tc>
      <w:tc>
        <w:tcPr>
          <w:tcW w:w="3638" w:type="dxa"/>
          <w:vAlign w:val="bottom"/>
        </w:tcPr>
        <w:p w14:paraId="3B076A84" w14:textId="77777777" w:rsidR="001616CC" w:rsidRDefault="001616CC">
          <w:pPr>
            <w:spacing w:after="20"/>
          </w:pPr>
        </w:p>
      </w:tc>
      <w:bookmarkStart w:id="6" w:name="DOC_bkmClassification1"/>
      <w:tc>
        <w:tcPr>
          <w:tcW w:w="5702" w:type="dxa"/>
          <w:vMerge w:val="restart"/>
          <w:tcMar>
            <w:right w:w="193" w:type="dxa"/>
          </w:tcMar>
        </w:tcPr>
        <w:p w14:paraId="268E19C1" w14:textId="33FFD533" w:rsidR="001616CC" w:rsidRDefault="001616CC">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6"/>
        <w:p w14:paraId="347EC5C0" w14:textId="28846588" w:rsidR="001616CC" w:rsidRDefault="001616CC">
          <w:pPr>
            <w:pStyle w:val="zyxConfid2Red"/>
          </w:pPr>
          <w:r>
            <w:fldChar w:fldCharType="begin"/>
          </w:r>
          <w:r>
            <w:instrText>DOCPROPERTY "IaeaClassification2"  \* MERGEFORMAT</w:instrText>
          </w:r>
          <w:r>
            <w:fldChar w:fldCharType="end"/>
          </w:r>
        </w:p>
      </w:tc>
    </w:tr>
    <w:tr w:rsidR="001616CC" w14:paraId="38F39606" w14:textId="77777777">
      <w:trPr>
        <w:cantSplit/>
        <w:trHeight w:val="167"/>
      </w:trPr>
      <w:tc>
        <w:tcPr>
          <w:tcW w:w="979" w:type="dxa"/>
          <w:vMerge/>
        </w:tcPr>
        <w:p w14:paraId="6D498B64" w14:textId="77777777" w:rsidR="001616CC" w:rsidRDefault="001616CC">
          <w:pPr>
            <w:spacing w:before="57"/>
          </w:pPr>
        </w:p>
      </w:tc>
      <w:tc>
        <w:tcPr>
          <w:tcW w:w="3638" w:type="dxa"/>
          <w:vAlign w:val="bottom"/>
        </w:tcPr>
        <w:p w14:paraId="39757922" w14:textId="77777777" w:rsidR="001616CC" w:rsidRDefault="001616CC">
          <w:pPr>
            <w:pStyle w:val="Heading9"/>
            <w:spacing w:before="0" w:after="10"/>
          </w:pPr>
        </w:p>
      </w:tc>
      <w:tc>
        <w:tcPr>
          <w:tcW w:w="5702" w:type="dxa"/>
          <w:vMerge/>
          <w:vAlign w:val="bottom"/>
        </w:tcPr>
        <w:p w14:paraId="6AB4E64A" w14:textId="77777777" w:rsidR="001616CC" w:rsidRDefault="001616CC">
          <w:pPr>
            <w:pStyle w:val="Heading9"/>
            <w:spacing w:before="0" w:after="10"/>
          </w:pPr>
        </w:p>
      </w:tc>
    </w:tr>
  </w:tbl>
  <w:p w14:paraId="73CF48A8" w14:textId="77777777" w:rsidR="001616CC" w:rsidRDefault="001616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12CF8"/>
    <w:multiLevelType w:val="hybridMultilevel"/>
    <w:tmpl w:val="C38C4FE2"/>
    <w:lvl w:ilvl="0" w:tplc="0ACA5D20">
      <w:start w:val="1"/>
      <w:numFmt w:val="bullet"/>
      <w:lvlText w:val=""/>
      <w:lvlJc w:val="left"/>
      <w:pPr>
        <w:tabs>
          <w:tab w:val="num" w:pos="720"/>
        </w:tabs>
        <w:ind w:left="720" w:hanging="360"/>
      </w:pPr>
      <w:rPr>
        <w:rFonts w:ascii="Wingdings" w:hAnsi="Wingdings" w:hint="default"/>
      </w:rPr>
    </w:lvl>
    <w:lvl w:ilvl="1" w:tplc="EED4FE7C">
      <w:start w:val="25"/>
      <w:numFmt w:val="bullet"/>
      <w:lvlText w:val=""/>
      <w:lvlJc w:val="left"/>
      <w:pPr>
        <w:tabs>
          <w:tab w:val="num" w:pos="1440"/>
        </w:tabs>
        <w:ind w:left="1440" w:hanging="360"/>
      </w:pPr>
      <w:rPr>
        <w:rFonts w:ascii="Wingdings" w:hAnsi="Wingdings" w:hint="default"/>
      </w:rPr>
    </w:lvl>
    <w:lvl w:ilvl="2" w:tplc="6FC2031C">
      <w:start w:val="25"/>
      <w:numFmt w:val="bullet"/>
      <w:lvlText w:val="–"/>
      <w:lvlJc w:val="left"/>
      <w:pPr>
        <w:tabs>
          <w:tab w:val="num" w:pos="2160"/>
        </w:tabs>
        <w:ind w:left="2160" w:hanging="360"/>
      </w:pPr>
      <w:rPr>
        <w:rFonts w:ascii="Sabon LT Std" w:hAnsi="Sabon LT Std" w:hint="default"/>
      </w:rPr>
    </w:lvl>
    <w:lvl w:ilvl="3" w:tplc="B756F14C" w:tentative="1">
      <w:start w:val="1"/>
      <w:numFmt w:val="bullet"/>
      <w:lvlText w:val=""/>
      <w:lvlJc w:val="left"/>
      <w:pPr>
        <w:tabs>
          <w:tab w:val="num" w:pos="2880"/>
        </w:tabs>
        <w:ind w:left="2880" w:hanging="360"/>
      </w:pPr>
      <w:rPr>
        <w:rFonts w:ascii="Wingdings" w:hAnsi="Wingdings" w:hint="default"/>
      </w:rPr>
    </w:lvl>
    <w:lvl w:ilvl="4" w:tplc="7F44EB7A" w:tentative="1">
      <w:start w:val="1"/>
      <w:numFmt w:val="bullet"/>
      <w:lvlText w:val=""/>
      <w:lvlJc w:val="left"/>
      <w:pPr>
        <w:tabs>
          <w:tab w:val="num" w:pos="3600"/>
        </w:tabs>
        <w:ind w:left="3600" w:hanging="360"/>
      </w:pPr>
      <w:rPr>
        <w:rFonts w:ascii="Wingdings" w:hAnsi="Wingdings" w:hint="default"/>
      </w:rPr>
    </w:lvl>
    <w:lvl w:ilvl="5" w:tplc="3E0232C4" w:tentative="1">
      <w:start w:val="1"/>
      <w:numFmt w:val="bullet"/>
      <w:lvlText w:val=""/>
      <w:lvlJc w:val="left"/>
      <w:pPr>
        <w:tabs>
          <w:tab w:val="num" w:pos="4320"/>
        </w:tabs>
        <w:ind w:left="4320" w:hanging="360"/>
      </w:pPr>
      <w:rPr>
        <w:rFonts w:ascii="Wingdings" w:hAnsi="Wingdings" w:hint="default"/>
      </w:rPr>
    </w:lvl>
    <w:lvl w:ilvl="6" w:tplc="D776470C" w:tentative="1">
      <w:start w:val="1"/>
      <w:numFmt w:val="bullet"/>
      <w:lvlText w:val=""/>
      <w:lvlJc w:val="left"/>
      <w:pPr>
        <w:tabs>
          <w:tab w:val="num" w:pos="5040"/>
        </w:tabs>
        <w:ind w:left="5040" w:hanging="360"/>
      </w:pPr>
      <w:rPr>
        <w:rFonts w:ascii="Wingdings" w:hAnsi="Wingdings" w:hint="default"/>
      </w:rPr>
    </w:lvl>
    <w:lvl w:ilvl="7" w:tplc="0F8A9266" w:tentative="1">
      <w:start w:val="1"/>
      <w:numFmt w:val="bullet"/>
      <w:lvlText w:val=""/>
      <w:lvlJc w:val="left"/>
      <w:pPr>
        <w:tabs>
          <w:tab w:val="num" w:pos="5760"/>
        </w:tabs>
        <w:ind w:left="5760" w:hanging="360"/>
      </w:pPr>
      <w:rPr>
        <w:rFonts w:ascii="Wingdings" w:hAnsi="Wingdings" w:hint="default"/>
      </w:rPr>
    </w:lvl>
    <w:lvl w:ilvl="8" w:tplc="DABC160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0E34150C"/>
    <w:multiLevelType w:val="multilevel"/>
    <w:tmpl w:val="47C6D5AA"/>
    <w:lvl w:ilvl="0">
      <w:start w:val="3"/>
      <w:numFmt w:val="decimal"/>
      <w:lvlText w:val="%1"/>
      <w:lvlJc w:val="left"/>
      <w:pPr>
        <w:ind w:left="400" w:hanging="400"/>
      </w:pPr>
      <w:rPr>
        <w:rFonts w:hint="default"/>
      </w:rPr>
    </w:lvl>
    <w:lvl w:ilvl="1">
      <w:start w:val="3"/>
      <w:numFmt w:val="decimal"/>
      <w:lvlText w:val="%1.%2"/>
      <w:lvlJc w:val="left"/>
      <w:pPr>
        <w:ind w:left="400" w:hanging="4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D0170F"/>
    <w:multiLevelType w:val="hybridMultilevel"/>
    <w:tmpl w:val="986CF060"/>
    <w:lvl w:ilvl="0" w:tplc="4080D9E8">
      <w:start w:val="1"/>
      <w:numFmt w:val="bullet"/>
      <w:lvlText w:val="•"/>
      <w:lvlJc w:val="left"/>
      <w:pPr>
        <w:tabs>
          <w:tab w:val="num" w:pos="720"/>
        </w:tabs>
        <w:ind w:left="720" w:hanging="360"/>
      </w:pPr>
      <w:rPr>
        <w:rFonts w:ascii="Times New Roman" w:hAnsi="Times New Roman" w:hint="default"/>
      </w:rPr>
    </w:lvl>
    <w:lvl w:ilvl="1" w:tplc="15524CE2" w:tentative="1">
      <w:start w:val="1"/>
      <w:numFmt w:val="bullet"/>
      <w:lvlText w:val="•"/>
      <w:lvlJc w:val="left"/>
      <w:pPr>
        <w:tabs>
          <w:tab w:val="num" w:pos="1440"/>
        </w:tabs>
        <w:ind w:left="1440" w:hanging="360"/>
      </w:pPr>
      <w:rPr>
        <w:rFonts w:ascii="Times New Roman" w:hAnsi="Times New Roman" w:hint="default"/>
      </w:rPr>
    </w:lvl>
    <w:lvl w:ilvl="2" w:tplc="07905AA2" w:tentative="1">
      <w:start w:val="1"/>
      <w:numFmt w:val="bullet"/>
      <w:lvlText w:val="•"/>
      <w:lvlJc w:val="left"/>
      <w:pPr>
        <w:tabs>
          <w:tab w:val="num" w:pos="2160"/>
        </w:tabs>
        <w:ind w:left="2160" w:hanging="360"/>
      </w:pPr>
      <w:rPr>
        <w:rFonts w:ascii="Times New Roman" w:hAnsi="Times New Roman" w:hint="default"/>
      </w:rPr>
    </w:lvl>
    <w:lvl w:ilvl="3" w:tplc="587040CC" w:tentative="1">
      <w:start w:val="1"/>
      <w:numFmt w:val="bullet"/>
      <w:lvlText w:val="•"/>
      <w:lvlJc w:val="left"/>
      <w:pPr>
        <w:tabs>
          <w:tab w:val="num" w:pos="2880"/>
        </w:tabs>
        <w:ind w:left="2880" w:hanging="360"/>
      </w:pPr>
      <w:rPr>
        <w:rFonts w:ascii="Times New Roman" w:hAnsi="Times New Roman" w:hint="default"/>
      </w:rPr>
    </w:lvl>
    <w:lvl w:ilvl="4" w:tplc="44A60F6C" w:tentative="1">
      <w:start w:val="1"/>
      <w:numFmt w:val="bullet"/>
      <w:lvlText w:val="•"/>
      <w:lvlJc w:val="left"/>
      <w:pPr>
        <w:tabs>
          <w:tab w:val="num" w:pos="3600"/>
        </w:tabs>
        <w:ind w:left="3600" w:hanging="360"/>
      </w:pPr>
      <w:rPr>
        <w:rFonts w:ascii="Times New Roman" w:hAnsi="Times New Roman" w:hint="default"/>
      </w:rPr>
    </w:lvl>
    <w:lvl w:ilvl="5" w:tplc="F5E85BA8" w:tentative="1">
      <w:start w:val="1"/>
      <w:numFmt w:val="bullet"/>
      <w:lvlText w:val="•"/>
      <w:lvlJc w:val="left"/>
      <w:pPr>
        <w:tabs>
          <w:tab w:val="num" w:pos="4320"/>
        </w:tabs>
        <w:ind w:left="4320" w:hanging="360"/>
      </w:pPr>
      <w:rPr>
        <w:rFonts w:ascii="Times New Roman" w:hAnsi="Times New Roman" w:hint="default"/>
      </w:rPr>
    </w:lvl>
    <w:lvl w:ilvl="6" w:tplc="B9766BEC" w:tentative="1">
      <w:start w:val="1"/>
      <w:numFmt w:val="bullet"/>
      <w:lvlText w:val="•"/>
      <w:lvlJc w:val="left"/>
      <w:pPr>
        <w:tabs>
          <w:tab w:val="num" w:pos="5040"/>
        </w:tabs>
        <w:ind w:left="5040" w:hanging="360"/>
      </w:pPr>
      <w:rPr>
        <w:rFonts w:ascii="Times New Roman" w:hAnsi="Times New Roman" w:hint="default"/>
      </w:rPr>
    </w:lvl>
    <w:lvl w:ilvl="7" w:tplc="93FA5166" w:tentative="1">
      <w:start w:val="1"/>
      <w:numFmt w:val="bullet"/>
      <w:lvlText w:val="•"/>
      <w:lvlJc w:val="left"/>
      <w:pPr>
        <w:tabs>
          <w:tab w:val="num" w:pos="5760"/>
        </w:tabs>
        <w:ind w:left="5760" w:hanging="360"/>
      </w:pPr>
      <w:rPr>
        <w:rFonts w:ascii="Times New Roman" w:hAnsi="Times New Roman" w:hint="default"/>
      </w:rPr>
    </w:lvl>
    <w:lvl w:ilvl="8" w:tplc="507AD17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6AB33C5"/>
    <w:multiLevelType w:val="hybridMultilevel"/>
    <w:tmpl w:val="87B48654"/>
    <w:lvl w:ilvl="0" w:tplc="D3CE41CC">
      <w:start w:val="1"/>
      <w:numFmt w:val="bullet"/>
      <w:lvlText w:val=""/>
      <w:lvlJc w:val="left"/>
      <w:pPr>
        <w:tabs>
          <w:tab w:val="num" w:pos="720"/>
        </w:tabs>
        <w:ind w:left="720" w:hanging="360"/>
      </w:pPr>
      <w:rPr>
        <w:rFonts w:ascii="Wingdings" w:hAnsi="Wingdings" w:hint="default"/>
      </w:rPr>
    </w:lvl>
    <w:lvl w:ilvl="1" w:tplc="BC9674EC">
      <w:start w:val="25"/>
      <w:numFmt w:val="bullet"/>
      <w:lvlText w:val="•"/>
      <w:lvlJc w:val="left"/>
      <w:pPr>
        <w:tabs>
          <w:tab w:val="num" w:pos="1440"/>
        </w:tabs>
        <w:ind w:left="1440" w:hanging="360"/>
      </w:pPr>
      <w:rPr>
        <w:rFonts w:ascii="Arial" w:hAnsi="Arial" w:hint="default"/>
      </w:rPr>
    </w:lvl>
    <w:lvl w:ilvl="2" w:tplc="E7BA7DC2" w:tentative="1">
      <w:start w:val="1"/>
      <w:numFmt w:val="bullet"/>
      <w:lvlText w:val=""/>
      <w:lvlJc w:val="left"/>
      <w:pPr>
        <w:tabs>
          <w:tab w:val="num" w:pos="2160"/>
        </w:tabs>
        <w:ind w:left="2160" w:hanging="360"/>
      </w:pPr>
      <w:rPr>
        <w:rFonts w:ascii="Wingdings" w:hAnsi="Wingdings" w:hint="default"/>
      </w:rPr>
    </w:lvl>
    <w:lvl w:ilvl="3" w:tplc="20A25C90" w:tentative="1">
      <w:start w:val="1"/>
      <w:numFmt w:val="bullet"/>
      <w:lvlText w:val=""/>
      <w:lvlJc w:val="left"/>
      <w:pPr>
        <w:tabs>
          <w:tab w:val="num" w:pos="2880"/>
        </w:tabs>
        <w:ind w:left="2880" w:hanging="360"/>
      </w:pPr>
      <w:rPr>
        <w:rFonts w:ascii="Wingdings" w:hAnsi="Wingdings" w:hint="default"/>
      </w:rPr>
    </w:lvl>
    <w:lvl w:ilvl="4" w:tplc="68EED290" w:tentative="1">
      <w:start w:val="1"/>
      <w:numFmt w:val="bullet"/>
      <w:lvlText w:val=""/>
      <w:lvlJc w:val="left"/>
      <w:pPr>
        <w:tabs>
          <w:tab w:val="num" w:pos="3600"/>
        </w:tabs>
        <w:ind w:left="3600" w:hanging="360"/>
      </w:pPr>
      <w:rPr>
        <w:rFonts w:ascii="Wingdings" w:hAnsi="Wingdings" w:hint="default"/>
      </w:rPr>
    </w:lvl>
    <w:lvl w:ilvl="5" w:tplc="91A26132" w:tentative="1">
      <w:start w:val="1"/>
      <w:numFmt w:val="bullet"/>
      <w:lvlText w:val=""/>
      <w:lvlJc w:val="left"/>
      <w:pPr>
        <w:tabs>
          <w:tab w:val="num" w:pos="4320"/>
        </w:tabs>
        <w:ind w:left="4320" w:hanging="360"/>
      </w:pPr>
      <w:rPr>
        <w:rFonts w:ascii="Wingdings" w:hAnsi="Wingdings" w:hint="default"/>
      </w:rPr>
    </w:lvl>
    <w:lvl w:ilvl="6" w:tplc="46F80B56" w:tentative="1">
      <w:start w:val="1"/>
      <w:numFmt w:val="bullet"/>
      <w:lvlText w:val=""/>
      <w:lvlJc w:val="left"/>
      <w:pPr>
        <w:tabs>
          <w:tab w:val="num" w:pos="5040"/>
        </w:tabs>
        <w:ind w:left="5040" w:hanging="360"/>
      </w:pPr>
      <w:rPr>
        <w:rFonts w:ascii="Wingdings" w:hAnsi="Wingdings" w:hint="default"/>
      </w:rPr>
    </w:lvl>
    <w:lvl w:ilvl="7" w:tplc="57281766" w:tentative="1">
      <w:start w:val="1"/>
      <w:numFmt w:val="bullet"/>
      <w:lvlText w:val=""/>
      <w:lvlJc w:val="left"/>
      <w:pPr>
        <w:tabs>
          <w:tab w:val="num" w:pos="5760"/>
        </w:tabs>
        <w:ind w:left="5760" w:hanging="360"/>
      </w:pPr>
      <w:rPr>
        <w:rFonts w:ascii="Wingdings" w:hAnsi="Wingdings" w:hint="default"/>
      </w:rPr>
    </w:lvl>
    <w:lvl w:ilvl="8" w:tplc="003691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9" w15:restartNumberingAfterBreak="0">
    <w:nsid w:val="3D18048A"/>
    <w:multiLevelType w:val="hybridMultilevel"/>
    <w:tmpl w:val="8F02B55C"/>
    <w:name w:val="HeadingTemplate222"/>
    <w:lvl w:ilvl="0" w:tplc="18526D18">
      <w:start w:val="1"/>
      <w:numFmt w:val="decimal"/>
      <w:pStyle w:val="Referencelist"/>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507718EE"/>
    <w:multiLevelType w:val="hybridMultilevel"/>
    <w:tmpl w:val="77682CF8"/>
    <w:lvl w:ilvl="0" w:tplc="274AA90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F5D482B"/>
    <w:multiLevelType w:val="hybridMultilevel"/>
    <w:tmpl w:val="B3A4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A1602D"/>
    <w:multiLevelType w:val="hybridMultilevel"/>
    <w:tmpl w:val="4B963292"/>
    <w:lvl w:ilvl="0" w:tplc="274AA90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207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5" w15:restartNumberingAfterBreak="0">
    <w:nsid w:val="7E5A1EDD"/>
    <w:multiLevelType w:val="multilevel"/>
    <w:tmpl w:val="7C5A02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1"/>
  </w:num>
  <w:num w:numId="2">
    <w:abstractNumId w:val="5"/>
  </w:num>
  <w:num w:numId="3">
    <w:abstractNumId w:val="8"/>
  </w:num>
  <w:num w:numId="4">
    <w:abstractNumId w:val="1"/>
  </w:num>
  <w:num w:numId="5">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14"/>
  </w:num>
  <w:num w:numId="7">
    <w:abstractNumId w:val="3"/>
  </w:num>
  <w:num w:numId="8">
    <w:abstractNumId w:val="4"/>
  </w:num>
  <w:num w:numId="9">
    <w:abstractNumId w:val="9"/>
  </w:num>
  <w:num w:numId="10">
    <w:abstractNumId w:val="13"/>
  </w:num>
  <w:num w:numId="11">
    <w:abstractNumId w:val="10"/>
  </w:num>
  <w:num w:numId="12">
    <w:abstractNumId w:val="15"/>
  </w:num>
  <w:num w:numId="13">
    <w:abstractNumId w:val="12"/>
  </w:num>
  <w:num w:numId="14">
    <w:abstractNumId w:val="7"/>
  </w:num>
  <w:num w:numId="15">
    <w:abstractNumId w:val="0"/>
  </w:num>
  <w:num w:numId="16">
    <w:abstractNumId w:val="2"/>
  </w:num>
  <w:num w:numId="17">
    <w:abstractNumId w:val="3"/>
  </w:num>
  <w:num w:numId="18">
    <w:abstractNumId w:val="3"/>
  </w:num>
  <w:num w:numId="19">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9"/>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7178"/>
    <w:rsid w:val="00020EC9"/>
    <w:rsid w:val="000229AB"/>
    <w:rsid w:val="0002569A"/>
    <w:rsid w:val="00037321"/>
    <w:rsid w:val="000425FA"/>
    <w:rsid w:val="000521F9"/>
    <w:rsid w:val="00056A64"/>
    <w:rsid w:val="00074090"/>
    <w:rsid w:val="00081E67"/>
    <w:rsid w:val="00091E10"/>
    <w:rsid w:val="000A0299"/>
    <w:rsid w:val="000B639C"/>
    <w:rsid w:val="000D1725"/>
    <w:rsid w:val="000D2CA2"/>
    <w:rsid w:val="000D71A9"/>
    <w:rsid w:val="000E3BAB"/>
    <w:rsid w:val="000E7F11"/>
    <w:rsid w:val="000F2B7F"/>
    <w:rsid w:val="000F7E94"/>
    <w:rsid w:val="00110D24"/>
    <w:rsid w:val="001119D6"/>
    <w:rsid w:val="001308F2"/>
    <w:rsid w:val="001313E8"/>
    <w:rsid w:val="00145B4D"/>
    <w:rsid w:val="001572F7"/>
    <w:rsid w:val="001616CC"/>
    <w:rsid w:val="001677D7"/>
    <w:rsid w:val="00174C99"/>
    <w:rsid w:val="00185812"/>
    <w:rsid w:val="00185AE5"/>
    <w:rsid w:val="00191AE0"/>
    <w:rsid w:val="001C58F5"/>
    <w:rsid w:val="001D5140"/>
    <w:rsid w:val="001D5CEE"/>
    <w:rsid w:val="001E0872"/>
    <w:rsid w:val="001F1914"/>
    <w:rsid w:val="001F25D6"/>
    <w:rsid w:val="001F6CF4"/>
    <w:rsid w:val="00200057"/>
    <w:rsid w:val="002071D9"/>
    <w:rsid w:val="00216FE4"/>
    <w:rsid w:val="00231C54"/>
    <w:rsid w:val="002376A6"/>
    <w:rsid w:val="00240852"/>
    <w:rsid w:val="002447B7"/>
    <w:rsid w:val="002455C1"/>
    <w:rsid w:val="00256822"/>
    <w:rsid w:val="0026513C"/>
    <w:rsid w:val="0026525A"/>
    <w:rsid w:val="00274790"/>
    <w:rsid w:val="00285755"/>
    <w:rsid w:val="00293E13"/>
    <w:rsid w:val="002A1F9C"/>
    <w:rsid w:val="002A4BDB"/>
    <w:rsid w:val="002B29C2"/>
    <w:rsid w:val="002C4208"/>
    <w:rsid w:val="002D7021"/>
    <w:rsid w:val="0030288B"/>
    <w:rsid w:val="00311BF3"/>
    <w:rsid w:val="00322421"/>
    <w:rsid w:val="00332B37"/>
    <w:rsid w:val="00345434"/>
    <w:rsid w:val="00350F83"/>
    <w:rsid w:val="00352DE1"/>
    <w:rsid w:val="00365E31"/>
    <w:rsid w:val="003728E6"/>
    <w:rsid w:val="0037290B"/>
    <w:rsid w:val="00373394"/>
    <w:rsid w:val="00397E67"/>
    <w:rsid w:val="003B5E0E"/>
    <w:rsid w:val="003C4193"/>
    <w:rsid w:val="003D255A"/>
    <w:rsid w:val="003F0506"/>
    <w:rsid w:val="003F71FA"/>
    <w:rsid w:val="00403295"/>
    <w:rsid w:val="004044AF"/>
    <w:rsid w:val="00416949"/>
    <w:rsid w:val="004171C3"/>
    <w:rsid w:val="00417798"/>
    <w:rsid w:val="00420FA7"/>
    <w:rsid w:val="00434B1C"/>
    <w:rsid w:val="00434EEA"/>
    <w:rsid w:val="004370D8"/>
    <w:rsid w:val="0044654F"/>
    <w:rsid w:val="004518FC"/>
    <w:rsid w:val="004529BF"/>
    <w:rsid w:val="00472C43"/>
    <w:rsid w:val="00487AF9"/>
    <w:rsid w:val="004A2300"/>
    <w:rsid w:val="004F177C"/>
    <w:rsid w:val="004F4FA9"/>
    <w:rsid w:val="00504D17"/>
    <w:rsid w:val="00507598"/>
    <w:rsid w:val="00537496"/>
    <w:rsid w:val="005448EA"/>
    <w:rsid w:val="00544ED3"/>
    <w:rsid w:val="00546863"/>
    <w:rsid w:val="0058477B"/>
    <w:rsid w:val="0058654F"/>
    <w:rsid w:val="005923F2"/>
    <w:rsid w:val="00595A4E"/>
    <w:rsid w:val="00596ACA"/>
    <w:rsid w:val="005A2216"/>
    <w:rsid w:val="005B24D1"/>
    <w:rsid w:val="005C09B5"/>
    <w:rsid w:val="005C3D94"/>
    <w:rsid w:val="005C74E7"/>
    <w:rsid w:val="005D0AAD"/>
    <w:rsid w:val="005E39BC"/>
    <w:rsid w:val="005E6A81"/>
    <w:rsid w:val="005F00A0"/>
    <w:rsid w:val="00604AA1"/>
    <w:rsid w:val="00647F33"/>
    <w:rsid w:val="0065472D"/>
    <w:rsid w:val="00655A12"/>
    <w:rsid w:val="006613DF"/>
    <w:rsid w:val="00661BEC"/>
    <w:rsid w:val="00662532"/>
    <w:rsid w:val="00673971"/>
    <w:rsid w:val="0068278F"/>
    <w:rsid w:val="006929E3"/>
    <w:rsid w:val="0069714A"/>
    <w:rsid w:val="006A21F8"/>
    <w:rsid w:val="006B1854"/>
    <w:rsid w:val="006B2274"/>
    <w:rsid w:val="006B42DE"/>
    <w:rsid w:val="007059F0"/>
    <w:rsid w:val="00706C01"/>
    <w:rsid w:val="007128F0"/>
    <w:rsid w:val="0071427E"/>
    <w:rsid w:val="00717C6F"/>
    <w:rsid w:val="007255E6"/>
    <w:rsid w:val="00743F1B"/>
    <w:rsid w:val="007445DA"/>
    <w:rsid w:val="007465B5"/>
    <w:rsid w:val="00751BE5"/>
    <w:rsid w:val="00763770"/>
    <w:rsid w:val="007675A8"/>
    <w:rsid w:val="00767F5A"/>
    <w:rsid w:val="00782C7C"/>
    <w:rsid w:val="007914E1"/>
    <w:rsid w:val="007A33DF"/>
    <w:rsid w:val="007A42AE"/>
    <w:rsid w:val="007A72B8"/>
    <w:rsid w:val="007B32A3"/>
    <w:rsid w:val="007B4FD1"/>
    <w:rsid w:val="007C410E"/>
    <w:rsid w:val="007D2F95"/>
    <w:rsid w:val="007E3631"/>
    <w:rsid w:val="00802381"/>
    <w:rsid w:val="00804318"/>
    <w:rsid w:val="008079B5"/>
    <w:rsid w:val="00812F5E"/>
    <w:rsid w:val="008140F9"/>
    <w:rsid w:val="00831951"/>
    <w:rsid w:val="00834100"/>
    <w:rsid w:val="008422BC"/>
    <w:rsid w:val="00842FCE"/>
    <w:rsid w:val="00857406"/>
    <w:rsid w:val="008655C4"/>
    <w:rsid w:val="00883848"/>
    <w:rsid w:val="00883CB3"/>
    <w:rsid w:val="00897ED5"/>
    <w:rsid w:val="008B098A"/>
    <w:rsid w:val="008B6BB9"/>
    <w:rsid w:val="008D5EE1"/>
    <w:rsid w:val="008E4895"/>
    <w:rsid w:val="008F3941"/>
    <w:rsid w:val="00900237"/>
    <w:rsid w:val="00911543"/>
    <w:rsid w:val="00941FB9"/>
    <w:rsid w:val="00946FA5"/>
    <w:rsid w:val="009519C9"/>
    <w:rsid w:val="00982E85"/>
    <w:rsid w:val="0099308D"/>
    <w:rsid w:val="00996DD9"/>
    <w:rsid w:val="009A2535"/>
    <w:rsid w:val="009A3D8F"/>
    <w:rsid w:val="009A462F"/>
    <w:rsid w:val="009A7A36"/>
    <w:rsid w:val="009D0B86"/>
    <w:rsid w:val="009D414E"/>
    <w:rsid w:val="009D43C4"/>
    <w:rsid w:val="009E0D5B"/>
    <w:rsid w:val="009E1558"/>
    <w:rsid w:val="009F5E5E"/>
    <w:rsid w:val="00A04A4B"/>
    <w:rsid w:val="00A15123"/>
    <w:rsid w:val="00A37AA9"/>
    <w:rsid w:val="00A42898"/>
    <w:rsid w:val="00A73D73"/>
    <w:rsid w:val="00AA5532"/>
    <w:rsid w:val="00AB041C"/>
    <w:rsid w:val="00AB6ACE"/>
    <w:rsid w:val="00AC5A3A"/>
    <w:rsid w:val="00AE5706"/>
    <w:rsid w:val="00AE5731"/>
    <w:rsid w:val="00AE7809"/>
    <w:rsid w:val="00B05BAF"/>
    <w:rsid w:val="00B20992"/>
    <w:rsid w:val="00B21075"/>
    <w:rsid w:val="00B21221"/>
    <w:rsid w:val="00B22A59"/>
    <w:rsid w:val="00B41A67"/>
    <w:rsid w:val="00B43AC9"/>
    <w:rsid w:val="00B5342E"/>
    <w:rsid w:val="00B56F88"/>
    <w:rsid w:val="00B663BD"/>
    <w:rsid w:val="00B75A0C"/>
    <w:rsid w:val="00B82FA5"/>
    <w:rsid w:val="00B8505B"/>
    <w:rsid w:val="00B93176"/>
    <w:rsid w:val="00BB2219"/>
    <w:rsid w:val="00BC1B1D"/>
    <w:rsid w:val="00BC2862"/>
    <w:rsid w:val="00BC4C01"/>
    <w:rsid w:val="00BC5C34"/>
    <w:rsid w:val="00BD1400"/>
    <w:rsid w:val="00BD605C"/>
    <w:rsid w:val="00BD6E5B"/>
    <w:rsid w:val="00BE1B71"/>
    <w:rsid w:val="00BE2A76"/>
    <w:rsid w:val="00BE433D"/>
    <w:rsid w:val="00BE65FA"/>
    <w:rsid w:val="00BE736E"/>
    <w:rsid w:val="00BF1518"/>
    <w:rsid w:val="00C03178"/>
    <w:rsid w:val="00C0559F"/>
    <w:rsid w:val="00C552FB"/>
    <w:rsid w:val="00C631F6"/>
    <w:rsid w:val="00C65E60"/>
    <w:rsid w:val="00C86F4C"/>
    <w:rsid w:val="00C96BDD"/>
    <w:rsid w:val="00CA6788"/>
    <w:rsid w:val="00CE5A52"/>
    <w:rsid w:val="00CF70E7"/>
    <w:rsid w:val="00CF7AF3"/>
    <w:rsid w:val="00D00A29"/>
    <w:rsid w:val="00D027A3"/>
    <w:rsid w:val="00D03978"/>
    <w:rsid w:val="00D1385A"/>
    <w:rsid w:val="00D2169F"/>
    <w:rsid w:val="00D219DD"/>
    <w:rsid w:val="00D26ADA"/>
    <w:rsid w:val="00D35A78"/>
    <w:rsid w:val="00D555A1"/>
    <w:rsid w:val="00D62CF4"/>
    <w:rsid w:val="00D641C8"/>
    <w:rsid w:val="00D64DC2"/>
    <w:rsid w:val="00D86E49"/>
    <w:rsid w:val="00D92E65"/>
    <w:rsid w:val="00D95C25"/>
    <w:rsid w:val="00DA2BF5"/>
    <w:rsid w:val="00DA46CA"/>
    <w:rsid w:val="00DA5E87"/>
    <w:rsid w:val="00DB37B8"/>
    <w:rsid w:val="00DB6DE9"/>
    <w:rsid w:val="00DF21EB"/>
    <w:rsid w:val="00E00CB5"/>
    <w:rsid w:val="00E20E70"/>
    <w:rsid w:val="00E23492"/>
    <w:rsid w:val="00E252C4"/>
    <w:rsid w:val="00E25B68"/>
    <w:rsid w:val="00E37798"/>
    <w:rsid w:val="00E424AD"/>
    <w:rsid w:val="00E433A8"/>
    <w:rsid w:val="00E47BAD"/>
    <w:rsid w:val="00E84003"/>
    <w:rsid w:val="00EB3F71"/>
    <w:rsid w:val="00EC10FC"/>
    <w:rsid w:val="00ED1C57"/>
    <w:rsid w:val="00EE0041"/>
    <w:rsid w:val="00EE29B9"/>
    <w:rsid w:val="00F004EE"/>
    <w:rsid w:val="00F30D0D"/>
    <w:rsid w:val="00F42E23"/>
    <w:rsid w:val="00F43101"/>
    <w:rsid w:val="00F45EEE"/>
    <w:rsid w:val="00F51E9C"/>
    <w:rsid w:val="00F523CA"/>
    <w:rsid w:val="00F74A9D"/>
    <w:rsid w:val="00F82EF0"/>
    <w:rsid w:val="00F83917"/>
    <w:rsid w:val="00F9338B"/>
    <w:rsid w:val="00FA15D4"/>
    <w:rsid w:val="00FD400E"/>
    <w:rsid w:val="00FD4420"/>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F8B517"/>
  <w15:docId w15:val="{EA656EA6-B487-4F18-8312-CE8BA7566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19" w:unhideWhenUsed="1"/>
    <w:lsdException w:name="annotation text" w:semiHidden="1" w:uiPriority="99"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1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uiPriority="0"/>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uiPriority="0"/>
    <w:lsdException w:name="Balloon Text" w:locked="0" w:semiHidden="1" w:unhideWhenUsed="1"/>
    <w:lsdException w:name="Table Grid" w:locked="0" w:uiPriority="0"/>
    <w:lsdException w:name="Table Theme" w:uiPriority="0"/>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6"/>
      </w:numPr>
      <w:spacing w:before="100" w:beforeAutospacing="1" w:after="100" w:afterAutospacing="1" w:line="280" w:lineRule="atLeast"/>
      <w:ind w:left="0"/>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link w:val="FootnoteTextChar"/>
    <w:uiPriority w:val="19"/>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7"/>
      </w:numPr>
    </w:pPr>
  </w:style>
  <w:style w:type="paragraph" w:customStyle="1" w:styleId="ListNumbered">
    <w:name w:val="List Numbered"/>
    <w:basedOn w:val="BodyText"/>
    <w:uiPriority w:val="5"/>
    <w:qFormat/>
    <w:locked/>
    <w:rsid w:val="00717C6F"/>
    <w:pPr>
      <w:numPr>
        <w:numId w:val="8"/>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uiPriority w:val="19"/>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1"/>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1"/>
    <w:rsid w:val="00717C6F"/>
    <w:rPr>
      <w:i/>
      <w:sz w:val="18"/>
      <w:lang w:eastAsia="en-US"/>
    </w:rPr>
  </w:style>
  <w:style w:type="paragraph" w:customStyle="1" w:styleId="Referencelist">
    <w:name w:val="Reference list"/>
    <w:basedOn w:val="BodyText"/>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qFormat/>
    <w:rsid w:val="00883848"/>
    <w:pPr>
      <w:ind w:firstLine="0"/>
    </w:pPr>
  </w:style>
  <w:style w:type="character" w:customStyle="1" w:styleId="TabletextChar">
    <w:name w:val="Table text Char"/>
    <w:basedOn w:val="BodyTextChar"/>
    <w:link w:val="Tabletext"/>
    <w:rsid w:val="00883848"/>
    <w:rPr>
      <w:lang w:eastAsia="en-US"/>
    </w:rPr>
  </w:style>
  <w:style w:type="paragraph" w:styleId="ListParagraph">
    <w:name w:val="List Paragraph"/>
    <w:basedOn w:val="Normal"/>
    <w:uiPriority w:val="34"/>
    <w:qFormat/>
    <w:locked/>
    <w:rsid w:val="005B24D1"/>
    <w:pPr>
      <w:overflowPunct/>
      <w:autoSpaceDE/>
      <w:autoSpaceDN/>
      <w:adjustRightInd/>
      <w:spacing w:after="200"/>
      <w:ind w:left="720"/>
      <w:textAlignment w:val="auto"/>
    </w:pPr>
    <w:rPr>
      <w:rFonts w:ascii="Sabon LT Std" w:hAnsi="Sabon LT Std"/>
      <w:sz w:val="20"/>
      <w:szCs w:val="24"/>
      <w:lang w:eastAsia="sv-SE"/>
    </w:rPr>
  </w:style>
  <w:style w:type="paragraph" w:customStyle="1" w:styleId="text">
    <w:name w:val="text"/>
    <w:link w:val="textCharChar"/>
    <w:qFormat/>
    <w:rsid w:val="00CF70E7"/>
    <w:pPr>
      <w:keepLines/>
      <w:spacing w:after="200"/>
    </w:pPr>
    <w:rPr>
      <w:rFonts w:ascii="Sabon LT Std" w:hAnsi="Sabon LT Std"/>
      <w:lang w:eastAsia="sv-SE"/>
    </w:rPr>
  </w:style>
  <w:style w:type="character" w:customStyle="1" w:styleId="textCharChar">
    <w:name w:val="text Char Char"/>
    <w:link w:val="text"/>
    <w:locked/>
    <w:rsid w:val="00CF70E7"/>
    <w:rPr>
      <w:rFonts w:ascii="Sabon LT Std" w:hAnsi="Sabon LT Std"/>
      <w:lang w:eastAsia="sv-SE"/>
    </w:rPr>
  </w:style>
  <w:style w:type="paragraph" w:customStyle="1" w:styleId="Picture">
    <w:name w:val="Picture"/>
    <w:next w:val="text"/>
    <w:link w:val="PictureCharChar"/>
    <w:qFormat/>
    <w:rsid w:val="0068278F"/>
    <w:pPr>
      <w:keepNext/>
      <w:keepLines/>
      <w:spacing w:before="100" w:beforeAutospacing="1" w:after="200"/>
      <w:jc w:val="center"/>
    </w:pPr>
    <w:rPr>
      <w:rFonts w:ascii="Arial Narrow" w:hAnsi="Arial Narrow"/>
      <w:lang w:eastAsia="sv-SE"/>
    </w:rPr>
  </w:style>
  <w:style w:type="character" w:customStyle="1" w:styleId="PictureCharChar">
    <w:name w:val="Picture Char Char"/>
    <w:link w:val="Picture"/>
    <w:locked/>
    <w:rsid w:val="0068278F"/>
    <w:rPr>
      <w:rFonts w:ascii="Arial Narrow" w:hAnsi="Arial Narrow"/>
      <w:lang w:eastAsia="sv-SE"/>
    </w:rPr>
  </w:style>
  <w:style w:type="paragraph" w:customStyle="1" w:styleId="Rubrik1asida">
    <w:name w:val="Rubrik 1a sida"/>
    <w:basedOn w:val="Normal"/>
    <w:next w:val="text"/>
    <w:autoRedefine/>
    <w:semiHidden/>
    <w:rsid w:val="006613DF"/>
    <w:pPr>
      <w:overflowPunct/>
      <w:autoSpaceDE/>
      <w:autoSpaceDN/>
      <w:adjustRightInd/>
      <w:spacing w:before="360" w:after="1080"/>
      <w:jc w:val="center"/>
      <w:textAlignment w:val="auto"/>
    </w:pPr>
    <w:rPr>
      <w:rFonts w:ascii="Sabon RomanOsF" w:hAnsi="Sabon RomanOsF"/>
      <w:color w:val="808080"/>
      <w:sz w:val="48"/>
      <w:szCs w:val="24"/>
      <w:lang w:eastAsia="sv-SE"/>
    </w:rPr>
  </w:style>
  <w:style w:type="paragraph" w:customStyle="1" w:styleId="Tablehead">
    <w:name w:val="Table head"/>
    <w:next w:val="Tabletext"/>
    <w:link w:val="TableheadChar"/>
    <w:qFormat/>
    <w:rsid w:val="006613DF"/>
    <w:pPr>
      <w:keepNext/>
      <w:keepLines/>
      <w:tabs>
        <w:tab w:val="left" w:pos="1134"/>
      </w:tabs>
      <w:spacing w:before="280" w:after="200"/>
      <w:ind w:left="1134" w:hanging="1134"/>
    </w:pPr>
    <w:rPr>
      <w:rFonts w:ascii="Arial Narrow" w:hAnsi="Arial Narrow"/>
      <w:lang w:eastAsia="en-US"/>
    </w:rPr>
  </w:style>
  <w:style w:type="character" w:customStyle="1" w:styleId="TableheadChar">
    <w:name w:val="Table head Char"/>
    <w:link w:val="Tablehead"/>
    <w:locked/>
    <w:rsid w:val="006613DF"/>
    <w:rPr>
      <w:rFonts w:ascii="Arial Narrow" w:hAnsi="Arial Narrow"/>
      <w:lang w:eastAsia="en-US"/>
    </w:rPr>
  </w:style>
  <w:style w:type="paragraph" w:customStyle="1" w:styleId="Equation">
    <w:name w:val="Equation"/>
    <w:basedOn w:val="Normal"/>
    <w:next w:val="Normal"/>
    <w:link w:val="EquationChar"/>
    <w:uiPriority w:val="19"/>
    <w:qFormat/>
    <w:rsid w:val="006613DF"/>
    <w:pPr>
      <w:keepLines/>
      <w:tabs>
        <w:tab w:val="center" w:pos="4253"/>
      </w:tabs>
      <w:overflowPunct/>
      <w:autoSpaceDE/>
      <w:autoSpaceDN/>
      <w:adjustRightInd/>
      <w:spacing w:after="200"/>
      <w:textAlignment w:val="auto"/>
    </w:pPr>
    <w:rPr>
      <w:rFonts w:ascii="Sabon LT Std" w:hAnsi="Sabon LT Std"/>
      <w:sz w:val="20"/>
      <w:szCs w:val="24"/>
      <w:lang w:eastAsia="sv-SE"/>
    </w:rPr>
  </w:style>
  <w:style w:type="character" w:customStyle="1" w:styleId="EquationChar">
    <w:name w:val="Equation Char"/>
    <w:link w:val="Equation"/>
    <w:uiPriority w:val="19"/>
    <w:rsid w:val="006613DF"/>
    <w:rPr>
      <w:rFonts w:ascii="Sabon LT Std" w:hAnsi="Sabon LT Std"/>
      <w:szCs w:val="24"/>
      <w:lang w:eastAsia="sv-SE"/>
    </w:rPr>
  </w:style>
  <w:style w:type="character" w:styleId="CommentReference">
    <w:name w:val="annotation reference"/>
    <w:basedOn w:val="DefaultParagraphFont"/>
    <w:uiPriority w:val="99"/>
    <w:semiHidden/>
    <w:unhideWhenUsed/>
    <w:locked/>
    <w:rsid w:val="006613DF"/>
    <w:rPr>
      <w:sz w:val="16"/>
      <w:szCs w:val="16"/>
    </w:rPr>
  </w:style>
  <w:style w:type="paragraph" w:styleId="CommentText">
    <w:name w:val="annotation text"/>
    <w:basedOn w:val="Normal"/>
    <w:link w:val="CommentTextChar"/>
    <w:uiPriority w:val="99"/>
    <w:semiHidden/>
    <w:unhideWhenUsed/>
    <w:locked/>
    <w:rsid w:val="006613DF"/>
    <w:pPr>
      <w:overflowPunct/>
      <w:autoSpaceDE/>
      <w:autoSpaceDN/>
      <w:adjustRightInd/>
      <w:spacing w:after="200"/>
      <w:textAlignment w:val="auto"/>
    </w:pPr>
    <w:rPr>
      <w:rFonts w:ascii="Sabon LT Std" w:hAnsi="Sabon LT Std"/>
      <w:sz w:val="20"/>
      <w:lang w:eastAsia="sv-SE"/>
    </w:rPr>
  </w:style>
  <w:style w:type="character" w:customStyle="1" w:styleId="CommentTextChar">
    <w:name w:val="Comment Text Char"/>
    <w:basedOn w:val="DefaultParagraphFont"/>
    <w:link w:val="CommentText"/>
    <w:uiPriority w:val="99"/>
    <w:semiHidden/>
    <w:rsid w:val="006613DF"/>
    <w:rPr>
      <w:rFonts w:ascii="Sabon LT Std" w:hAnsi="Sabon LT Std"/>
      <w:lang w:eastAsia="sv-SE"/>
    </w:rPr>
  </w:style>
  <w:style w:type="character" w:customStyle="1" w:styleId="FootnoteTextChar">
    <w:name w:val="Footnote Text Char"/>
    <w:basedOn w:val="DefaultParagraphFont"/>
    <w:link w:val="FootnoteText"/>
    <w:uiPriority w:val="19"/>
    <w:rsid w:val="00504D17"/>
    <w:rPr>
      <w:sz w:val="18"/>
      <w:lang w:eastAsia="en-US"/>
    </w:rPr>
  </w:style>
  <w:style w:type="paragraph" w:styleId="CommentSubject">
    <w:name w:val="annotation subject"/>
    <w:basedOn w:val="CommentText"/>
    <w:next w:val="CommentText"/>
    <w:link w:val="CommentSubjectChar"/>
    <w:uiPriority w:val="49"/>
    <w:semiHidden/>
    <w:unhideWhenUsed/>
    <w:locked/>
    <w:rsid w:val="00941FB9"/>
    <w:pPr>
      <w:overflowPunct w:val="0"/>
      <w:autoSpaceDE w:val="0"/>
      <w:autoSpaceDN w:val="0"/>
      <w:adjustRightInd w:val="0"/>
      <w:spacing w:after="0"/>
      <w:textAlignment w:val="baseline"/>
    </w:pPr>
    <w:rPr>
      <w:rFonts w:ascii="Times New Roman" w:hAnsi="Times New Roman"/>
      <w:b/>
      <w:bCs/>
      <w:lang w:eastAsia="en-US"/>
    </w:rPr>
  </w:style>
  <w:style w:type="character" w:customStyle="1" w:styleId="CommentSubjectChar">
    <w:name w:val="Comment Subject Char"/>
    <w:basedOn w:val="CommentTextChar"/>
    <w:link w:val="CommentSubject"/>
    <w:uiPriority w:val="49"/>
    <w:semiHidden/>
    <w:rsid w:val="00941FB9"/>
    <w:rPr>
      <w:rFonts w:ascii="Sabon LT Std" w:hAnsi="Sabon LT Std"/>
      <w:b/>
      <w:bCs/>
      <w:lang w:eastAsia="en-US"/>
    </w:rPr>
  </w:style>
  <w:style w:type="paragraph" w:styleId="Revision">
    <w:name w:val="Revision"/>
    <w:hidden/>
    <w:uiPriority w:val="99"/>
    <w:semiHidden/>
    <w:rsid w:val="00BE65FA"/>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248702">
      <w:bodyDiv w:val="1"/>
      <w:marLeft w:val="0"/>
      <w:marRight w:val="0"/>
      <w:marTop w:val="0"/>
      <w:marBottom w:val="0"/>
      <w:divBdr>
        <w:top w:val="none" w:sz="0" w:space="0" w:color="auto"/>
        <w:left w:val="none" w:sz="0" w:space="0" w:color="auto"/>
        <w:bottom w:val="none" w:sz="0" w:space="0" w:color="auto"/>
        <w:right w:val="none" w:sz="0" w:space="0" w:color="auto"/>
      </w:divBdr>
      <w:divsChild>
        <w:div w:id="676809993">
          <w:marLeft w:val="274"/>
          <w:marRight w:val="0"/>
          <w:marTop w:val="150"/>
          <w:marBottom w:val="0"/>
          <w:divBdr>
            <w:top w:val="none" w:sz="0" w:space="0" w:color="auto"/>
            <w:left w:val="none" w:sz="0" w:space="0" w:color="auto"/>
            <w:bottom w:val="none" w:sz="0" w:space="0" w:color="auto"/>
            <w:right w:val="none" w:sz="0" w:space="0" w:color="auto"/>
          </w:divBdr>
        </w:div>
        <w:div w:id="596786735">
          <w:marLeft w:val="274"/>
          <w:marRight w:val="0"/>
          <w:marTop w:val="150"/>
          <w:marBottom w:val="0"/>
          <w:divBdr>
            <w:top w:val="none" w:sz="0" w:space="0" w:color="auto"/>
            <w:left w:val="none" w:sz="0" w:space="0" w:color="auto"/>
            <w:bottom w:val="none" w:sz="0" w:space="0" w:color="auto"/>
            <w:right w:val="none" w:sz="0" w:space="0" w:color="auto"/>
          </w:divBdr>
        </w:div>
        <w:div w:id="121459155">
          <w:marLeft w:val="806"/>
          <w:marRight w:val="0"/>
          <w:marTop w:val="75"/>
          <w:marBottom w:val="0"/>
          <w:divBdr>
            <w:top w:val="none" w:sz="0" w:space="0" w:color="auto"/>
            <w:left w:val="none" w:sz="0" w:space="0" w:color="auto"/>
            <w:bottom w:val="none" w:sz="0" w:space="0" w:color="auto"/>
            <w:right w:val="none" w:sz="0" w:space="0" w:color="auto"/>
          </w:divBdr>
        </w:div>
        <w:div w:id="996960158">
          <w:marLeft w:val="274"/>
          <w:marRight w:val="0"/>
          <w:marTop w:val="150"/>
          <w:marBottom w:val="0"/>
          <w:divBdr>
            <w:top w:val="none" w:sz="0" w:space="0" w:color="auto"/>
            <w:left w:val="none" w:sz="0" w:space="0" w:color="auto"/>
            <w:bottom w:val="none" w:sz="0" w:space="0" w:color="auto"/>
            <w:right w:val="none" w:sz="0" w:space="0" w:color="auto"/>
          </w:divBdr>
        </w:div>
        <w:div w:id="216205341">
          <w:marLeft w:val="806"/>
          <w:marRight w:val="0"/>
          <w:marTop w:val="75"/>
          <w:marBottom w:val="0"/>
          <w:divBdr>
            <w:top w:val="none" w:sz="0" w:space="0" w:color="auto"/>
            <w:left w:val="none" w:sz="0" w:space="0" w:color="auto"/>
            <w:bottom w:val="none" w:sz="0" w:space="0" w:color="auto"/>
            <w:right w:val="none" w:sz="0" w:space="0" w:color="auto"/>
          </w:divBdr>
        </w:div>
        <w:div w:id="861087487">
          <w:marLeft w:val="274"/>
          <w:marRight w:val="0"/>
          <w:marTop w:val="150"/>
          <w:marBottom w:val="0"/>
          <w:divBdr>
            <w:top w:val="none" w:sz="0" w:space="0" w:color="auto"/>
            <w:left w:val="none" w:sz="0" w:space="0" w:color="auto"/>
            <w:bottom w:val="none" w:sz="0" w:space="0" w:color="auto"/>
            <w:right w:val="none" w:sz="0" w:space="0" w:color="auto"/>
          </w:divBdr>
        </w:div>
        <w:div w:id="896362402">
          <w:marLeft w:val="806"/>
          <w:marRight w:val="0"/>
          <w:marTop w:val="75"/>
          <w:marBottom w:val="0"/>
          <w:divBdr>
            <w:top w:val="none" w:sz="0" w:space="0" w:color="auto"/>
            <w:left w:val="none" w:sz="0" w:space="0" w:color="auto"/>
            <w:bottom w:val="none" w:sz="0" w:space="0" w:color="auto"/>
            <w:right w:val="none" w:sz="0" w:space="0" w:color="auto"/>
          </w:divBdr>
        </w:div>
        <w:div w:id="811406458">
          <w:marLeft w:val="1354"/>
          <w:marRight w:val="0"/>
          <w:marTop w:val="75"/>
          <w:marBottom w:val="0"/>
          <w:divBdr>
            <w:top w:val="none" w:sz="0" w:space="0" w:color="auto"/>
            <w:left w:val="none" w:sz="0" w:space="0" w:color="auto"/>
            <w:bottom w:val="none" w:sz="0" w:space="0" w:color="auto"/>
            <w:right w:val="none" w:sz="0" w:space="0" w:color="auto"/>
          </w:divBdr>
        </w:div>
      </w:divsChild>
    </w:div>
    <w:div w:id="577978703">
      <w:bodyDiv w:val="1"/>
      <w:marLeft w:val="0"/>
      <w:marRight w:val="0"/>
      <w:marTop w:val="0"/>
      <w:marBottom w:val="0"/>
      <w:divBdr>
        <w:top w:val="none" w:sz="0" w:space="0" w:color="auto"/>
        <w:left w:val="none" w:sz="0" w:space="0" w:color="auto"/>
        <w:bottom w:val="none" w:sz="0" w:space="0" w:color="auto"/>
        <w:right w:val="none" w:sz="0" w:space="0" w:color="auto"/>
      </w:divBdr>
      <w:divsChild>
        <w:div w:id="1309702450">
          <w:marLeft w:val="274"/>
          <w:marRight w:val="0"/>
          <w:marTop w:val="0"/>
          <w:marBottom w:val="120"/>
          <w:divBdr>
            <w:top w:val="none" w:sz="0" w:space="0" w:color="auto"/>
            <w:left w:val="none" w:sz="0" w:space="0" w:color="auto"/>
            <w:bottom w:val="none" w:sz="0" w:space="0" w:color="auto"/>
            <w:right w:val="none" w:sz="0" w:space="0" w:color="auto"/>
          </w:divBdr>
        </w:div>
      </w:divsChild>
    </w:div>
    <w:div w:id="1034770199">
      <w:bodyDiv w:val="1"/>
      <w:marLeft w:val="0"/>
      <w:marRight w:val="0"/>
      <w:marTop w:val="0"/>
      <w:marBottom w:val="0"/>
      <w:divBdr>
        <w:top w:val="none" w:sz="0" w:space="0" w:color="auto"/>
        <w:left w:val="none" w:sz="0" w:space="0" w:color="auto"/>
        <w:bottom w:val="none" w:sz="0" w:space="0" w:color="auto"/>
        <w:right w:val="none" w:sz="0" w:space="0" w:color="auto"/>
      </w:divBdr>
      <w:divsChild>
        <w:div w:id="333386631">
          <w:marLeft w:val="274"/>
          <w:marRight w:val="0"/>
          <w:marTop w:val="150"/>
          <w:marBottom w:val="0"/>
          <w:divBdr>
            <w:top w:val="none" w:sz="0" w:space="0" w:color="auto"/>
            <w:left w:val="none" w:sz="0" w:space="0" w:color="auto"/>
            <w:bottom w:val="none" w:sz="0" w:space="0" w:color="auto"/>
            <w:right w:val="none" w:sz="0" w:space="0" w:color="auto"/>
          </w:divBdr>
        </w:div>
        <w:div w:id="1404794909">
          <w:marLeft w:val="274"/>
          <w:marRight w:val="0"/>
          <w:marTop w:val="150"/>
          <w:marBottom w:val="0"/>
          <w:divBdr>
            <w:top w:val="none" w:sz="0" w:space="0" w:color="auto"/>
            <w:left w:val="none" w:sz="0" w:space="0" w:color="auto"/>
            <w:bottom w:val="none" w:sz="0" w:space="0" w:color="auto"/>
            <w:right w:val="none" w:sz="0" w:space="0" w:color="auto"/>
          </w:divBdr>
        </w:div>
        <w:div w:id="814880327">
          <w:marLeft w:val="274"/>
          <w:marRight w:val="0"/>
          <w:marTop w:val="150"/>
          <w:marBottom w:val="0"/>
          <w:divBdr>
            <w:top w:val="none" w:sz="0" w:space="0" w:color="auto"/>
            <w:left w:val="none" w:sz="0" w:space="0" w:color="auto"/>
            <w:bottom w:val="none" w:sz="0" w:space="0" w:color="auto"/>
            <w:right w:val="none" w:sz="0" w:space="0" w:color="auto"/>
          </w:divBdr>
        </w:div>
        <w:div w:id="813108453">
          <w:marLeft w:val="274"/>
          <w:marRight w:val="0"/>
          <w:marTop w:val="150"/>
          <w:marBottom w:val="0"/>
          <w:divBdr>
            <w:top w:val="none" w:sz="0" w:space="0" w:color="auto"/>
            <w:left w:val="none" w:sz="0" w:space="0" w:color="auto"/>
            <w:bottom w:val="none" w:sz="0" w:space="0" w:color="auto"/>
            <w:right w:val="none" w:sz="0" w:space="0" w:color="auto"/>
          </w:divBdr>
        </w:div>
        <w:div w:id="1333414772">
          <w:marLeft w:val="1267"/>
          <w:marRight w:val="0"/>
          <w:marTop w:val="75"/>
          <w:marBottom w:val="0"/>
          <w:divBdr>
            <w:top w:val="none" w:sz="0" w:space="0" w:color="auto"/>
            <w:left w:val="none" w:sz="0" w:space="0" w:color="auto"/>
            <w:bottom w:val="none" w:sz="0" w:space="0" w:color="auto"/>
            <w:right w:val="none" w:sz="0" w:space="0" w:color="auto"/>
          </w:divBdr>
        </w:div>
      </w:divsChild>
    </w:div>
    <w:div w:id="1358772330">
      <w:bodyDiv w:val="1"/>
      <w:marLeft w:val="0"/>
      <w:marRight w:val="0"/>
      <w:marTop w:val="0"/>
      <w:marBottom w:val="0"/>
      <w:divBdr>
        <w:top w:val="none" w:sz="0" w:space="0" w:color="auto"/>
        <w:left w:val="none" w:sz="0" w:space="0" w:color="auto"/>
        <w:bottom w:val="none" w:sz="0" w:space="0" w:color="auto"/>
        <w:right w:val="none" w:sz="0" w:space="0" w:color="auto"/>
      </w:divBdr>
      <w:divsChild>
        <w:div w:id="1225292193">
          <w:marLeft w:val="274"/>
          <w:marRight w:val="0"/>
          <w:marTop w:val="150"/>
          <w:marBottom w:val="0"/>
          <w:divBdr>
            <w:top w:val="none" w:sz="0" w:space="0" w:color="auto"/>
            <w:left w:val="none" w:sz="0" w:space="0" w:color="auto"/>
            <w:bottom w:val="none" w:sz="0" w:space="0" w:color="auto"/>
            <w:right w:val="none" w:sz="0" w:space="0" w:color="auto"/>
          </w:divBdr>
        </w:div>
      </w:divsChild>
    </w:div>
    <w:div w:id="1607424136">
      <w:bodyDiv w:val="1"/>
      <w:marLeft w:val="0"/>
      <w:marRight w:val="0"/>
      <w:marTop w:val="0"/>
      <w:marBottom w:val="0"/>
      <w:divBdr>
        <w:top w:val="none" w:sz="0" w:space="0" w:color="auto"/>
        <w:left w:val="none" w:sz="0" w:space="0" w:color="auto"/>
        <w:bottom w:val="none" w:sz="0" w:space="0" w:color="auto"/>
        <w:right w:val="none" w:sz="0" w:space="0" w:color="auto"/>
      </w:divBdr>
      <w:divsChild>
        <w:div w:id="757824893">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D878BF8E-7CD9-464C-9A8F-5178D62F1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1583</TotalTime>
  <Pages>1</Pages>
  <Words>5003</Words>
  <Characters>28520</Characters>
  <Application>Microsoft Office Word</Application>
  <DocSecurity>0</DocSecurity>
  <Lines>237</Lines>
  <Paragraphs>66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IAEA</vt:lpstr>
      <vt:lpstr>IAEA</vt:lpstr>
    </vt:vector>
  </TitlesOfParts>
  <Company>IAEA</Company>
  <LinksUpToDate>false</LinksUpToDate>
  <CharactersWithSpaces>33457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Albert Machiels</cp:lastModifiedBy>
  <cp:revision>22</cp:revision>
  <cp:lastPrinted>2019-02-26T01:43:00Z</cp:lastPrinted>
  <dcterms:created xsi:type="dcterms:W3CDTF">2019-02-25T00:53:00Z</dcterms:created>
  <dcterms:modified xsi:type="dcterms:W3CDTF">2019-04-10T01:37:00Z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