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8BEC" w14:textId="0C9B3D36" w:rsidR="00E20E70" w:rsidRPr="003D0149" w:rsidRDefault="00080D61" w:rsidP="00080D61">
      <w:pPr>
        <w:pStyle w:val="Heading1"/>
        <w:rPr>
          <w:lang w:val="en-GB"/>
        </w:rPr>
      </w:pPr>
      <w:r w:rsidRPr="003D0149">
        <w:rPr>
          <w:lang w:val="en-GB"/>
        </w:rPr>
        <w:t xml:space="preserve">Role of the </w:t>
      </w:r>
      <w:r w:rsidR="00416833" w:rsidRPr="003D0149">
        <w:rPr>
          <w:lang w:val="en-GB"/>
        </w:rPr>
        <w:t xml:space="preserve">HOST </w:t>
      </w:r>
      <w:r w:rsidRPr="003D0149">
        <w:rPr>
          <w:lang w:val="en-GB"/>
        </w:rPr>
        <w:t>communities in final disposal of spent nuclear fuel in Finland and Sweden</w:t>
      </w:r>
    </w:p>
    <w:p w14:paraId="5506E4A8" w14:textId="40030C74" w:rsidR="003B5E0E" w:rsidRPr="003D0149" w:rsidRDefault="003B5E0E" w:rsidP="00537496">
      <w:pPr>
        <w:pStyle w:val="Subtitle"/>
        <w:rPr>
          <w:lang w:val="en-GB"/>
        </w:rPr>
      </w:pPr>
    </w:p>
    <w:p w14:paraId="047EE849" w14:textId="77777777" w:rsidR="00802381" w:rsidRPr="003D0149" w:rsidRDefault="00802381" w:rsidP="00537496">
      <w:pPr>
        <w:pStyle w:val="Authornameandaffiliation"/>
        <w:rPr>
          <w:lang w:val="en-GB"/>
        </w:rPr>
      </w:pPr>
    </w:p>
    <w:p w14:paraId="13A1F78A" w14:textId="440BA46B" w:rsidR="003B5E0E" w:rsidRPr="003D0149" w:rsidRDefault="00EC4C85" w:rsidP="00537496">
      <w:pPr>
        <w:pStyle w:val="Authornameandaffiliation"/>
        <w:rPr>
          <w:lang w:val="en-GB"/>
        </w:rPr>
      </w:pPr>
      <w:r w:rsidRPr="003D0149">
        <w:rPr>
          <w:lang w:val="en-GB"/>
        </w:rPr>
        <w:t>M. KARI</w:t>
      </w:r>
    </w:p>
    <w:p w14:paraId="47A21364" w14:textId="0DAF6E06" w:rsidR="00FF386F" w:rsidRPr="003D0149" w:rsidRDefault="00EC4C85" w:rsidP="00537496">
      <w:pPr>
        <w:pStyle w:val="Authornameandaffiliation"/>
        <w:rPr>
          <w:lang w:val="en-GB"/>
        </w:rPr>
      </w:pPr>
      <w:r w:rsidRPr="003D0149">
        <w:rPr>
          <w:lang w:val="en-GB"/>
        </w:rPr>
        <w:t>Tampere University, Faculty of Management and Business</w:t>
      </w:r>
    </w:p>
    <w:p w14:paraId="2FCECE41" w14:textId="1E1C84CB" w:rsidR="00FF386F" w:rsidRPr="003D0149" w:rsidRDefault="00EC4C85" w:rsidP="00537496">
      <w:pPr>
        <w:pStyle w:val="Authornameandaffiliation"/>
        <w:rPr>
          <w:lang w:val="en-GB"/>
        </w:rPr>
      </w:pPr>
      <w:r w:rsidRPr="003D0149">
        <w:rPr>
          <w:lang w:val="en-GB"/>
        </w:rPr>
        <w:t>Tampere, Finland</w:t>
      </w:r>
    </w:p>
    <w:p w14:paraId="319B21B5" w14:textId="77777777" w:rsidR="00FF386F" w:rsidRPr="003D0149" w:rsidRDefault="00FF386F" w:rsidP="00537496">
      <w:pPr>
        <w:pStyle w:val="Authornameandaffiliation"/>
        <w:rPr>
          <w:lang w:val="en-GB"/>
        </w:rPr>
      </w:pPr>
    </w:p>
    <w:p w14:paraId="2768F3AC" w14:textId="5ABECF7E" w:rsidR="00FF386F" w:rsidRPr="003D0149" w:rsidRDefault="00D01C7E" w:rsidP="00537496">
      <w:pPr>
        <w:pStyle w:val="Authornameandaffiliation"/>
        <w:rPr>
          <w:lang w:val="en-GB"/>
        </w:rPr>
      </w:pPr>
      <w:r w:rsidRPr="003D0149">
        <w:rPr>
          <w:lang w:val="en-GB"/>
        </w:rPr>
        <w:t>M. KOJO</w:t>
      </w:r>
    </w:p>
    <w:p w14:paraId="0058DBF0" w14:textId="652AEEAF" w:rsidR="00FF386F" w:rsidRPr="003D0149" w:rsidRDefault="00D01C7E" w:rsidP="00537496">
      <w:pPr>
        <w:pStyle w:val="Authornameandaffiliation"/>
        <w:rPr>
          <w:lang w:val="en-GB"/>
        </w:rPr>
      </w:pPr>
      <w:r w:rsidRPr="003D0149">
        <w:rPr>
          <w:lang w:val="en-GB"/>
        </w:rPr>
        <w:t>Tampere University, Faculty of Management and Business</w:t>
      </w:r>
    </w:p>
    <w:p w14:paraId="6BFA407B" w14:textId="3B13AE94" w:rsidR="00FF386F" w:rsidRPr="0016126A" w:rsidRDefault="00D01C7E" w:rsidP="00537496">
      <w:pPr>
        <w:pStyle w:val="Authornameandaffiliation"/>
        <w:rPr>
          <w:lang w:val="fr-FR"/>
        </w:rPr>
      </w:pPr>
      <w:r w:rsidRPr="0016126A">
        <w:rPr>
          <w:lang w:val="fr-FR"/>
        </w:rPr>
        <w:t>Tampere, Finland</w:t>
      </w:r>
    </w:p>
    <w:p w14:paraId="7A8894A9" w14:textId="7D1D3908" w:rsidR="002F4189" w:rsidRPr="003D0149" w:rsidRDefault="002F4189" w:rsidP="002F4189">
      <w:pPr>
        <w:pStyle w:val="Authornameandaffiliation"/>
        <w:rPr>
          <w:lang w:val="fr-FR"/>
        </w:rPr>
      </w:pPr>
      <w:r w:rsidRPr="0016126A">
        <w:rPr>
          <w:lang w:val="fr-FR"/>
        </w:rPr>
        <w:t>Email: matti.kojo@tuni.fi</w:t>
      </w:r>
    </w:p>
    <w:p w14:paraId="64BC07DC" w14:textId="77777777" w:rsidR="00D01C7E" w:rsidRPr="003D0149" w:rsidRDefault="00D01C7E" w:rsidP="00D01C7E">
      <w:pPr>
        <w:pStyle w:val="Authornameandaffiliation"/>
        <w:rPr>
          <w:lang w:val="fr-FR"/>
        </w:rPr>
      </w:pPr>
    </w:p>
    <w:p w14:paraId="1C86757D" w14:textId="77777777" w:rsidR="00D01C7E" w:rsidRPr="003D0149" w:rsidRDefault="00D01C7E" w:rsidP="00D01C7E">
      <w:pPr>
        <w:pStyle w:val="Authornameandaffiliation"/>
        <w:rPr>
          <w:lang w:val="fr-FR"/>
        </w:rPr>
      </w:pPr>
      <w:r w:rsidRPr="003D0149">
        <w:rPr>
          <w:lang w:val="fr-FR"/>
        </w:rPr>
        <w:t>M. LEHTONEN</w:t>
      </w:r>
    </w:p>
    <w:p w14:paraId="6D560BD5" w14:textId="77777777" w:rsidR="00D01C7E" w:rsidRPr="003D0149" w:rsidRDefault="00D01C7E" w:rsidP="00D01C7E">
      <w:pPr>
        <w:pStyle w:val="Authornameandaffiliation"/>
        <w:rPr>
          <w:lang w:val="fr-FR"/>
        </w:rPr>
      </w:pPr>
      <w:r w:rsidRPr="003D0149">
        <w:rPr>
          <w:lang w:val="fr-FR"/>
        </w:rPr>
        <w:t>Universitat Pompeu Fabra</w:t>
      </w:r>
    </w:p>
    <w:p w14:paraId="1910D8E7" w14:textId="77777777" w:rsidR="00D01C7E" w:rsidRPr="00800674" w:rsidRDefault="00D01C7E" w:rsidP="00D01C7E">
      <w:pPr>
        <w:pStyle w:val="Authornameandaffiliation"/>
      </w:pPr>
      <w:r w:rsidRPr="00800674">
        <w:t>Barcelona, Spain</w:t>
      </w:r>
    </w:p>
    <w:p w14:paraId="365DC666" w14:textId="77777777" w:rsidR="00FF386F" w:rsidRPr="00800674" w:rsidRDefault="00FF386F" w:rsidP="00537496">
      <w:pPr>
        <w:pStyle w:val="Authornameandaffiliation"/>
      </w:pPr>
    </w:p>
    <w:p w14:paraId="4690FE89" w14:textId="77777777" w:rsidR="00647F33" w:rsidRPr="00814947" w:rsidRDefault="00647F33" w:rsidP="00537496">
      <w:pPr>
        <w:pStyle w:val="Authornameandaffiliation"/>
        <w:rPr>
          <w:b/>
          <w:lang w:val="en-GB"/>
        </w:rPr>
      </w:pPr>
      <w:r w:rsidRPr="00814947">
        <w:rPr>
          <w:b/>
          <w:lang w:val="en-GB"/>
        </w:rPr>
        <w:t>Abstract</w:t>
      </w:r>
    </w:p>
    <w:p w14:paraId="4381B28C" w14:textId="77777777" w:rsidR="00647F33" w:rsidRPr="00814947" w:rsidRDefault="00647F33" w:rsidP="00537496">
      <w:pPr>
        <w:pStyle w:val="Authornameandaffiliation"/>
        <w:rPr>
          <w:lang w:val="en-GB"/>
        </w:rPr>
      </w:pPr>
    </w:p>
    <w:p w14:paraId="61AB8A76" w14:textId="06926D2F" w:rsidR="00647F33" w:rsidRPr="003D0149" w:rsidRDefault="0016786D" w:rsidP="00C0665C">
      <w:pPr>
        <w:pStyle w:val="Abstracttext"/>
        <w:jc w:val="both"/>
        <w:rPr>
          <w:lang w:val="en-GB"/>
        </w:rPr>
      </w:pPr>
      <w:r w:rsidRPr="00814947">
        <w:rPr>
          <w:lang w:val="en-GB"/>
        </w:rPr>
        <w:t xml:space="preserve">Finland and Sweden are the countries with the most advanced plans for final disposal of spent nuclear fuel (SNF). The OECD Nuclear Energy Agency's Forum on Stakeholder Confidence (FSC) has </w:t>
      </w:r>
      <w:r w:rsidR="004D4D6E" w:rsidRPr="00814947">
        <w:rPr>
          <w:lang w:val="en-GB"/>
        </w:rPr>
        <w:t xml:space="preserve">evoked </w:t>
      </w:r>
      <w:r w:rsidRPr="00814947">
        <w:rPr>
          <w:lang w:val="en-GB"/>
        </w:rPr>
        <w:t>both</w:t>
      </w:r>
      <w:r w:rsidR="00E42895" w:rsidRPr="00814947">
        <w:rPr>
          <w:lang w:val="en-GB"/>
        </w:rPr>
        <w:t xml:space="preserve"> countries </w:t>
      </w:r>
      <w:r w:rsidRPr="00814947">
        <w:rPr>
          <w:lang w:val="en-GB"/>
        </w:rPr>
        <w:t xml:space="preserve">as </w:t>
      </w:r>
      <w:r w:rsidR="004D4D6E" w:rsidRPr="00814947">
        <w:rPr>
          <w:lang w:val="en-GB"/>
        </w:rPr>
        <w:t xml:space="preserve">good </w:t>
      </w:r>
      <w:r w:rsidRPr="00814947">
        <w:rPr>
          <w:lang w:val="en-GB"/>
        </w:rPr>
        <w:t xml:space="preserve">examples </w:t>
      </w:r>
      <w:r w:rsidR="004D4D6E" w:rsidRPr="00814947">
        <w:rPr>
          <w:lang w:val="en-GB"/>
        </w:rPr>
        <w:t xml:space="preserve">in the </w:t>
      </w:r>
      <w:r w:rsidRPr="00814947">
        <w:rPr>
          <w:lang w:val="en-GB"/>
        </w:rPr>
        <w:t>us</w:t>
      </w:r>
      <w:r w:rsidR="004D4D6E" w:rsidRPr="00814947">
        <w:rPr>
          <w:lang w:val="en-GB"/>
        </w:rPr>
        <w:t>e of</w:t>
      </w:r>
      <w:r w:rsidRPr="00814947">
        <w:rPr>
          <w:lang w:val="en-GB"/>
        </w:rPr>
        <w:t xml:space="preserve"> </w:t>
      </w:r>
      <w:r w:rsidR="004D4D6E" w:rsidRPr="00814947">
        <w:rPr>
          <w:lang w:val="en-GB"/>
        </w:rPr>
        <w:t xml:space="preserve">a </w:t>
      </w:r>
      <w:r w:rsidRPr="00814947">
        <w:rPr>
          <w:lang w:val="en-GB"/>
        </w:rPr>
        <w:t xml:space="preserve">'partnering' approach, </w:t>
      </w:r>
      <w:r w:rsidR="00C952B9" w:rsidRPr="00814947">
        <w:rPr>
          <w:lang w:val="en-GB"/>
        </w:rPr>
        <w:t xml:space="preserve">designed </w:t>
      </w:r>
      <w:r w:rsidRPr="00814947">
        <w:rPr>
          <w:lang w:val="en-GB"/>
        </w:rPr>
        <w:t>to achiev</w:t>
      </w:r>
      <w:r w:rsidR="00C952B9" w:rsidRPr="00814947">
        <w:rPr>
          <w:lang w:val="en-GB"/>
        </w:rPr>
        <w:t>e</w:t>
      </w:r>
      <w:r w:rsidRPr="00814947">
        <w:rPr>
          <w:lang w:val="en-GB"/>
        </w:rPr>
        <w:t xml:space="preserve"> both a licensable site supported by the community and a balance between fair representation and competent participation. While both countries are consensus driven high-trust societies, </w:t>
      </w:r>
      <w:r w:rsidR="00E103CF" w:rsidRPr="00814947">
        <w:rPr>
          <w:lang w:val="en-GB"/>
        </w:rPr>
        <w:t>with</w:t>
      </w:r>
      <w:r w:rsidRPr="00814947">
        <w:rPr>
          <w:lang w:val="en-GB"/>
        </w:rPr>
        <w:t xml:space="preserve"> similar technological concept for SNF disposal, and whose licensing processes have advanced at fairly similar pace, both also possess their own distinct characteristics</w:t>
      </w:r>
      <w:r w:rsidR="00416833" w:rsidRPr="00814947">
        <w:rPr>
          <w:lang w:val="en-GB"/>
        </w:rPr>
        <w:t>.</w:t>
      </w:r>
      <w:r w:rsidRPr="00814947">
        <w:rPr>
          <w:lang w:val="en-GB"/>
        </w:rPr>
        <w:t xml:space="preserve"> One</w:t>
      </w:r>
      <w:r w:rsidR="003C3A53" w:rsidRPr="00814947">
        <w:rPr>
          <w:lang w:val="en-GB"/>
        </w:rPr>
        <w:t xml:space="preserve"> </w:t>
      </w:r>
      <w:r w:rsidR="00C952B9" w:rsidRPr="00814947">
        <w:rPr>
          <w:lang w:val="en-GB"/>
        </w:rPr>
        <w:t>difference concerns</w:t>
      </w:r>
      <w:r w:rsidRPr="00814947">
        <w:rPr>
          <w:lang w:val="en-GB"/>
        </w:rPr>
        <w:t xml:space="preserve"> the role of the communities in siting and licensing of the repositories. </w:t>
      </w:r>
      <w:r w:rsidR="00ED4A1B" w:rsidRPr="00814947">
        <w:rPr>
          <w:lang w:val="en-GB"/>
        </w:rPr>
        <w:t xml:space="preserve">The paper examines 1) the </w:t>
      </w:r>
      <w:r w:rsidR="009D66FE" w:rsidRPr="00814947">
        <w:rPr>
          <w:lang w:val="en-GB"/>
        </w:rPr>
        <w:t>background</w:t>
      </w:r>
      <w:r w:rsidR="00ED4A1B" w:rsidRPr="00814947">
        <w:rPr>
          <w:lang w:val="en-GB"/>
        </w:rPr>
        <w:t xml:space="preserve"> for this differentiation, </w:t>
      </w:r>
      <w:r w:rsidR="009D66FE" w:rsidRPr="00814947">
        <w:rPr>
          <w:lang w:val="en-GB"/>
        </w:rPr>
        <w:t>2</w:t>
      </w:r>
      <w:r w:rsidR="00ED4A1B" w:rsidRPr="00814947">
        <w:rPr>
          <w:lang w:val="en-GB"/>
        </w:rPr>
        <w:t>) how local final disposal organisations in the host communities Eurajoki and Östhamm</w:t>
      </w:r>
      <w:r w:rsidR="009D66FE" w:rsidRPr="00814947">
        <w:rPr>
          <w:lang w:val="en-GB"/>
        </w:rPr>
        <w:t>ar took shape and evolved, and 3</w:t>
      </w:r>
      <w:r w:rsidR="00ED4A1B" w:rsidRPr="00814947">
        <w:rPr>
          <w:lang w:val="en-GB"/>
        </w:rPr>
        <w:t xml:space="preserve">) how differences between the organisations illustrate the divergence between the Finnish and Swedish approaches to stakeholder engagement. </w:t>
      </w:r>
      <w:r w:rsidRPr="00814947">
        <w:rPr>
          <w:lang w:val="en-GB"/>
        </w:rPr>
        <w:t>While the Swedish approach can be characterised as '</w:t>
      </w:r>
      <w:r w:rsidR="0037425A" w:rsidRPr="00814947">
        <w:rPr>
          <w:lang w:val="en-GB"/>
        </w:rPr>
        <w:t>involved</w:t>
      </w:r>
      <w:r w:rsidRPr="00814947">
        <w:rPr>
          <w:lang w:val="en-GB"/>
        </w:rPr>
        <w:t xml:space="preserve"> partnership' – </w:t>
      </w:r>
      <w:r w:rsidR="00C952B9">
        <w:rPr>
          <w:lang w:val="en-GB"/>
        </w:rPr>
        <w:t>which shapes</w:t>
      </w:r>
      <w:r w:rsidR="00C952B9" w:rsidRPr="003D0149">
        <w:rPr>
          <w:lang w:val="en-GB"/>
        </w:rPr>
        <w:t xml:space="preserve"> </w:t>
      </w:r>
      <w:r w:rsidR="00C952B9">
        <w:rPr>
          <w:lang w:val="en-GB"/>
        </w:rPr>
        <w:t xml:space="preserve">the </w:t>
      </w:r>
      <w:r w:rsidRPr="003D0149">
        <w:rPr>
          <w:lang w:val="en-GB"/>
        </w:rPr>
        <w:t xml:space="preserve">operating environment for the implementer and authorities, </w:t>
      </w:r>
      <w:r w:rsidR="00C952B9">
        <w:rPr>
          <w:lang w:val="en-GB"/>
        </w:rPr>
        <w:t xml:space="preserve">by </w:t>
      </w:r>
      <w:r w:rsidRPr="003D0149">
        <w:rPr>
          <w:lang w:val="en-GB"/>
        </w:rPr>
        <w:t>challenging and even modifying the policies and actions – the Finnish case could be described as a '</w:t>
      </w:r>
      <w:r w:rsidR="00723B7B" w:rsidRPr="003D0149">
        <w:rPr>
          <w:lang w:val="en-GB"/>
        </w:rPr>
        <w:t>bystander</w:t>
      </w:r>
      <w:r w:rsidRPr="003D0149">
        <w:rPr>
          <w:lang w:val="en-GB"/>
        </w:rPr>
        <w:t xml:space="preserve"> partnership' characterised by trust in safety authorities, with community economics as the primary concern. </w:t>
      </w:r>
    </w:p>
    <w:p w14:paraId="0CEBB666" w14:textId="77777777" w:rsidR="00647F33" w:rsidRPr="00C952B9" w:rsidRDefault="00F523CA" w:rsidP="002D2FF6">
      <w:pPr>
        <w:pStyle w:val="Heading2"/>
        <w:numPr>
          <w:ilvl w:val="1"/>
          <w:numId w:val="5"/>
        </w:numPr>
      </w:pPr>
      <w:r w:rsidRPr="00C952B9">
        <w:t>INTRODUCTION</w:t>
      </w:r>
    </w:p>
    <w:p w14:paraId="10D8BCEF" w14:textId="77C03C83" w:rsidR="00442650" w:rsidRPr="00C952B9" w:rsidRDefault="004C3AE8" w:rsidP="00537496">
      <w:pPr>
        <w:pStyle w:val="BodyText"/>
      </w:pPr>
      <w:r w:rsidRPr="00C952B9">
        <w:t>Top-down, unconsultative siting approach</w:t>
      </w:r>
      <w:r w:rsidR="00C952B9">
        <w:t>es</w:t>
      </w:r>
      <w:r w:rsidRPr="00C952B9">
        <w:t xml:space="preserve"> </w:t>
      </w:r>
      <w:r w:rsidR="00604A0B" w:rsidRPr="00C952B9">
        <w:t xml:space="preserve">of Decide Announce </w:t>
      </w:r>
      <w:r w:rsidRPr="00C952B9">
        <w:t xml:space="preserve">and </w:t>
      </w:r>
      <w:r w:rsidR="00604A0B" w:rsidRPr="00C952B9">
        <w:t>Defend (DAD)</w:t>
      </w:r>
      <w:r w:rsidRPr="00C952B9">
        <w:t>,</w:t>
      </w:r>
      <w:r w:rsidR="00604A0B" w:rsidRPr="00C952B9">
        <w:t xml:space="preserve"> </w:t>
      </w:r>
      <w:r w:rsidRPr="00C952B9">
        <w:t>imposing</w:t>
      </w:r>
      <w:r w:rsidR="00604A0B" w:rsidRPr="00C952B9">
        <w:t xml:space="preserve"> radioactive waste facilities on communities</w:t>
      </w:r>
      <w:r w:rsidRPr="00C952B9">
        <w:t>,</w:t>
      </w:r>
      <w:r w:rsidR="00604A0B" w:rsidRPr="00C952B9">
        <w:t xml:space="preserve"> failed and </w:t>
      </w:r>
      <w:r w:rsidR="00C952B9">
        <w:t>were</w:t>
      </w:r>
      <w:r w:rsidR="00C952B9" w:rsidRPr="00C952B9">
        <w:t xml:space="preserve"> </w:t>
      </w:r>
      <w:r w:rsidR="00604A0B" w:rsidRPr="00C952B9">
        <w:t xml:space="preserve">rejected by </w:t>
      </w:r>
      <w:r w:rsidR="00C952B9">
        <w:t xml:space="preserve">especially </w:t>
      </w:r>
      <w:r w:rsidR="00604A0B" w:rsidRPr="00C952B9">
        <w:t>local public</w:t>
      </w:r>
      <w:r w:rsidR="00C952B9">
        <w:t>s</w:t>
      </w:r>
      <w:r w:rsidR="00604A0B" w:rsidRPr="00C952B9">
        <w:t xml:space="preserve"> in various countries during the 1980s and 1990s</w:t>
      </w:r>
      <w:r w:rsidRPr="00C952B9">
        <w:t xml:space="preserve"> </w:t>
      </w:r>
      <w:r w:rsidR="004C0DA9" w:rsidRPr="00C952B9">
        <w:t>[</w:t>
      </w:r>
      <w:r w:rsidR="00F25F3A" w:rsidRPr="00C952B9">
        <w:t>1</w:t>
      </w:r>
      <w:r w:rsidR="004C0DA9" w:rsidRPr="00C952B9">
        <w:t>]</w:t>
      </w:r>
      <w:r w:rsidR="00604A0B" w:rsidRPr="00C952B9">
        <w:t xml:space="preserve">. </w:t>
      </w:r>
      <w:r w:rsidR="00C952B9">
        <w:t>T</w:t>
      </w:r>
      <w:r w:rsidR="00604A0B" w:rsidRPr="00C952B9">
        <w:t xml:space="preserve">hese failures </w:t>
      </w:r>
      <w:r w:rsidR="00C952B9">
        <w:t>led</w:t>
      </w:r>
      <w:r w:rsidR="00C952B9" w:rsidRPr="00C952B9">
        <w:t xml:space="preserve"> </w:t>
      </w:r>
      <w:r w:rsidR="00604A0B" w:rsidRPr="00C952B9">
        <w:t xml:space="preserve">for example OECD's Nuclear Energy Agency (NEA) to conclude that, </w:t>
      </w:r>
      <w:r w:rsidR="00C952B9">
        <w:t xml:space="preserve">to enable </w:t>
      </w:r>
      <w:r w:rsidR="00604A0B" w:rsidRPr="00C952B9">
        <w:t>decision</w:t>
      </w:r>
      <w:r w:rsidR="00C952B9">
        <w:t>-making</w:t>
      </w:r>
      <w:r w:rsidR="00604A0B" w:rsidRPr="00C952B9">
        <w:t xml:space="preserve"> regarding </w:t>
      </w:r>
      <w:r w:rsidR="004521C3" w:rsidRPr="00C952B9">
        <w:t xml:space="preserve">nuclear </w:t>
      </w:r>
      <w:r w:rsidR="00604A0B" w:rsidRPr="00C952B9">
        <w:t>waste management</w:t>
      </w:r>
      <w:r w:rsidR="00B407A9" w:rsidRPr="00C952B9">
        <w:t xml:space="preserve"> (NWM)</w:t>
      </w:r>
      <w:r w:rsidR="00604A0B" w:rsidRPr="00C952B9">
        <w:t xml:space="preserve">, changes in </w:t>
      </w:r>
      <w:r w:rsidR="00C952B9">
        <w:t xml:space="preserve">the </w:t>
      </w:r>
      <w:r w:rsidR="00604A0B" w:rsidRPr="00C952B9">
        <w:t>decision-making environment and public sensitivity</w:t>
      </w:r>
      <w:r w:rsidR="00C952B9">
        <w:t xml:space="preserve"> required</w:t>
      </w:r>
      <w:r w:rsidR="00604A0B" w:rsidRPr="00C952B9">
        <w:t xml:space="preserve"> </w:t>
      </w:r>
      <w:r w:rsidR="00C952B9">
        <w:t xml:space="preserve">approaches entailing </w:t>
      </w:r>
      <w:r w:rsidR="00604A0B" w:rsidRPr="00C952B9">
        <w:t xml:space="preserve">thorough public examination and stakeholder involvement. </w:t>
      </w:r>
      <w:r w:rsidR="00C952B9">
        <w:t>Moreover</w:t>
      </w:r>
      <w:r w:rsidR="00D17D0D" w:rsidRPr="00C952B9">
        <w:t>,</w:t>
      </w:r>
      <w:r w:rsidR="00604A0B" w:rsidRPr="00C952B9">
        <w:t xml:space="preserve"> practitioners </w:t>
      </w:r>
      <w:r w:rsidR="00D17D0D" w:rsidRPr="00C952B9">
        <w:t xml:space="preserve">clearly </w:t>
      </w:r>
      <w:r w:rsidR="00604A0B" w:rsidRPr="00C952B9">
        <w:t xml:space="preserve">acknowledged </w:t>
      </w:r>
      <w:r w:rsidR="00C952B9">
        <w:t>that</w:t>
      </w:r>
      <w:r w:rsidR="00604A0B" w:rsidRPr="00C952B9">
        <w:t xml:space="preserve"> problem definition</w:t>
      </w:r>
      <w:r w:rsidR="00C952B9">
        <w:t>s and their own role in the process</w:t>
      </w:r>
      <w:r w:rsidR="00604A0B" w:rsidRPr="00C952B9">
        <w:t xml:space="preserve"> </w:t>
      </w:r>
      <w:r w:rsidR="00C952B9">
        <w:t>had</w:t>
      </w:r>
      <w:r w:rsidR="00C952B9" w:rsidRPr="00C952B9">
        <w:t xml:space="preserve"> </w:t>
      </w:r>
      <w:r w:rsidR="00604A0B" w:rsidRPr="00C952B9">
        <w:t>evolve</w:t>
      </w:r>
      <w:r w:rsidR="00C952B9">
        <w:t>d</w:t>
      </w:r>
      <w:r w:rsidR="00604A0B" w:rsidRPr="00C952B9">
        <w:t xml:space="preserve">. </w:t>
      </w:r>
      <w:r w:rsidR="004C0DA9" w:rsidRPr="00C952B9">
        <w:t>[</w:t>
      </w:r>
      <w:r w:rsidR="00197616" w:rsidRPr="00C952B9">
        <w:t>2</w:t>
      </w:r>
      <w:r w:rsidR="004C0DA9" w:rsidRPr="00C952B9">
        <w:t>]</w:t>
      </w:r>
      <w:r w:rsidR="00D17D0D" w:rsidRPr="00C952B9">
        <w:t xml:space="preserve"> As </w:t>
      </w:r>
      <w:r w:rsidR="001F4AE2" w:rsidRPr="00C952B9">
        <w:t xml:space="preserve">the technocratic management </w:t>
      </w:r>
      <w:r w:rsidR="0055140E" w:rsidRPr="00C952B9">
        <w:t>was deemed</w:t>
      </w:r>
      <w:r w:rsidR="001F4AE2" w:rsidRPr="00C952B9">
        <w:t xml:space="preserve"> counterproductive</w:t>
      </w:r>
      <w:r w:rsidR="00C952B9">
        <w:t>,</w:t>
      </w:r>
      <w:r w:rsidR="001F4AE2" w:rsidRPr="00C952B9">
        <w:t xml:space="preserve"> it became replaced by more communicative and participative governance</w:t>
      </w:r>
      <w:r w:rsidR="00C952B9">
        <w:t>, as part of the</w:t>
      </w:r>
      <w:r w:rsidR="001F4AE2" w:rsidRPr="00C952B9">
        <w:t xml:space="preserve"> subsequent 'participatory turn'. However, </w:t>
      </w:r>
      <w:r w:rsidR="00AC7F85">
        <w:t>the</w:t>
      </w:r>
      <w:r w:rsidR="00252293" w:rsidRPr="00C952B9">
        <w:t xml:space="preserve"> new approach </w:t>
      </w:r>
      <w:r w:rsidR="00AC7F85">
        <w:t>did not</w:t>
      </w:r>
      <w:r w:rsidR="00AC7F85" w:rsidRPr="00C952B9">
        <w:t xml:space="preserve"> </w:t>
      </w:r>
      <w:r w:rsidR="00252293" w:rsidRPr="00C952B9">
        <w:t xml:space="preserve">simply </w:t>
      </w:r>
      <w:r w:rsidR="00AC7F85">
        <w:t>replace</w:t>
      </w:r>
      <w:r w:rsidR="00AC7F85" w:rsidRPr="00C952B9">
        <w:t xml:space="preserve"> </w:t>
      </w:r>
      <w:r w:rsidR="00252293" w:rsidRPr="00C952B9">
        <w:t xml:space="preserve">the </w:t>
      </w:r>
      <w:r w:rsidR="000D37D3" w:rsidRPr="00C952B9">
        <w:t>old</w:t>
      </w:r>
      <w:r w:rsidR="00252293" w:rsidRPr="00C952B9">
        <w:t xml:space="preserve"> </w:t>
      </w:r>
      <w:r w:rsidR="00AC7F85">
        <w:t>one</w:t>
      </w:r>
      <w:r w:rsidR="00252293" w:rsidRPr="00C952B9">
        <w:t xml:space="preserve">, </w:t>
      </w:r>
      <w:r w:rsidR="00AC7F85">
        <w:t>but instead</w:t>
      </w:r>
      <w:r w:rsidR="00DD436B" w:rsidRPr="00C952B9">
        <w:t xml:space="preserve"> resulted in</w:t>
      </w:r>
      <w:r w:rsidR="00252293" w:rsidRPr="00C952B9">
        <w:t xml:space="preserve"> </w:t>
      </w:r>
      <w:r w:rsidR="00AC7F85">
        <w:t xml:space="preserve">the creation of </w:t>
      </w:r>
      <w:r w:rsidR="00252293" w:rsidRPr="00C952B9">
        <w:t>hybrid systems, re</w:t>
      </w:r>
      <w:r w:rsidR="00D12576">
        <w:t>shaped</w:t>
      </w:r>
      <w:r w:rsidR="00252293" w:rsidRPr="00C952B9">
        <w:t xml:space="preserve"> </w:t>
      </w:r>
      <w:r w:rsidR="00D12576">
        <w:t xml:space="preserve">actor </w:t>
      </w:r>
      <w:r w:rsidR="00252293" w:rsidRPr="00C952B9">
        <w:t xml:space="preserve">relationships and </w:t>
      </w:r>
      <w:r w:rsidR="00D12576">
        <w:t>modified</w:t>
      </w:r>
      <w:r w:rsidR="00D12576" w:rsidRPr="00C952B9">
        <w:t xml:space="preserve"> </w:t>
      </w:r>
      <w:r w:rsidR="00A274CE">
        <w:t>the boundaries</w:t>
      </w:r>
      <w:r w:rsidR="00A274CE" w:rsidRPr="00C952B9">
        <w:t xml:space="preserve"> </w:t>
      </w:r>
      <w:r w:rsidR="00252293" w:rsidRPr="00C952B9">
        <w:t xml:space="preserve">and levels of participation. </w:t>
      </w:r>
      <w:r w:rsidR="004C0DA9" w:rsidRPr="00C952B9">
        <w:t>[</w:t>
      </w:r>
      <w:r w:rsidR="00197616" w:rsidRPr="00C952B9">
        <w:t>3</w:t>
      </w:r>
      <w:r w:rsidR="004C0DA9" w:rsidRPr="00C952B9">
        <w:t>]</w:t>
      </w:r>
    </w:p>
    <w:p w14:paraId="65D4D8C4" w14:textId="1D76BFC7" w:rsidR="00B05271" w:rsidRPr="00351BEF" w:rsidRDefault="00252293" w:rsidP="00B05271">
      <w:pPr>
        <w:pStyle w:val="BodyText"/>
      </w:pPr>
      <w:r w:rsidRPr="00B27D53">
        <w:t xml:space="preserve">NEA </w:t>
      </w:r>
      <w:r w:rsidR="0039407A" w:rsidRPr="00B27D53">
        <w:t>[</w:t>
      </w:r>
      <w:r w:rsidR="00197616" w:rsidRPr="00B27D53">
        <w:t>4</w:t>
      </w:r>
      <w:r w:rsidR="0039407A" w:rsidRPr="00B27D53">
        <w:t>]</w:t>
      </w:r>
      <w:r w:rsidR="00442650" w:rsidRPr="00B27D53">
        <w:t xml:space="preserve"> has </w:t>
      </w:r>
      <w:r w:rsidR="00B27D53">
        <w:t>advocated</w:t>
      </w:r>
      <w:r w:rsidR="00B27D53" w:rsidRPr="00B27D53">
        <w:t xml:space="preserve"> </w:t>
      </w:r>
      <w:r w:rsidRPr="00B27D53">
        <w:t>the partnership approach as an effective way of achieving a fair representation, competent participation, and community support to ensure a licensable site</w:t>
      </w:r>
      <w:r w:rsidR="00B27D53">
        <w:t>.</w:t>
      </w:r>
      <w:r w:rsidRPr="00B27D53">
        <w:t xml:space="preserve"> </w:t>
      </w:r>
      <w:r w:rsidR="00B27D53">
        <w:t xml:space="preserve">It </w:t>
      </w:r>
      <w:r w:rsidRPr="00B27D53">
        <w:t xml:space="preserve">has </w:t>
      </w:r>
      <w:r w:rsidR="00C50074" w:rsidRPr="00B27D53">
        <w:t>argued</w:t>
      </w:r>
      <w:r w:rsidR="005A3A07" w:rsidRPr="00B27D53">
        <w:t xml:space="preserve"> </w:t>
      </w:r>
      <w:r w:rsidRPr="00B27D53">
        <w:t xml:space="preserve">that key elements of the partnership approach have been incorporated by most of </w:t>
      </w:r>
      <w:r w:rsidR="00B407A9" w:rsidRPr="00B27D53">
        <w:t xml:space="preserve">the </w:t>
      </w:r>
      <w:r w:rsidRPr="00B27D53">
        <w:t xml:space="preserve">OECD countries and increasingly worldwide. </w:t>
      </w:r>
      <w:r w:rsidR="00442650" w:rsidRPr="00B27D53">
        <w:t>T</w:t>
      </w:r>
      <w:r w:rsidR="00B05271" w:rsidRPr="00B27D53">
        <w:t xml:space="preserve">he key components of </w:t>
      </w:r>
      <w:r w:rsidR="00B27D53">
        <w:t xml:space="preserve">a </w:t>
      </w:r>
      <w:r w:rsidR="00B05271" w:rsidRPr="00B27D53">
        <w:t>partnership approach</w:t>
      </w:r>
      <w:r w:rsidR="00442650" w:rsidRPr="00B27D53">
        <w:t xml:space="preserve"> </w:t>
      </w:r>
      <w:r w:rsidR="003F37BF" w:rsidRPr="00B27D53">
        <w:t>are</w:t>
      </w:r>
      <w:r w:rsidR="00B05271" w:rsidRPr="00B27D53">
        <w:t>: voluntarism, formal or informal right of veto by the affected community, collaboration with loca</w:t>
      </w:r>
      <w:r w:rsidR="00B05271" w:rsidRPr="00C952B9">
        <w:t xml:space="preserve">l stakeholders, and the provision of community benefits packages, </w:t>
      </w:r>
      <w:r w:rsidR="00442650" w:rsidRPr="00C952B9">
        <w:t>thus placing</w:t>
      </w:r>
      <w:r w:rsidR="00B05271" w:rsidRPr="00C952B9">
        <w:t xml:space="preserve"> local community firmly in centr</w:t>
      </w:r>
      <w:r w:rsidR="00B27D53">
        <w:t>e</w:t>
      </w:r>
      <w:r w:rsidR="00B05271" w:rsidRPr="00B27D53">
        <w:t xml:space="preserve"> of </w:t>
      </w:r>
      <w:r w:rsidR="00B27D53">
        <w:t xml:space="preserve">the </w:t>
      </w:r>
      <w:r w:rsidR="00B05271" w:rsidRPr="00B27D53">
        <w:t>siting process</w:t>
      </w:r>
      <w:r w:rsidR="00442650" w:rsidRPr="00B27D53">
        <w:t xml:space="preserve"> </w:t>
      </w:r>
      <w:r w:rsidR="0039407A" w:rsidRPr="00B27D53">
        <w:t>[</w:t>
      </w:r>
      <w:r w:rsidR="00197616" w:rsidRPr="00B27D53">
        <w:t>4</w:t>
      </w:r>
      <w:r w:rsidR="0039407A" w:rsidRPr="00B27D53">
        <w:t>]</w:t>
      </w:r>
      <w:r w:rsidR="00B05271" w:rsidRPr="00B27D53">
        <w:t xml:space="preserve">. Both Finland </w:t>
      </w:r>
      <w:r w:rsidR="0039407A" w:rsidRPr="00B27D53">
        <w:t>[</w:t>
      </w:r>
      <w:r w:rsidR="00197616" w:rsidRPr="00B27D53">
        <w:t>2,4</w:t>
      </w:r>
      <w:r w:rsidR="0039407A" w:rsidRPr="00B27D53">
        <w:t>]</w:t>
      </w:r>
      <w:r w:rsidR="00B05271" w:rsidRPr="00B27D53">
        <w:t xml:space="preserve"> and Sweden </w:t>
      </w:r>
      <w:r w:rsidR="0039407A" w:rsidRPr="00B27D53">
        <w:t>[</w:t>
      </w:r>
      <w:r w:rsidR="00197616" w:rsidRPr="00B27D53">
        <w:t>4</w:t>
      </w:r>
      <w:r w:rsidR="0039407A" w:rsidRPr="00B27D53">
        <w:t>]</w:t>
      </w:r>
      <w:r w:rsidR="00B05271" w:rsidRPr="00B27D53">
        <w:t xml:space="preserve"> have </w:t>
      </w:r>
      <w:r w:rsidR="007E646A">
        <w:t>been considered</w:t>
      </w:r>
      <w:r w:rsidR="007E646A" w:rsidRPr="007E646A">
        <w:t xml:space="preserve"> as examples of countries where partnering has been </w:t>
      </w:r>
      <w:r w:rsidR="00B27D53">
        <w:t>implemented</w:t>
      </w:r>
      <w:r w:rsidR="00B05271" w:rsidRPr="00B27D53">
        <w:t xml:space="preserve">. </w:t>
      </w:r>
      <w:r w:rsidR="002E3ADA">
        <w:t xml:space="preserve">In view of the experience </w:t>
      </w:r>
      <w:r w:rsidR="005654F5" w:rsidRPr="00B27D53">
        <w:t>in these Nordic forerunner countries</w:t>
      </w:r>
      <w:r w:rsidR="002E3ADA">
        <w:t>, partnership</w:t>
      </w:r>
      <w:r w:rsidR="00B05271" w:rsidRPr="00B27D53">
        <w:t xml:space="preserve"> </w:t>
      </w:r>
      <w:r w:rsidR="00B908D4" w:rsidRPr="002E3ADA">
        <w:t>arguably</w:t>
      </w:r>
      <w:r w:rsidR="00A43BDB" w:rsidRPr="002E3ADA">
        <w:t xml:space="preserve"> </w:t>
      </w:r>
      <w:r w:rsidR="002E3ADA">
        <w:t xml:space="preserve">appears as rather </w:t>
      </w:r>
      <w:r w:rsidR="00B05271" w:rsidRPr="002E3ADA">
        <w:t xml:space="preserve">successful. The Swedish National Council for Nuclear Waste </w:t>
      </w:r>
      <w:r w:rsidR="0039407A" w:rsidRPr="002E3ADA">
        <w:t>[</w:t>
      </w:r>
      <w:r w:rsidR="00F41425" w:rsidRPr="002E3ADA">
        <w:t>5</w:t>
      </w:r>
      <w:r w:rsidR="0039407A" w:rsidRPr="002E3ADA">
        <w:t>]</w:t>
      </w:r>
      <w:r w:rsidR="00B05271" w:rsidRPr="002E3ADA">
        <w:t xml:space="preserve"> has also stressed </w:t>
      </w:r>
      <w:r w:rsidR="002E3ADA">
        <w:t xml:space="preserve">the </w:t>
      </w:r>
      <w:r w:rsidR="00B05271" w:rsidRPr="002E3ADA">
        <w:t xml:space="preserve">role of the municipalities as one of the three main actors </w:t>
      </w:r>
      <w:r w:rsidR="00B127F1">
        <w:t>in</w:t>
      </w:r>
      <w:r w:rsidR="00B127F1" w:rsidRPr="002E3ADA">
        <w:t xml:space="preserve"> </w:t>
      </w:r>
      <w:r w:rsidR="00B05271" w:rsidRPr="002E3ADA">
        <w:t>final disposal, along with the industry and the state</w:t>
      </w:r>
      <w:r w:rsidR="00B127F1">
        <w:t>.</w:t>
      </w:r>
      <w:r w:rsidR="00B05271" w:rsidRPr="002E3ADA">
        <w:t xml:space="preserve"> </w:t>
      </w:r>
      <w:r w:rsidR="00B127F1">
        <w:t>T</w:t>
      </w:r>
      <w:r w:rsidR="00B05271" w:rsidRPr="002E3ADA">
        <w:t xml:space="preserve">he municipal right of self-determination concerning the siting of industries and </w:t>
      </w:r>
      <w:r w:rsidR="00B05271" w:rsidRPr="002E3ADA">
        <w:lastRenderedPageBreak/>
        <w:t>land use</w:t>
      </w:r>
      <w:r w:rsidR="00B127F1">
        <w:t xml:space="preserve"> in these countries</w:t>
      </w:r>
      <w:r w:rsidR="00B05271" w:rsidRPr="002E3ADA">
        <w:t xml:space="preserve"> means that the opinion of the municipalities is decisive </w:t>
      </w:r>
      <w:r w:rsidR="00B127F1">
        <w:t>in</w:t>
      </w:r>
      <w:r w:rsidR="00B05271" w:rsidRPr="002E3ADA">
        <w:t xml:space="preserve"> siting</w:t>
      </w:r>
      <w:r w:rsidR="00B127F1">
        <w:t xml:space="preserve"> decisions</w:t>
      </w:r>
      <w:r w:rsidR="00B05271" w:rsidRPr="002E3ADA">
        <w:t xml:space="preserve">. </w:t>
      </w:r>
      <w:r w:rsidR="00351BEF">
        <w:t>Furthermore</w:t>
      </w:r>
      <w:r w:rsidR="00A50CDE" w:rsidRPr="002E3ADA">
        <w:t xml:space="preserve">, </w:t>
      </w:r>
      <w:r w:rsidR="00442650" w:rsidRPr="002E3ADA">
        <w:t>already in 1994</w:t>
      </w:r>
      <w:r w:rsidR="00A50CDE" w:rsidRPr="002E3ADA">
        <w:t>,</w:t>
      </w:r>
      <w:r w:rsidR="00442650" w:rsidRPr="002E3ADA">
        <w:t xml:space="preserve"> </w:t>
      </w:r>
      <w:r w:rsidR="00A50CDE" w:rsidRPr="002E3ADA">
        <w:t xml:space="preserve">Lidskog suggested </w:t>
      </w:r>
      <w:r w:rsidR="00442650" w:rsidRPr="002E3ADA">
        <w:t xml:space="preserve">that </w:t>
      </w:r>
      <w:r w:rsidR="00351BEF">
        <w:t xml:space="preserve">the </w:t>
      </w:r>
      <w:r w:rsidR="00442650" w:rsidRPr="002E3ADA">
        <w:t>municipality</w:t>
      </w:r>
      <w:r w:rsidR="00351BEF">
        <w:t xml:space="preserve"> –</w:t>
      </w:r>
      <w:r w:rsidR="00442650" w:rsidRPr="002E3ADA">
        <w:t xml:space="preserve"> interconnecting </w:t>
      </w:r>
      <w:r w:rsidR="00351BEF">
        <w:t xml:space="preserve">the </w:t>
      </w:r>
      <w:r w:rsidR="00442650" w:rsidRPr="002E3ADA">
        <w:t>civil society, the state and the economy</w:t>
      </w:r>
      <w:r w:rsidR="00351BEF">
        <w:t xml:space="preserve"> –</w:t>
      </w:r>
      <w:r w:rsidR="00442650" w:rsidRPr="002E3ADA">
        <w:t xml:space="preserve"> can become central actor in waste management </w:t>
      </w:r>
      <w:r w:rsidR="0039407A" w:rsidRPr="00B127F1">
        <w:t>[</w:t>
      </w:r>
      <w:r w:rsidR="00F41425" w:rsidRPr="00B127F1">
        <w:t>6</w:t>
      </w:r>
      <w:r w:rsidR="0039407A" w:rsidRPr="00B127F1">
        <w:t>]</w:t>
      </w:r>
      <w:r w:rsidR="00442650" w:rsidRPr="00B127F1">
        <w:t>.</w:t>
      </w:r>
      <w:r w:rsidR="00676E3C" w:rsidRPr="00B127F1">
        <w:t xml:space="preserve"> In Finland</w:t>
      </w:r>
      <w:r w:rsidR="00351BEF">
        <w:t>,</w:t>
      </w:r>
      <w:r w:rsidR="00676E3C" w:rsidRPr="00B127F1">
        <w:t xml:space="preserve"> </w:t>
      </w:r>
      <w:r w:rsidR="00351BEF">
        <w:t xml:space="preserve">the </w:t>
      </w:r>
      <w:r w:rsidR="00B407A9" w:rsidRPr="00B127F1">
        <w:t xml:space="preserve">right of </w:t>
      </w:r>
      <w:r w:rsidR="00676E3C" w:rsidRPr="00B127F1">
        <w:t xml:space="preserve">veto </w:t>
      </w:r>
      <w:r w:rsidR="00351BEF">
        <w:t>held by the host</w:t>
      </w:r>
      <w:r w:rsidR="00351BEF" w:rsidRPr="00B127F1">
        <w:t xml:space="preserve"> </w:t>
      </w:r>
      <w:r w:rsidR="00676E3C" w:rsidRPr="00B127F1">
        <w:t xml:space="preserve">community has been seen as a success factor, but </w:t>
      </w:r>
      <w:r w:rsidR="00351BEF">
        <w:t xml:space="preserve">municipalities are not seen – neither in discourse nor in policy practice – as </w:t>
      </w:r>
      <w:r w:rsidR="00676E3C" w:rsidRPr="00B127F1">
        <w:t xml:space="preserve">active </w:t>
      </w:r>
      <w:r w:rsidR="00351BEF">
        <w:t>players</w:t>
      </w:r>
      <w:r w:rsidR="00351BEF" w:rsidRPr="00B127F1">
        <w:t xml:space="preserve"> </w:t>
      </w:r>
      <w:r w:rsidR="00574053" w:rsidRPr="00351BEF">
        <w:t xml:space="preserve">in NWM </w:t>
      </w:r>
      <w:r w:rsidR="00676E3C" w:rsidRPr="00351BEF">
        <w:t>[</w:t>
      </w:r>
      <w:r w:rsidR="00F41425" w:rsidRPr="00351BEF">
        <w:t>7</w:t>
      </w:r>
      <w:r w:rsidR="00676E3C" w:rsidRPr="00351BEF">
        <w:t>]</w:t>
      </w:r>
      <w:r w:rsidR="0042180D" w:rsidRPr="00351BEF">
        <w:t>.</w:t>
      </w:r>
    </w:p>
    <w:p w14:paraId="318CBD08" w14:textId="028E6716" w:rsidR="00B05271" w:rsidRPr="00FF4CD5" w:rsidRDefault="00B05271" w:rsidP="00B05271">
      <w:pPr>
        <w:pStyle w:val="BodyText"/>
      </w:pPr>
      <w:r w:rsidRPr="00FF4CD5">
        <w:t>The purpose of th</w:t>
      </w:r>
      <w:r w:rsidR="00800674">
        <w:t>is</w:t>
      </w:r>
      <w:r w:rsidRPr="00FF4CD5">
        <w:t xml:space="preserve"> paper is to </w:t>
      </w:r>
      <w:r w:rsidR="009A6752">
        <w:t>explore</w:t>
      </w:r>
      <w:r w:rsidR="00FF4CD5" w:rsidRPr="00FF4CD5">
        <w:t xml:space="preserve"> </w:t>
      </w:r>
      <w:r w:rsidRPr="00FF4CD5">
        <w:t>the role of</w:t>
      </w:r>
      <w:r w:rsidR="00322ABD" w:rsidRPr="00FF4CD5">
        <w:t xml:space="preserve"> </w:t>
      </w:r>
      <w:r w:rsidR="00FF4CD5">
        <w:t xml:space="preserve">the local </w:t>
      </w:r>
      <w:r w:rsidRPr="00FF4CD5">
        <w:t>communities as actors in SNF management</w:t>
      </w:r>
      <w:r w:rsidR="009A6752">
        <w:t xml:space="preserve"> via an examination of</w:t>
      </w:r>
      <w:r w:rsidR="00322ABD" w:rsidRPr="00FF4CD5">
        <w:t xml:space="preserve"> the </w:t>
      </w:r>
      <w:r w:rsidR="009A6752">
        <w:t>repository projects in</w:t>
      </w:r>
      <w:r w:rsidR="009A6752" w:rsidRPr="00FF4CD5">
        <w:t xml:space="preserve"> </w:t>
      </w:r>
      <w:r w:rsidRPr="00FF4CD5">
        <w:t xml:space="preserve">Eurajoki and Östhammar, the hosts for the final disposal </w:t>
      </w:r>
      <w:r w:rsidR="009A6752">
        <w:t>of SNF</w:t>
      </w:r>
      <w:r w:rsidR="009A6752" w:rsidRPr="00FF4CD5">
        <w:t xml:space="preserve"> </w:t>
      </w:r>
      <w:r w:rsidRPr="00FF4CD5">
        <w:t>in Finland and Sweden.</w:t>
      </w:r>
    </w:p>
    <w:p w14:paraId="7F3CAFF9" w14:textId="3593D882" w:rsidR="00C84C18" w:rsidRPr="009A6752" w:rsidRDefault="00FE3FE0" w:rsidP="00B05271">
      <w:pPr>
        <w:pStyle w:val="BodyText"/>
      </w:pPr>
      <w:r w:rsidRPr="009A6752">
        <w:t>The structure of the</w:t>
      </w:r>
      <w:r w:rsidR="00B05271" w:rsidRPr="009A6752">
        <w:t xml:space="preserve"> paper</w:t>
      </w:r>
      <w:r w:rsidR="005C7DBA" w:rsidRPr="009A6752">
        <w:t xml:space="preserve"> is as follows:</w:t>
      </w:r>
      <w:r w:rsidR="00574053" w:rsidRPr="009A6752">
        <w:t xml:space="preserve"> Section 2 focus</w:t>
      </w:r>
      <w:r w:rsidR="009A6752">
        <w:t>es</w:t>
      </w:r>
      <w:r w:rsidR="00574053" w:rsidRPr="009A6752">
        <w:t xml:space="preserve"> on </w:t>
      </w:r>
      <w:r w:rsidR="009A6752">
        <w:t xml:space="preserve">the </w:t>
      </w:r>
      <w:r w:rsidR="00574053" w:rsidRPr="009A6752">
        <w:t xml:space="preserve">development of </w:t>
      </w:r>
      <w:r w:rsidR="009A6752">
        <w:t xml:space="preserve">the </w:t>
      </w:r>
      <w:r w:rsidR="00574053" w:rsidRPr="009A6752">
        <w:t>partnership approach</w:t>
      </w:r>
      <w:r w:rsidR="00A12ABB" w:rsidRPr="009A6752">
        <w:t xml:space="preserve"> internationally</w:t>
      </w:r>
      <w:r w:rsidR="00574053" w:rsidRPr="009A6752">
        <w:t>. Section 3</w:t>
      </w:r>
      <w:r w:rsidR="009A6752">
        <w:t xml:space="preserve"> describes data and research</w:t>
      </w:r>
      <w:r w:rsidR="00574053" w:rsidRPr="009A6752">
        <w:t xml:space="preserve"> methods.</w:t>
      </w:r>
      <w:r w:rsidR="00A12ABB" w:rsidRPr="009A6752">
        <w:t xml:space="preserve"> S</w:t>
      </w:r>
      <w:r w:rsidR="005C48CE" w:rsidRPr="009A6752">
        <w:t xml:space="preserve">ection 4 </w:t>
      </w:r>
      <w:r w:rsidR="009A6752">
        <w:t xml:space="preserve">describes </w:t>
      </w:r>
      <w:r w:rsidR="005C48CE" w:rsidRPr="009A6752">
        <w:t>the</w:t>
      </w:r>
      <w:r w:rsidR="00A12ABB" w:rsidRPr="009A6752">
        <w:t xml:space="preserve"> siting strategies </w:t>
      </w:r>
      <w:r w:rsidR="005C48CE" w:rsidRPr="009A6752">
        <w:t xml:space="preserve">and Section 5 the </w:t>
      </w:r>
      <w:r w:rsidR="009560BE" w:rsidRPr="009A6752">
        <w:t xml:space="preserve">institutional arrangements of </w:t>
      </w:r>
      <w:r w:rsidR="005C48CE" w:rsidRPr="009A6752">
        <w:t>partnership in Finland and Sweden</w:t>
      </w:r>
      <w:r w:rsidR="009A6752">
        <w:t>, so as to provide</w:t>
      </w:r>
      <w:r w:rsidR="005C48CE" w:rsidRPr="009A6752">
        <w:t xml:space="preserve"> </w:t>
      </w:r>
      <w:r w:rsidR="009A6752">
        <w:t xml:space="preserve">a </w:t>
      </w:r>
      <w:r w:rsidR="00A12ABB" w:rsidRPr="009A6752">
        <w:t xml:space="preserve">background for </w:t>
      </w:r>
      <w:r w:rsidR="009A6752">
        <w:t xml:space="preserve">the </w:t>
      </w:r>
      <w:r w:rsidR="00A12ABB" w:rsidRPr="009A6752">
        <w:t>two case studies analysed in</w:t>
      </w:r>
      <w:r w:rsidR="00574053" w:rsidRPr="009A6752">
        <w:t xml:space="preserve"> </w:t>
      </w:r>
      <w:r w:rsidR="00A12ABB" w:rsidRPr="009A6752">
        <w:t xml:space="preserve">Section </w:t>
      </w:r>
      <w:r w:rsidR="00574053" w:rsidRPr="009A6752">
        <w:t>6</w:t>
      </w:r>
      <w:r w:rsidR="00A12ABB" w:rsidRPr="009A6752">
        <w:t xml:space="preserve">. </w:t>
      </w:r>
      <w:r w:rsidR="009A6752">
        <w:t>Section 7 c</w:t>
      </w:r>
      <w:r w:rsidR="00A12ABB" w:rsidRPr="009A6752">
        <w:t>onclu</w:t>
      </w:r>
      <w:r w:rsidR="009A6752">
        <w:t>des</w:t>
      </w:r>
      <w:r w:rsidR="00B00755">
        <w:t xml:space="preserve"> </w:t>
      </w:r>
      <w:r w:rsidR="00B00755">
        <w:rPr>
          <w:color w:val="000000"/>
        </w:rPr>
        <w:t>that</w:t>
      </w:r>
      <w:r w:rsidR="00B00755" w:rsidRPr="00C952B9">
        <w:rPr>
          <w:color w:val="000000"/>
        </w:rPr>
        <w:t xml:space="preserve"> </w:t>
      </w:r>
      <w:r w:rsidR="00B00755">
        <w:rPr>
          <w:color w:val="000000"/>
        </w:rPr>
        <w:t xml:space="preserve">the Swedish </w:t>
      </w:r>
      <w:r w:rsidR="004A5E2A">
        <w:rPr>
          <w:color w:val="000000"/>
        </w:rPr>
        <w:t xml:space="preserve">case </w:t>
      </w:r>
      <w:r w:rsidR="00B00755">
        <w:rPr>
          <w:color w:val="000000"/>
        </w:rPr>
        <w:t xml:space="preserve">is characterised </w:t>
      </w:r>
      <w:r w:rsidR="004A5E2A">
        <w:rPr>
          <w:color w:val="000000"/>
        </w:rPr>
        <w:t>as an</w:t>
      </w:r>
      <w:r w:rsidR="00B00755">
        <w:rPr>
          <w:color w:val="000000"/>
        </w:rPr>
        <w:t xml:space="preserve"> </w:t>
      </w:r>
      <w:r w:rsidR="004A5E2A" w:rsidRPr="003D0149">
        <w:t>'</w:t>
      </w:r>
      <w:r w:rsidR="00B00755">
        <w:rPr>
          <w:color w:val="000000"/>
        </w:rPr>
        <w:t>involved partnership</w:t>
      </w:r>
      <w:r w:rsidR="004A5E2A" w:rsidRPr="003D0149">
        <w:t>'</w:t>
      </w:r>
      <w:r w:rsidR="004A5E2A">
        <w:rPr>
          <w:color w:val="000000"/>
        </w:rPr>
        <w:t xml:space="preserve"> where</w:t>
      </w:r>
      <w:r w:rsidR="00B00755">
        <w:rPr>
          <w:color w:val="000000"/>
        </w:rPr>
        <w:t xml:space="preserve">as the Finnish case </w:t>
      </w:r>
      <w:r w:rsidR="004A5E2A">
        <w:rPr>
          <w:color w:val="000000"/>
        </w:rPr>
        <w:t xml:space="preserve">is described </w:t>
      </w:r>
      <w:r w:rsidR="004A5E2A">
        <w:t xml:space="preserve">more </w:t>
      </w:r>
      <w:r w:rsidR="004A5E2A" w:rsidRPr="003D0149">
        <w:t>as a 'bystander partnership'</w:t>
      </w:r>
      <w:r w:rsidR="009560BE" w:rsidRPr="009A6752">
        <w:t>.</w:t>
      </w:r>
      <w:r w:rsidR="009560BE" w:rsidRPr="009A6752" w:rsidDel="009560BE">
        <w:t xml:space="preserve"> </w:t>
      </w:r>
    </w:p>
    <w:p w14:paraId="5637DC04" w14:textId="02EB9715" w:rsidR="00C84C18" w:rsidRPr="00EE6ED8" w:rsidRDefault="005B28A9" w:rsidP="00C84C18">
      <w:pPr>
        <w:pStyle w:val="Heading2"/>
      </w:pPr>
      <w:r w:rsidRPr="00EE6ED8">
        <w:rPr>
          <w:caps w:val="0"/>
        </w:rPr>
        <w:t>PRACTICES OF</w:t>
      </w:r>
      <w:r w:rsidR="00902F15" w:rsidRPr="00EE6ED8">
        <w:rPr>
          <w:caps w:val="0"/>
        </w:rPr>
        <w:t xml:space="preserve"> </w:t>
      </w:r>
      <w:r w:rsidR="00BA0446" w:rsidRPr="00EE6ED8">
        <w:rPr>
          <w:caps w:val="0"/>
        </w:rPr>
        <w:t>PARTNERSHIP</w:t>
      </w:r>
      <w:r w:rsidR="00194ADB" w:rsidRPr="00EE6ED8">
        <w:rPr>
          <w:caps w:val="0"/>
        </w:rPr>
        <w:t xml:space="preserve"> </w:t>
      </w:r>
    </w:p>
    <w:p w14:paraId="38006955" w14:textId="50D04C9E" w:rsidR="00AA18B4" w:rsidRPr="00825E3E" w:rsidRDefault="00AA18B4" w:rsidP="00AA18B4">
      <w:pPr>
        <w:pStyle w:val="BodyText"/>
      </w:pPr>
      <w:r w:rsidRPr="00EE6ED8">
        <w:t xml:space="preserve">In </w:t>
      </w:r>
      <w:r w:rsidR="00EE6ED8">
        <w:t xml:space="preserve">the </w:t>
      </w:r>
      <w:r w:rsidRPr="00EE6ED8">
        <w:t xml:space="preserve">late 1990s it was becoming clear to the </w:t>
      </w:r>
      <w:r w:rsidR="001B7407" w:rsidRPr="00EE6ED8">
        <w:t>NWM</w:t>
      </w:r>
      <w:r w:rsidRPr="00EE6ED8">
        <w:t xml:space="preserve"> community that </w:t>
      </w:r>
      <w:r w:rsidR="00EE6ED8">
        <w:t xml:space="preserve">the </w:t>
      </w:r>
      <w:r w:rsidRPr="00EE6ED8">
        <w:t xml:space="preserve">societal dimension related to waste management warranted increasing attention due to difficulties encountered, even though </w:t>
      </w:r>
      <w:r w:rsidR="00FA3F0F">
        <w:t>this dimension had until then</w:t>
      </w:r>
      <w:r w:rsidR="00FA3F0F" w:rsidRPr="00EE6ED8">
        <w:t xml:space="preserve"> </w:t>
      </w:r>
      <w:r w:rsidRPr="00EE6ED8">
        <w:t xml:space="preserve">not </w:t>
      </w:r>
      <w:r w:rsidR="00FA3F0F">
        <w:t>been seen as</w:t>
      </w:r>
      <w:r w:rsidRPr="00EE6ED8">
        <w:t xml:space="preserve"> </w:t>
      </w:r>
      <w:r w:rsidR="002C2D3D">
        <w:t xml:space="preserve">truly an element </w:t>
      </w:r>
      <w:r w:rsidRPr="00EE6ED8">
        <w:t>of radioactive waste management. N</w:t>
      </w:r>
      <w:r w:rsidR="006F68E7" w:rsidRPr="00EE6ED8">
        <w:t>EA</w:t>
      </w:r>
      <w:r w:rsidRPr="00EE6ED8">
        <w:t xml:space="preserve"> created </w:t>
      </w:r>
      <w:r w:rsidR="006F68E7" w:rsidRPr="00FA3F0F">
        <w:t xml:space="preserve">the </w:t>
      </w:r>
      <w:r w:rsidRPr="00FA3F0F">
        <w:t>Forum on Stakeholder Confidence (FSC) in 2000 to address the issues in the area of public perception and stakeholder confidence. Recounting its key findings in 2004, FSC reported that stakeholder involvement had become central and that the</w:t>
      </w:r>
      <w:r w:rsidR="00825E3E">
        <w:t xml:space="preserve"> general</w:t>
      </w:r>
      <w:r w:rsidRPr="00FA3F0F">
        <w:t xml:space="preserve"> trend towards </w:t>
      </w:r>
      <w:r w:rsidR="00825E3E">
        <w:t xml:space="preserve">a </w:t>
      </w:r>
      <w:r w:rsidRPr="00FA3F0F">
        <w:t>more participatory democracy requir</w:t>
      </w:r>
      <w:r w:rsidR="00825E3E">
        <w:t>ed</w:t>
      </w:r>
      <w:r w:rsidRPr="00FA3F0F">
        <w:t xml:space="preserve"> more dialogue</w:t>
      </w:r>
      <w:r w:rsidR="00825E3E">
        <w:t xml:space="preserve"> also in NWM</w:t>
      </w:r>
      <w:r w:rsidRPr="00FA3F0F">
        <w:t xml:space="preserve">. Local development and the needs and views of the affected communities should be taken into account to achieve </w:t>
      </w:r>
      <w:r w:rsidR="00825E3E">
        <w:t xml:space="preserve">a </w:t>
      </w:r>
      <w:r w:rsidRPr="00FA3F0F">
        <w:t xml:space="preserve">licensable site with community support. </w:t>
      </w:r>
      <w:r w:rsidR="0039407A" w:rsidRPr="00FA3F0F">
        <w:t>[3]</w:t>
      </w:r>
      <w:r w:rsidRPr="00FA3F0F">
        <w:t xml:space="preserve"> </w:t>
      </w:r>
      <w:r w:rsidR="001B7407" w:rsidRPr="00FA3F0F">
        <w:t>P</w:t>
      </w:r>
      <w:r w:rsidRPr="00FA3F0F">
        <w:t>artnership approaches</w:t>
      </w:r>
      <w:r w:rsidR="00C44243">
        <w:t>,</w:t>
      </w:r>
      <w:r w:rsidRPr="00FA3F0F">
        <w:t xml:space="preserve"> especially in Belgium but also in Finland and Canada, were highlighted </w:t>
      </w:r>
      <w:r w:rsidR="00C44243">
        <w:t xml:space="preserve">as good examples </w:t>
      </w:r>
      <w:r w:rsidRPr="00FA3F0F">
        <w:t xml:space="preserve">and partnership was </w:t>
      </w:r>
      <w:r w:rsidR="00C44243">
        <w:t>evoked</w:t>
      </w:r>
      <w:r w:rsidRPr="00FA3F0F">
        <w:t xml:space="preserve"> as </w:t>
      </w:r>
      <w:r w:rsidR="00C44243">
        <w:t xml:space="preserve">an </w:t>
      </w:r>
      <w:r w:rsidRPr="00FA3F0F">
        <w:t xml:space="preserve">effective means </w:t>
      </w:r>
      <w:r w:rsidR="00C44243">
        <w:t>of</w:t>
      </w:r>
      <w:r w:rsidR="00C44243" w:rsidRPr="00FA3F0F">
        <w:t xml:space="preserve"> </w:t>
      </w:r>
      <w:r w:rsidRPr="00FA3F0F">
        <w:t xml:space="preserve">achieving a balance between fair representation and competent participation </w:t>
      </w:r>
      <w:r w:rsidR="0039407A" w:rsidRPr="002C2D3D">
        <w:t>[3,</w:t>
      </w:r>
      <w:r w:rsidR="004C61B3" w:rsidRPr="002C2D3D">
        <w:t xml:space="preserve"> </w:t>
      </w:r>
      <w:r w:rsidR="00854A14" w:rsidRPr="002C2D3D">
        <w:t>4</w:t>
      </w:r>
      <w:r w:rsidR="0039407A" w:rsidRPr="002C2D3D">
        <w:t>]</w:t>
      </w:r>
      <w:r w:rsidRPr="002C2D3D">
        <w:t xml:space="preserve">. </w:t>
      </w:r>
      <w:r w:rsidR="00C44243">
        <w:t>Also the British Commission on Radioactive Waste Management (CoRWM) and the E</w:t>
      </w:r>
      <w:r w:rsidR="004A5E2A">
        <w:t xml:space="preserve">uropean Commission </w:t>
      </w:r>
      <w:r w:rsidR="00C44243">
        <w:t>funded COWAM</w:t>
      </w:r>
      <w:r w:rsidR="00D85F3E">
        <w:t>2</w:t>
      </w:r>
      <w:r w:rsidR="00C44243">
        <w:t xml:space="preserve"> research </w:t>
      </w:r>
      <w:r w:rsidR="004A5E2A">
        <w:t>project</w:t>
      </w:r>
      <w:r w:rsidR="00C44243">
        <w:t xml:space="preserve"> advocated </w:t>
      </w:r>
      <w:r w:rsidR="00B1640B">
        <w:t xml:space="preserve">in 2006 </w:t>
      </w:r>
      <w:r w:rsidR="00C44243">
        <w:t>l</w:t>
      </w:r>
      <w:r w:rsidRPr="002C2D3D">
        <w:t xml:space="preserve">ocal partnership as </w:t>
      </w:r>
      <w:r w:rsidR="00C44243">
        <w:t>a</w:t>
      </w:r>
      <w:r w:rsidR="00C44243" w:rsidRPr="002C2D3D">
        <w:t xml:space="preserve"> </w:t>
      </w:r>
      <w:r w:rsidRPr="002C2D3D">
        <w:t xml:space="preserve">model </w:t>
      </w:r>
      <w:r w:rsidR="00B1640B">
        <w:t>for NWM</w:t>
      </w:r>
      <w:r w:rsidRPr="002C2D3D">
        <w:t xml:space="preserve"> </w:t>
      </w:r>
      <w:r w:rsidR="0039407A" w:rsidRPr="00825E3E">
        <w:t>[</w:t>
      </w:r>
      <w:r w:rsidR="00854A14" w:rsidRPr="00825E3E">
        <w:t>4</w:t>
      </w:r>
      <w:r w:rsidR="0039407A" w:rsidRPr="00825E3E">
        <w:t>,</w:t>
      </w:r>
      <w:r w:rsidR="00854A14" w:rsidRPr="00825E3E">
        <w:t>8</w:t>
      </w:r>
      <w:r w:rsidR="0039407A" w:rsidRPr="00825E3E">
        <w:t>]</w:t>
      </w:r>
      <w:r w:rsidRPr="00825E3E">
        <w:t>.</w:t>
      </w:r>
      <w:r w:rsidR="00542B10" w:rsidRPr="00825E3E">
        <w:t xml:space="preserve"> </w:t>
      </w:r>
      <w:r w:rsidR="001B7407" w:rsidRPr="00825E3E">
        <w:t>Recently a</w:t>
      </w:r>
      <w:r w:rsidR="00542B10" w:rsidRPr="00825E3E">
        <w:t>lso</w:t>
      </w:r>
      <w:r w:rsidR="006F68E7" w:rsidRPr="00825E3E">
        <w:t xml:space="preserve"> the</w:t>
      </w:r>
      <w:r w:rsidR="00542B10" w:rsidRPr="00825E3E">
        <w:t xml:space="preserve"> </w:t>
      </w:r>
      <w:r w:rsidR="00946C97" w:rsidRPr="00825E3E">
        <w:t>UK Policy Paper</w:t>
      </w:r>
      <w:r w:rsidR="00160AF4" w:rsidRPr="00825E3E">
        <w:t xml:space="preserve"> [</w:t>
      </w:r>
      <w:r w:rsidR="00854A14" w:rsidRPr="00825E3E">
        <w:t>9</w:t>
      </w:r>
      <w:r w:rsidR="00160AF4" w:rsidRPr="00825E3E">
        <w:t>]</w:t>
      </w:r>
      <w:r w:rsidR="00946C97" w:rsidRPr="00825E3E">
        <w:t xml:space="preserve"> and </w:t>
      </w:r>
      <w:r w:rsidR="00542B10" w:rsidRPr="00825E3E">
        <w:t xml:space="preserve">the </w:t>
      </w:r>
      <w:r w:rsidR="006F68E7" w:rsidRPr="00825E3E">
        <w:t xml:space="preserve">Final </w:t>
      </w:r>
      <w:r w:rsidR="00542B10" w:rsidRPr="00825E3E">
        <w:t xml:space="preserve">Report of RESET </w:t>
      </w:r>
      <w:r w:rsidR="00160AF4" w:rsidRPr="00825E3E">
        <w:t>[</w:t>
      </w:r>
      <w:r w:rsidR="00854A14" w:rsidRPr="00825E3E">
        <w:t>10</w:t>
      </w:r>
      <w:r w:rsidR="00160AF4" w:rsidRPr="00825E3E">
        <w:t xml:space="preserve">] </w:t>
      </w:r>
      <w:r w:rsidR="001B7407" w:rsidRPr="00825E3E">
        <w:t xml:space="preserve">have </w:t>
      </w:r>
      <w:r w:rsidR="00946C97" w:rsidRPr="00825E3E">
        <w:t>emphasize</w:t>
      </w:r>
      <w:r w:rsidR="001B7407" w:rsidRPr="00825E3E">
        <w:t>d</w:t>
      </w:r>
      <w:r w:rsidR="00946C97" w:rsidRPr="00825E3E">
        <w:t xml:space="preserve"> the need for</w:t>
      </w:r>
      <w:r w:rsidR="00542B10" w:rsidRPr="00825E3E">
        <w:t xml:space="preserve"> partnership</w:t>
      </w:r>
      <w:r w:rsidR="00DD6208">
        <w:t>s</w:t>
      </w:r>
      <w:r w:rsidR="00946C97" w:rsidRPr="00825E3E">
        <w:t>.</w:t>
      </w:r>
    </w:p>
    <w:p w14:paraId="02D5C098" w14:textId="563C6ED0" w:rsidR="00AA18B4" w:rsidRPr="00130573" w:rsidRDefault="00C90DC7" w:rsidP="00AA18B4">
      <w:pPr>
        <w:pStyle w:val="BodyText"/>
      </w:pPr>
      <w:r w:rsidRPr="00DD6208">
        <w:t>Originally,</w:t>
      </w:r>
      <w:r w:rsidR="00AA18B4" w:rsidRPr="00DD6208">
        <w:t xml:space="preserve"> </w:t>
      </w:r>
      <w:r w:rsidR="00DD6208">
        <w:t xml:space="preserve">the </w:t>
      </w:r>
      <w:r w:rsidR="005B28A9" w:rsidRPr="00DD6208">
        <w:t>‘</w:t>
      </w:r>
      <w:r w:rsidR="00AA18B4" w:rsidRPr="00DD6208">
        <w:t>partnership approach</w:t>
      </w:r>
      <w:r w:rsidR="005B28A9" w:rsidRPr="00DD6208">
        <w:t>’</w:t>
      </w:r>
      <w:r w:rsidR="00AA18B4" w:rsidRPr="00DD6208">
        <w:t xml:space="preserve"> for NWM was developed as a methodology that would allow the </w:t>
      </w:r>
      <w:r w:rsidRPr="00C952B9">
        <w:t xml:space="preserve">Belgian </w:t>
      </w:r>
      <w:r w:rsidR="00AA18B4" w:rsidRPr="00C952B9">
        <w:t xml:space="preserve">radioactive waste agency ONDRAF/NIRAS and a potential host community for low-level radioactive waste to engage in negotiations with each other. Social acceptance had become a prerequisite for </w:t>
      </w:r>
      <w:r w:rsidR="00130573">
        <w:t xml:space="preserve">the </w:t>
      </w:r>
      <w:r w:rsidR="00AA18B4" w:rsidRPr="00130573">
        <w:t xml:space="preserve">feasibility of </w:t>
      </w:r>
      <w:r w:rsidR="00130573">
        <w:t xml:space="preserve">a </w:t>
      </w:r>
      <w:r w:rsidR="00AA18B4" w:rsidRPr="00130573">
        <w:t>disposal solution</w:t>
      </w:r>
      <w:r w:rsidR="00130573">
        <w:t>,</w:t>
      </w:r>
      <w:r w:rsidR="00AA18B4" w:rsidRPr="00130573">
        <w:t xml:space="preserve"> as </w:t>
      </w:r>
      <w:r w:rsidR="00130573">
        <w:t>public opposition</w:t>
      </w:r>
      <w:r w:rsidR="00130573" w:rsidRPr="00130573">
        <w:t xml:space="preserve"> and governmental decision</w:t>
      </w:r>
      <w:r w:rsidR="00130573">
        <w:t>s had compelled</w:t>
      </w:r>
      <w:r w:rsidR="00130573" w:rsidRPr="00130573">
        <w:t xml:space="preserve"> </w:t>
      </w:r>
      <w:r w:rsidR="00AA18B4" w:rsidRPr="00130573">
        <w:t xml:space="preserve">ONDRAF/NIRAS to change </w:t>
      </w:r>
      <w:r w:rsidR="00130573">
        <w:t xml:space="preserve">its </w:t>
      </w:r>
      <w:r w:rsidR="00AA18B4" w:rsidRPr="00130573">
        <w:t xml:space="preserve">NWM strategy and </w:t>
      </w:r>
      <w:r w:rsidR="00130573">
        <w:t>adopt</w:t>
      </w:r>
      <w:r w:rsidR="00130573" w:rsidRPr="00130573">
        <w:t xml:space="preserve"> </w:t>
      </w:r>
      <w:r w:rsidR="00130573">
        <w:t>a</w:t>
      </w:r>
      <w:r w:rsidR="00130573" w:rsidRPr="00130573">
        <w:t xml:space="preserve"> </w:t>
      </w:r>
      <w:r w:rsidR="00AA18B4" w:rsidRPr="00130573">
        <w:t>voluntary siting process. Behind the approach was idea of collective decision</w:t>
      </w:r>
      <w:r w:rsidR="00130573">
        <w:t>-</w:t>
      </w:r>
      <w:r w:rsidR="00AA18B4" w:rsidRPr="00130573">
        <w:t xml:space="preserve">making in democracy as negotiation – and that </w:t>
      </w:r>
      <w:r w:rsidR="00130573">
        <w:t xml:space="preserve">stakeholders should have the opportunity define their own </w:t>
      </w:r>
      <w:r w:rsidR="00AA18B4" w:rsidRPr="00130573">
        <w:t>interests</w:t>
      </w:r>
      <w:r w:rsidR="00130573">
        <w:t>, rather than having NWM experts and authorities to define</w:t>
      </w:r>
      <w:r w:rsidR="00AA18B4" w:rsidRPr="00130573">
        <w:t xml:space="preserve"> them. Involving different parties in the decision</w:t>
      </w:r>
      <w:r w:rsidR="00130573">
        <w:t>-</w:t>
      </w:r>
      <w:r w:rsidR="00AA18B4" w:rsidRPr="00130573">
        <w:t xml:space="preserve">making process was considered </w:t>
      </w:r>
      <w:r w:rsidR="00130573">
        <w:t xml:space="preserve">as </w:t>
      </w:r>
      <w:r w:rsidR="00AA18B4" w:rsidRPr="00130573">
        <w:t xml:space="preserve">the best way </w:t>
      </w:r>
      <w:r w:rsidR="00130573">
        <w:t>of</w:t>
      </w:r>
      <w:r w:rsidR="00130573" w:rsidRPr="00130573">
        <w:t xml:space="preserve"> </w:t>
      </w:r>
      <w:r w:rsidR="00AA18B4" w:rsidRPr="00130573">
        <w:t>tak</w:t>
      </w:r>
      <w:r w:rsidR="00130573">
        <w:t>ing</w:t>
      </w:r>
      <w:r w:rsidR="00AA18B4" w:rsidRPr="00130573">
        <w:t xml:space="preserve"> the interests of all parties into account. </w:t>
      </w:r>
      <w:r w:rsidR="0039407A" w:rsidRPr="00130573">
        <w:t>[11]</w:t>
      </w:r>
      <w:r w:rsidR="00AA18B4" w:rsidRPr="00130573">
        <w:t xml:space="preserve"> Bergmans </w:t>
      </w:r>
      <w:r w:rsidR="00797DFD" w:rsidRPr="00130573">
        <w:t>[12]</w:t>
      </w:r>
      <w:r w:rsidR="00AA18B4" w:rsidRPr="00130573">
        <w:t xml:space="preserve"> has defined the </w:t>
      </w:r>
      <w:r w:rsidR="006F68E7" w:rsidRPr="00130573">
        <w:t xml:space="preserve">partnership </w:t>
      </w:r>
      <w:r w:rsidR="00AA18B4" w:rsidRPr="00130573">
        <w:t xml:space="preserve">approach as </w:t>
      </w:r>
      <w:r w:rsidR="00130573">
        <w:t xml:space="preserve">a </w:t>
      </w:r>
      <w:r w:rsidR="005B28A9" w:rsidRPr="00130573">
        <w:t>“</w:t>
      </w:r>
      <w:r w:rsidR="00AA18B4" w:rsidRPr="00130573">
        <w:t>semi-voluntary approach to identify a suitable site, based on site</w:t>
      </w:r>
      <w:r w:rsidR="00130573">
        <w:t>-</w:t>
      </w:r>
      <w:r w:rsidR="00AA18B4" w:rsidRPr="00130573">
        <w:t>specific repository design and local participation in decision-making through the joint development of an integrated repository project</w:t>
      </w:r>
      <w:r w:rsidR="005B28A9" w:rsidRPr="00130573">
        <w:t>”</w:t>
      </w:r>
      <w:r w:rsidR="00AA18B4" w:rsidRPr="00130573">
        <w:t>, and highlig</w:t>
      </w:r>
      <w:r w:rsidR="00BA0446" w:rsidRPr="00130573">
        <w:t>h</w:t>
      </w:r>
      <w:r w:rsidR="00AA18B4" w:rsidRPr="00130573">
        <w:t>ted certain key issues concerning the approach: availability of resources and time, relative independence of a local partnership, co-design and co-ownership, and stepwise decision-making.</w:t>
      </w:r>
    </w:p>
    <w:p w14:paraId="628DE333" w14:textId="77EDB3FA" w:rsidR="00F62567" w:rsidRPr="00995716" w:rsidRDefault="00130573" w:rsidP="00160AF4">
      <w:pPr>
        <w:pStyle w:val="BodyText"/>
      </w:pPr>
      <w:r w:rsidRPr="00F277E1">
        <w:t>However</w:t>
      </w:r>
      <w:r>
        <w:t>,</w:t>
      </w:r>
      <w:r w:rsidRPr="00130573">
        <w:t xml:space="preserve"> </w:t>
      </w:r>
      <w:r w:rsidR="00AA18B4" w:rsidRPr="00130573">
        <w:t xml:space="preserve">FSC raised partnering </w:t>
      </w:r>
      <w:r>
        <w:t xml:space="preserve">to the </w:t>
      </w:r>
      <w:r w:rsidR="00AA18B4" w:rsidRPr="00130573">
        <w:t xml:space="preserve">fore as an umbrella term for certain types of engagement practices. In 2010, </w:t>
      </w:r>
      <w:r>
        <w:t>based on an analysis of</w:t>
      </w:r>
      <w:r w:rsidR="00AA18B4" w:rsidRPr="00130573">
        <w:t xml:space="preserve"> </w:t>
      </w:r>
      <w:r>
        <w:t>the</w:t>
      </w:r>
      <w:r w:rsidR="00AA18B4" w:rsidRPr="00130573">
        <w:t xml:space="preserve"> evolution and practices of partnering in 13 countries, </w:t>
      </w:r>
      <w:r w:rsidRPr="00130573">
        <w:t xml:space="preserve">NEA [4] </w:t>
      </w:r>
      <w:r w:rsidR="00AA18B4" w:rsidRPr="00130573">
        <w:t xml:space="preserve">outlined the partnership approach as a collaborative working relationship between the implementer and the affected communities, while other institutions could also play a role. </w:t>
      </w:r>
      <w:r>
        <w:t>P</w:t>
      </w:r>
      <w:r w:rsidR="00AA18B4" w:rsidRPr="00130573">
        <w:t>artnership was seen to support active involvement and joint problem solving, instead of passive acceptance, and redistribut</w:t>
      </w:r>
      <w:r>
        <w:t>e</w:t>
      </w:r>
      <w:r w:rsidR="00AA18B4" w:rsidRPr="00130573">
        <w:t xml:space="preserve"> power through negotiation, empowering</w:t>
      </w:r>
      <w:r>
        <w:t xml:space="preserve"> the</w:t>
      </w:r>
      <w:r w:rsidR="00AA18B4" w:rsidRPr="00130573">
        <w:t xml:space="preserve"> local community. </w:t>
      </w:r>
      <w:r>
        <w:t>A</w:t>
      </w:r>
      <w:r w:rsidRPr="00130573">
        <w:t xml:space="preserve"> </w:t>
      </w:r>
      <w:r w:rsidR="00AA18B4" w:rsidRPr="00130573">
        <w:t xml:space="preserve">partnership </w:t>
      </w:r>
      <w:r>
        <w:t xml:space="preserve">would </w:t>
      </w:r>
      <w:r w:rsidR="00AA18B4" w:rsidRPr="00130573">
        <w:t xml:space="preserve">provide continuity and a non-adversarial manner to address arising issues, and could emit a credible judgment and deflate tensions. While </w:t>
      </w:r>
      <w:r>
        <w:t>NEA</w:t>
      </w:r>
      <w:r w:rsidRPr="00130573">
        <w:t xml:space="preserve"> </w:t>
      </w:r>
      <w:r w:rsidR="00AA18B4" w:rsidRPr="00130573">
        <w:t xml:space="preserve">concluded that </w:t>
      </w:r>
      <w:r>
        <w:t xml:space="preserve">the </w:t>
      </w:r>
      <w:r w:rsidR="00AA18B4" w:rsidRPr="00130573">
        <w:t xml:space="preserve">composition, intensity and formality of partnerships could vary greatly, </w:t>
      </w:r>
      <w:r>
        <w:t xml:space="preserve">it nevertheless identified </w:t>
      </w:r>
      <w:r w:rsidR="00AA18B4" w:rsidRPr="00130573">
        <w:t xml:space="preserve">certain main components. These included voluntarism, right of veto, collaboration in facility design and implementation, and benefit packages. Typically, partnership arrangements also included conditions for continued participation and measures for empowerment of local communities. </w:t>
      </w:r>
      <w:r w:rsidR="006402EB" w:rsidRPr="00130573">
        <w:t>[</w:t>
      </w:r>
      <w:r w:rsidR="00D27B49" w:rsidRPr="00130573">
        <w:t>4</w:t>
      </w:r>
      <w:r w:rsidR="006402EB" w:rsidRPr="00130573">
        <w:t>]</w:t>
      </w:r>
      <w:r w:rsidR="00AA18B4" w:rsidRPr="00130573">
        <w:t xml:space="preserve"> Later on</w:t>
      </w:r>
      <w:r w:rsidR="00995716">
        <w:t>, NEA further elaborated</w:t>
      </w:r>
      <w:r w:rsidR="00AA18B4" w:rsidRPr="00130573">
        <w:t xml:space="preserve"> </w:t>
      </w:r>
      <w:r w:rsidR="00995716">
        <w:t xml:space="preserve">its definition of </w:t>
      </w:r>
      <w:r w:rsidR="00AA18B4" w:rsidRPr="00130573">
        <w:t xml:space="preserve">the partnership </w:t>
      </w:r>
      <w:r w:rsidR="00AA18B4" w:rsidRPr="00130573">
        <w:lastRenderedPageBreak/>
        <w:t>approach</w:t>
      </w:r>
      <w:r w:rsidR="00995716">
        <w:t>, describing it</w:t>
      </w:r>
      <w:r w:rsidR="00AA18B4" w:rsidRPr="00130573">
        <w:t xml:space="preserve"> as </w:t>
      </w:r>
      <w:r w:rsidR="005B28A9" w:rsidRPr="00130573">
        <w:t>“</w:t>
      </w:r>
      <w:r w:rsidR="00AA18B4" w:rsidRPr="00130573">
        <w:t>a formal or informal arrangement between the radioactive waste management implementer and representatives of the local community to work together to assess technical and socio-economic issues</w:t>
      </w:r>
      <w:r w:rsidR="005B28A9" w:rsidRPr="00130573">
        <w:t>”</w:t>
      </w:r>
      <w:r w:rsidR="00995716">
        <w:t xml:space="preserve">, </w:t>
      </w:r>
      <w:r w:rsidR="00AA18B4" w:rsidRPr="00130573">
        <w:t xml:space="preserve">and noted that the regulator can be part of the partnership or </w:t>
      </w:r>
      <w:r w:rsidR="00196345" w:rsidRPr="00130573">
        <w:t xml:space="preserve">is </w:t>
      </w:r>
      <w:r w:rsidR="00AA18B4" w:rsidRPr="00130573">
        <w:t>usually at least aw</w:t>
      </w:r>
      <w:r w:rsidR="00AA18B4" w:rsidRPr="00995716">
        <w:t xml:space="preserve">are of it, due to </w:t>
      </w:r>
      <w:r w:rsidR="00B6311A">
        <w:t xml:space="preserve">partnership </w:t>
      </w:r>
      <w:r w:rsidR="00AA18B4" w:rsidRPr="00995716">
        <w:t xml:space="preserve">related requests (e.g. </w:t>
      </w:r>
      <w:r w:rsidR="00B6311A">
        <w:t xml:space="preserve">for regulator's </w:t>
      </w:r>
      <w:r w:rsidR="00AA18B4" w:rsidRPr="00995716">
        <w:t>briefings</w:t>
      </w:r>
      <w:r w:rsidR="00B6311A">
        <w:t xml:space="preserve"> for community</w:t>
      </w:r>
      <w:r w:rsidR="00AA18B4" w:rsidRPr="00995716">
        <w:t xml:space="preserve">) </w:t>
      </w:r>
      <w:r w:rsidR="006402EB" w:rsidRPr="00995716">
        <w:t>[1</w:t>
      </w:r>
      <w:r w:rsidR="00427516" w:rsidRPr="00995716">
        <w:t>3</w:t>
      </w:r>
      <w:r w:rsidR="006402EB" w:rsidRPr="00995716">
        <w:t>]</w:t>
      </w:r>
      <w:r w:rsidR="00AA18B4" w:rsidRPr="00995716">
        <w:t>.</w:t>
      </w:r>
      <w:r w:rsidR="00B611AF" w:rsidRPr="00995716">
        <w:t xml:space="preserve"> </w:t>
      </w:r>
    </w:p>
    <w:p w14:paraId="785211A6" w14:textId="4EB61758" w:rsidR="00BE5362" w:rsidRPr="00C952B9" w:rsidRDefault="00F62567" w:rsidP="00AA18B4">
      <w:pPr>
        <w:pStyle w:val="BodyText"/>
      </w:pPr>
      <w:r w:rsidRPr="00995716">
        <w:t>Initially, partnership</w:t>
      </w:r>
      <w:r w:rsidR="008878B3" w:rsidRPr="00995716">
        <w:t>s</w:t>
      </w:r>
      <w:r w:rsidRPr="00995716">
        <w:t xml:space="preserve"> were envisaged as </w:t>
      </w:r>
      <w:r w:rsidR="00CA148A">
        <w:t xml:space="preserve">a </w:t>
      </w:r>
      <w:r w:rsidRPr="00995716">
        <w:t xml:space="preserve">means to promote participation and trust after </w:t>
      </w:r>
      <w:r w:rsidR="00CA148A">
        <w:t>an</w:t>
      </w:r>
      <w:r w:rsidR="00CA148A" w:rsidRPr="00995716">
        <w:t xml:space="preserve"> </w:t>
      </w:r>
      <w:r w:rsidRPr="00995716">
        <w:t xml:space="preserve">era </w:t>
      </w:r>
      <w:r w:rsidR="00CA148A">
        <w:t xml:space="preserve">dominated by </w:t>
      </w:r>
      <w:r w:rsidRPr="00995716">
        <w:t>top-down approach</w:t>
      </w:r>
      <w:r w:rsidR="00CA148A">
        <w:t>es</w:t>
      </w:r>
      <w:r w:rsidRPr="00995716">
        <w:t>. Early partnerships were essentially local information and/or monitoring commit</w:t>
      </w:r>
      <w:r w:rsidRPr="00CA148A">
        <w:t xml:space="preserve">tees, and local liaison committees typically </w:t>
      </w:r>
      <w:r w:rsidR="00CA148A">
        <w:t>with</w:t>
      </w:r>
      <w:r w:rsidR="00CA148A" w:rsidRPr="00CA148A">
        <w:t xml:space="preserve"> </w:t>
      </w:r>
      <w:r w:rsidRPr="00CA148A">
        <w:t xml:space="preserve">little influence on the decisions. </w:t>
      </w:r>
      <w:r w:rsidR="008C617C" w:rsidRPr="00CA148A">
        <w:t xml:space="preserve">Later on, </w:t>
      </w:r>
      <w:r w:rsidR="00536CAF">
        <w:t>NEA has</w:t>
      </w:r>
      <w:r w:rsidR="008C617C" w:rsidRPr="00CA148A">
        <w:t xml:space="preserve"> concluded, however, that a</w:t>
      </w:r>
      <w:r w:rsidRPr="00CA148A">
        <w:t>t the level of partnership</w:t>
      </w:r>
      <w:r w:rsidR="008C617C" w:rsidRPr="00CA148A">
        <w:t>,</w:t>
      </w:r>
      <w:r w:rsidRPr="00CA148A">
        <w:t xml:space="preserve"> power </w:t>
      </w:r>
      <w:r w:rsidR="00205E00" w:rsidRPr="00CA148A">
        <w:t>should be</w:t>
      </w:r>
      <w:r w:rsidRPr="00CA148A">
        <w:t xml:space="preserve"> reapportioned through negotiations and the parties involved</w:t>
      </w:r>
      <w:r w:rsidR="00587DB5">
        <w:t xml:space="preserve"> should</w:t>
      </w:r>
      <w:r w:rsidRPr="00CA148A">
        <w:t xml:space="preserve"> </w:t>
      </w:r>
      <w:r w:rsidR="005B28A9" w:rsidRPr="00CA148A">
        <w:t>“</w:t>
      </w:r>
      <w:r w:rsidRPr="00CA148A">
        <w:t>agree to share planning and decision-making responsibilities through such structures as joint policy boards, planning committees and mechanisms for resol</w:t>
      </w:r>
      <w:r w:rsidRPr="00587DB5">
        <w:t>ving impasses</w:t>
      </w:r>
      <w:r w:rsidR="005B28A9" w:rsidRPr="00587DB5">
        <w:t>”</w:t>
      </w:r>
      <w:r w:rsidR="006F3895" w:rsidRPr="00587DB5">
        <w:t>.</w:t>
      </w:r>
      <w:r w:rsidRPr="00587DB5">
        <w:t xml:space="preserve"> </w:t>
      </w:r>
      <w:r w:rsidR="000A1D5F" w:rsidRPr="00587DB5">
        <w:t>[</w:t>
      </w:r>
      <w:r w:rsidR="00D27B49" w:rsidRPr="00587DB5">
        <w:t>4</w:t>
      </w:r>
      <w:r w:rsidR="000A1D5F" w:rsidRPr="00587DB5">
        <w:t>]</w:t>
      </w:r>
      <w:r w:rsidRPr="00587DB5">
        <w:t xml:space="preserve"> </w:t>
      </w:r>
      <w:r w:rsidR="00587DB5">
        <w:t>The s</w:t>
      </w:r>
      <w:r w:rsidRPr="00587DB5">
        <w:t xml:space="preserve">hift from informing to partnering, from token involvement to influence, </w:t>
      </w:r>
      <w:r w:rsidR="00C10E30" w:rsidRPr="00587DB5">
        <w:t>has been</w:t>
      </w:r>
      <w:r w:rsidRPr="00587DB5">
        <w:t xml:space="preserve"> </w:t>
      </w:r>
      <w:r w:rsidR="00587DB5">
        <w:t>paralleled by</w:t>
      </w:r>
      <w:r w:rsidRPr="00587DB5">
        <w:t xml:space="preserve"> other shifts: </w:t>
      </w:r>
      <w:r w:rsidR="00A64CA0">
        <w:t>c</w:t>
      </w:r>
      <w:r w:rsidRPr="00587DB5">
        <w:t>ommunities</w:t>
      </w:r>
      <w:r w:rsidR="005B28A9" w:rsidRPr="00587DB5">
        <w:t>’</w:t>
      </w:r>
      <w:r w:rsidRPr="00587DB5">
        <w:t xml:space="preserve"> role from passive to active, from resigned acceptance to collaboration and voluntary involvement; </w:t>
      </w:r>
      <w:r w:rsidR="00A64CA0">
        <w:t>n</w:t>
      </w:r>
      <w:r w:rsidRPr="00587DB5">
        <w:t xml:space="preserve">ew appreciation </w:t>
      </w:r>
      <w:r w:rsidR="00A64CA0">
        <w:t>of</w:t>
      </w:r>
      <w:r w:rsidR="00A64CA0" w:rsidRPr="00587DB5">
        <w:t xml:space="preserve"> </w:t>
      </w:r>
      <w:r w:rsidRPr="00587DB5">
        <w:t xml:space="preserve">the need and legitimacy of community empowerment measures and socio-economic benefits; </w:t>
      </w:r>
      <w:r w:rsidR="00A64CA0">
        <w:t>a</w:t>
      </w:r>
      <w:r w:rsidRPr="00587DB5">
        <w:t xml:space="preserve">nd, new frames for collaboration concentrating </w:t>
      </w:r>
      <w:r w:rsidR="00A64CA0">
        <w:t>o</w:t>
      </w:r>
      <w:r w:rsidRPr="00587DB5">
        <w:t xml:space="preserve">n mutual learning, added value and sustainable development. </w:t>
      </w:r>
      <w:r w:rsidR="000A1D5F" w:rsidRPr="00A64CA0">
        <w:t>[</w:t>
      </w:r>
      <w:r w:rsidR="000A08DE" w:rsidRPr="00A64CA0">
        <w:t>4</w:t>
      </w:r>
      <w:r w:rsidR="000A1D5F" w:rsidRPr="00A64CA0">
        <w:t>]</w:t>
      </w:r>
      <w:r w:rsidRPr="00A64CA0">
        <w:t xml:space="preserve"> NEA considers that </w:t>
      </w:r>
      <w:r w:rsidR="005B28A9" w:rsidRPr="00A64CA0">
        <w:t>“</w:t>
      </w:r>
      <w:r w:rsidR="00A64CA0" w:rsidRPr="00F277E1">
        <w:t>[</w:t>
      </w:r>
      <w:r w:rsidR="00A64CA0">
        <w:t>c</w:t>
      </w:r>
      <w:r w:rsidR="00A64CA0" w:rsidRPr="00F277E1">
        <w:t>]</w:t>
      </w:r>
      <w:r w:rsidRPr="00A64CA0">
        <w:t>o-framing the issues for consultation, evaluation or decision helps to achieve quality and legitimacy, especially in contentious situations</w:t>
      </w:r>
      <w:r w:rsidR="005B28A9" w:rsidRPr="00A64CA0">
        <w:t>”</w:t>
      </w:r>
      <w:r w:rsidRPr="00A64CA0">
        <w:t xml:space="preserve"> </w:t>
      </w:r>
      <w:r w:rsidR="000A1D5F" w:rsidRPr="00A64CA0">
        <w:t>[</w:t>
      </w:r>
      <w:r w:rsidR="00BB237F" w:rsidRPr="00A64CA0">
        <w:t>14</w:t>
      </w:r>
      <w:r w:rsidR="000A1D5F" w:rsidRPr="00A64CA0">
        <w:t>]</w:t>
      </w:r>
      <w:r w:rsidRPr="00AF2180">
        <w:t xml:space="preserve">. </w:t>
      </w:r>
      <w:r w:rsidR="00A64CA0">
        <w:t>A p</w:t>
      </w:r>
      <w:r w:rsidRPr="00A64CA0">
        <w:t xml:space="preserve">artnership enables pertinent issues and concerns to be raised and addressed, understanding and learning, and developing added value to </w:t>
      </w:r>
      <w:r w:rsidRPr="00C952B9">
        <w:t xml:space="preserve">community </w:t>
      </w:r>
      <w:r w:rsidR="000A1D5F" w:rsidRPr="00C952B9">
        <w:t>[</w:t>
      </w:r>
      <w:r w:rsidR="00723B7B" w:rsidRPr="00C952B9">
        <w:t>4</w:t>
      </w:r>
      <w:r w:rsidR="00297F09" w:rsidRPr="00C952B9">
        <w:t>,</w:t>
      </w:r>
      <w:r w:rsidR="004C61B3" w:rsidRPr="00C952B9">
        <w:t xml:space="preserve"> </w:t>
      </w:r>
      <w:r w:rsidR="000A1D5F" w:rsidRPr="00C952B9">
        <w:t>13]</w:t>
      </w:r>
      <w:r w:rsidRPr="00C952B9">
        <w:t>.</w:t>
      </w:r>
    </w:p>
    <w:p w14:paraId="7F7C0809" w14:textId="77777777" w:rsidR="00590DE5" w:rsidRPr="00C952B9" w:rsidRDefault="002F3009" w:rsidP="008A69D3">
      <w:pPr>
        <w:pStyle w:val="Heading2"/>
      </w:pPr>
      <w:r w:rsidRPr="00C952B9">
        <w:rPr>
          <w:caps w:val="0"/>
        </w:rPr>
        <w:t>METHODS AND DATA</w:t>
      </w:r>
    </w:p>
    <w:p w14:paraId="241A7C66" w14:textId="7C3F33A4" w:rsidR="004F16BC" w:rsidRPr="00814947" w:rsidRDefault="00306A42" w:rsidP="00BD43F1">
      <w:pPr>
        <w:spacing w:line="260" w:lineRule="atLeast"/>
        <w:ind w:firstLine="567"/>
        <w:jc w:val="both"/>
        <w:rPr>
          <w:sz w:val="20"/>
        </w:rPr>
      </w:pPr>
      <w:r w:rsidRPr="00814947">
        <w:rPr>
          <w:sz w:val="20"/>
        </w:rPr>
        <w:t>The</w:t>
      </w:r>
      <w:r w:rsidR="004F16BC" w:rsidRPr="00814947">
        <w:rPr>
          <w:sz w:val="20"/>
        </w:rPr>
        <w:t xml:space="preserve"> analysis </w:t>
      </w:r>
      <w:r w:rsidR="00E317ED">
        <w:rPr>
          <w:sz w:val="20"/>
        </w:rPr>
        <w:t>adopts a</w:t>
      </w:r>
      <w:r w:rsidR="00AF2180">
        <w:rPr>
          <w:sz w:val="20"/>
        </w:rPr>
        <w:t xml:space="preserve"> </w:t>
      </w:r>
      <w:r w:rsidR="004F16BC" w:rsidRPr="00814947">
        <w:rPr>
          <w:sz w:val="20"/>
        </w:rPr>
        <w:t>comparative case stud</w:t>
      </w:r>
      <w:r w:rsidR="00E317ED">
        <w:rPr>
          <w:sz w:val="20"/>
        </w:rPr>
        <w:t>y approach</w:t>
      </w:r>
      <w:r w:rsidR="006B209A" w:rsidRPr="00814947">
        <w:rPr>
          <w:sz w:val="20"/>
        </w:rPr>
        <w:t xml:space="preserve"> with special interest </w:t>
      </w:r>
      <w:r w:rsidR="00AF2180">
        <w:rPr>
          <w:sz w:val="20"/>
        </w:rPr>
        <w:t>i</w:t>
      </w:r>
      <w:r w:rsidR="006B209A" w:rsidRPr="00814947">
        <w:rPr>
          <w:sz w:val="20"/>
        </w:rPr>
        <w:t>n long-term changes</w:t>
      </w:r>
      <w:r w:rsidR="004F16BC" w:rsidRPr="00814947">
        <w:rPr>
          <w:sz w:val="20"/>
        </w:rPr>
        <w:t xml:space="preserve">. The cases of Eurajoki and Östhammar were selected </w:t>
      </w:r>
      <w:r w:rsidR="00AF2180">
        <w:rPr>
          <w:sz w:val="20"/>
        </w:rPr>
        <w:t xml:space="preserve">for analysis as the repository host communities in </w:t>
      </w:r>
      <w:r w:rsidR="004F16BC" w:rsidRPr="00814947">
        <w:rPr>
          <w:sz w:val="20"/>
        </w:rPr>
        <w:t>Finland and Sweden</w:t>
      </w:r>
      <w:r w:rsidR="00AF2180">
        <w:rPr>
          <w:sz w:val="20"/>
        </w:rPr>
        <w:t>,</w:t>
      </w:r>
      <w:r w:rsidR="004F16BC" w:rsidRPr="00814947">
        <w:rPr>
          <w:sz w:val="20"/>
        </w:rPr>
        <w:t xml:space="preserve"> </w:t>
      </w:r>
      <w:r w:rsidR="00AF2180">
        <w:rPr>
          <w:sz w:val="20"/>
        </w:rPr>
        <w:t xml:space="preserve">generally </w:t>
      </w:r>
      <w:r w:rsidR="004F16BC" w:rsidRPr="00814947">
        <w:rPr>
          <w:sz w:val="20"/>
        </w:rPr>
        <w:t xml:space="preserve">deemed as the forerunners in final disposal of SNF. </w:t>
      </w:r>
      <w:r w:rsidR="00AF2180">
        <w:rPr>
          <w:sz w:val="20"/>
        </w:rPr>
        <w:t>A c</w:t>
      </w:r>
      <w:r w:rsidR="004F16BC" w:rsidRPr="00814947">
        <w:rPr>
          <w:sz w:val="20"/>
        </w:rPr>
        <w:t>omparative approach is fruitful because although</w:t>
      </w:r>
      <w:r w:rsidR="00AF2180">
        <w:rPr>
          <w:sz w:val="20"/>
        </w:rPr>
        <w:t xml:space="preserve"> the social and political structures in both</w:t>
      </w:r>
      <w:r w:rsidR="004F16BC" w:rsidRPr="00814947">
        <w:rPr>
          <w:sz w:val="20"/>
        </w:rPr>
        <w:t xml:space="preserve"> Sweden and Finland </w:t>
      </w:r>
      <w:r w:rsidR="00AF2180">
        <w:rPr>
          <w:sz w:val="20"/>
        </w:rPr>
        <w:t>follows a</w:t>
      </w:r>
      <w:r w:rsidR="004F16BC" w:rsidRPr="00814947">
        <w:rPr>
          <w:sz w:val="20"/>
        </w:rPr>
        <w:t xml:space="preserve"> Nordic welfare societ</w:t>
      </w:r>
      <w:r w:rsidR="00AF2180">
        <w:rPr>
          <w:sz w:val="20"/>
        </w:rPr>
        <w:t>y</w:t>
      </w:r>
      <w:r w:rsidR="004F16BC" w:rsidRPr="00814947">
        <w:rPr>
          <w:sz w:val="20"/>
        </w:rPr>
        <w:t xml:space="preserve"> </w:t>
      </w:r>
      <w:r w:rsidR="00AF2180">
        <w:rPr>
          <w:sz w:val="20"/>
        </w:rPr>
        <w:t xml:space="preserve">model, </w:t>
      </w:r>
      <w:r w:rsidR="004F16BC" w:rsidRPr="00814947">
        <w:rPr>
          <w:sz w:val="20"/>
        </w:rPr>
        <w:t>the</w:t>
      </w:r>
      <w:r w:rsidR="002C2E5C" w:rsidRPr="00814947">
        <w:rPr>
          <w:sz w:val="20"/>
        </w:rPr>
        <w:t>re</w:t>
      </w:r>
      <w:r w:rsidR="004F16BC" w:rsidRPr="00814947">
        <w:rPr>
          <w:sz w:val="20"/>
        </w:rPr>
        <w:t xml:space="preserve"> are differences </w:t>
      </w:r>
      <w:r w:rsidR="00CD7811" w:rsidRPr="00814947">
        <w:rPr>
          <w:sz w:val="20"/>
        </w:rPr>
        <w:t xml:space="preserve">in </w:t>
      </w:r>
      <w:r w:rsidR="00AF2180">
        <w:rPr>
          <w:sz w:val="20"/>
        </w:rPr>
        <w:t xml:space="preserve">the ways in which </w:t>
      </w:r>
      <w:r w:rsidR="00CD7811" w:rsidRPr="00814947">
        <w:rPr>
          <w:sz w:val="20"/>
        </w:rPr>
        <w:t>partnership</w:t>
      </w:r>
      <w:r w:rsidR="00AF2180">
        <w:rPr>
          <w:sz w:val="20"/>
        </w:rPr>
        <w:t>s have been nurtured in these countries</w:t>
      </w:r>
      <w:r w:rsidR="005A0AD7" w:rsidRPr="00814947">
        <w:rPr>
          <w:sz w:val="20"/>
        </w:rPr>
        <w:t xml:space="preserve">. </w:t>
      </w:r>
      <w:r w:rsidR="006B209A" w:rsidRPr="00814947">
        <w:rPr>
          <w:sz w:val="20"/>
        </w:rPr>
        <w:t>Focus on long-term changes help</w:t>
      </w:r>
      <w:r w:rsidR="00EF35B8" w:rsidRPr="00814947">
        <w:rPr>
          <w:sz w:val="20"/>
        </w:rPr>
        <w:t>s</w:t>
      </w:r>
      <w:r w:rsidR="005A0AD7" w:rsidRPr="00814947">
        <w:rPr>
          <w:sz w:val="20"/>
        </w:rPr>
        <w:t xml:space="preserve"> to</w:t>
      </w:r>
      <w:r w:rsidR="006B209A" w:rsidRPr="00814947">
        <w:rPr>
          <w:sz w:val="20"/>
        </w:rPr>
        <w:t xml:space="preserve"> show how and </w:t>
      </w:r>
      <w:r w:rsidR="0026572D" w:rsidRPr="00814947">
        <w:rPr>
          <w:sz w:val="20"/>
        </w:rPr>
        <w:t>in part</w:t>
      </w:r>
      <w:r w:rsidR="00EF35B8" w:rsidRPr="00814947">
        <w:rPr>
          <w:sz w:val="20"/>
        </w:rPr>
        <w:t xml:space="preserve"> why the municipal approaches we</w:t>
      </w:r>
      <w:r w:rsidR="006B209A" w:rsidRPr="00814947">
        <w:rPr>
          <w:sz w:val="20"/>
        </w:rPr>
        <w:t>re modified</w:t>
      </w:r>
      <w:r w:rsidR="00DE3C67">
        <w:rPr>
          <w:sz w:val="20"/>
        </w:rPr>
        <w:t xml:space="preserve"> over time</w:t>
      </w:r>
      <w:r w:rsidR="006B209A" w:rsidRPr="00814947">
        <w:rPr>
          <w:sz w:val="20"/>
        </w:rPr>
        <w:t>.</w:t>
      </w:r>
      <w:r w:rsidR="005A0AD7" w:rsidRPr="00814947">
        <w:rPr>
          <w:sz w:val="20"/>
        </w:rPr>
        <w:t xml:space="preserve"> Moreover, highlighting the differences help</w:t>
      </w:r>
      <w:r w:rsidR="00DE3C67">
        <w:rPr>
          <w:sz w:val="20"/>
        </w:rPr>
        <w:t>s</w:t>
      </w:r>
      <w:r w:rsidR="005A0AD7" w:rsidRPr="00814947">
        <w:rPr>
          <w:sz w:val="20"/>
        </w:rPr>
        <w:t xml:space="preserve"> to better understand </w:t>
      </w:r>
      <w:r w:rsidR="00DE3C67">
        <w:rPr>
          <w:sz w:val="20"/>
        </w:rPr>
        <w:t xml:space="preserve">the </w:t>
      </w:r>
      <w:r w:rsidR="005A0AD7" w:rsidRPr="00814947">
        <w:rPr>
          <w:sz w:val="20"/>
        </w:rPr>
        <w:t>smooth progress of the</w:t>
      </w:r>
      <w:r w:rsidR="00DE3C67">
        <w:rPr>
          <w:sz w:val="20"/>
        </w:rPr>
        <w:t>se</w:t>
      </w:r>
      <w:r w:rsidR="005A0AD7" w:rsidRPr="00814947">
        <w:rPr>
          <w:sz w:val="20"/>
        </w:rPr>
        <w:t xml:space="preserve"> SNF disposal project</w:t>
      </w:r>
      <w:r w:rsidR="00DE3C67">
        <w:rPr>
          <w:sz w:val="20"/>
        </w:rPr>
        <w:t>s</w:t>
      </w:r>
      <w:r w:rsidR="005A0AD7" w:rsidRPr="00814947">
        <w:rPr>
          <w:sz w:val="20"/>
        </w:rPr>
        <w:t>.</w:t>
      </w:r>
      <w:r w:rsidR="0026572D" w:rsidRPr="00814947">
        <w:rPr>
          <w:sz w:val="20"/>
        </w:rPr>
        <w:t xml:space="preserve"> The</w:t>
      </w:r>
      <w:r w:rsidR="00962E5F" w:rsidRPr="00814947">
        <w:rPr>
          <w:sz w:val="20"/>
        </w:rPr>
        <w:t xml:space="preserve"> aim is to contribute </w:t>
      </w:r>
      <w:r w:rsidR="00DE3C67">
        <w:rPr>
          <w:sz w:val="20"/>
        </w:rPr>
        <w:t>to research on</w:t>
      </w:r>
      <w:r w:rsidR="00DE3C67" w:rsidRPr="00814947">
        <w:rPr>
          <w:sz w:val="20"/>
        </w:rPr>
        <w:t xml:space="preserve"> </w:t>
      </w:r>
      <w:r w:rsidR="0026572D" w:rsidRPr="00814947">
        <w:rPr>
          <w:sz w:val="20"/>
        </w:rPr>
        <w:t>partnership</w:t>
      </w:r>
      <w:r w:rsidR="00DE3C67">
        <w:rPr>
          <w:sz w:val="20"/>
        </w:rPr>
        <w:t>s</w:t>
      </w:r>
      <w:r w:rsidR="0026572D" w:rsidRPr="00814947">
        <w:rPr>
          <w:sz w:val="20"/>
        </w:rPr>
        <w:t xml:space="preserve"> in the field of radioactive waste management</w:t>
      </w:r>
      <w:r w:rsidR="00962E5F" w:rsidRPr="00814947">
        <w:rPr>
          <w:sz w:val="20"/>
        </w:rPr>
        <w:t xml:space="preserve">, particularly </w:t>
      </w:r>
      <w:r w:rsidR="00DE3C67">
        <w:rPr>
          <w:sz w:val="20"/>
        </w:rPr>
        <w:t xml:space="preserve">to the </w:t>
      </w:r>
      <w:r w:rsidR="00962E5F" w:rsidRPr="00814947">
        <w:rPr>
          <w:sz w:val="20"/>
        </w:rPr>
        <w:t xml:space="preserve">understanding </w:t>
      </w:r>
      <w:r w:rsidR="00DE3C67">
        <w:rPr>
          <w:sz w:val="20"/>
        </w:rPr>
        <w:t>of the evolution</w:t>
      </w:r>
      <w:r w:rsidR="00DE3C67" w:rsidRPr="00814947">
        <w:rPr>
          <w:sz w:val="20"/>
        </w:rPr>
        <w:t xml:space="preserve"> </w:t>
      </w:r>
      <w:r w:rsidR="00962E5F" w:rsidRPr="00814947">
        <w:rPr>
          <w:sz w:val="20"/>
        </w:rPr>
        <w:t xml:space="preserve">of </w:t>
      </w:r>
      <w:r w:rsidR="00F21A31">
        <w:rPr>
          <w:sz w:val="20"/>
        </w:rPr>
        <w:t xml:space="preserve">the role and activities of </w:t>
      </w:r>
      <w:r w:rsidR="00E317ED">
        <w:rPr>
          <w:sz w:val="20"/>
        </w:rPr>
        <w:t xml:space="preserve">host </w:t>
      </w:r>
      <w:r w:rsidR="00962E5F" w:rsidRPr="00814947">
        <w:rPr>
          <w:sz w:val="20"/>
        </w:rPr>
        <w:t>municipal</w:t>
      </w:r>
      <w:r w:rsidR="00F21A31">
        <w:rPr>
          <w:sz w:val="20"/>
        </w:rPr>
        <w:t>ities</w:t>
      </w:r>
      <w:r w:rsidR="0026572D" w:rsidRPr="00814947">
        <w:rPr>
          <w:sz w:val="20"/>
        </w:rPr>
        <w:t>.</w:t>
      </w:r>
    </w:p>
    <w:p w14:paraId="31E1F1FC" w14:textId="34467DC1" w:rsidR="00947486" w:rsidRPr="00C952B9" w:rsidRDefault="004F16BC" w:rsidP="00BD43F1">
      <w:pPr>
        <w:spacing w:line="260" w:lineRule="atLeast"/>
        <w:ind w:firstLine="567"/>
        <w:jc w:val="both"/>
        <w:rPr>
          <w:sz w:val="20"/>
        </w:rPr>
      </w:pPr>
      <w:r w:rsidRPr="00814947">
        <w:rPr>
          <w:sz w:val="20"/>
        </w:rPr>
        <w:t xml:space="preserve">Our comparative </w:t>
      </w:r>
      <w:r w:rsidR="00E317ED">
        <w:rPr>
          <w:sz w:val="20"/>
        </w:rPr>
        <w:t>analysis</w:t>
      </w:r>
      <w:r w:rsidRPr="00814947">
        <w:rPr>
          <w:sz w:val="20"/>
        </w:rPr>
        <w:t xml:space="preserve"> includes </w:t>
      </w:r>
      <w:r w:rsidR="00E317ED">
        <w:rPr>
          <w:sz w:val="20"/>
        </w:rPr>
        <w:t xml:space="preserve">the </w:t>
      </w:r>
      <w:r w:rsidRPr="00814947">
        <w:rPr>
          <w:sz w:val="20"/>
        </w:rPr>
        <w:t xml:space="preserve">use of different kinds of data such as </w:t>
      </w:r>
      <w:r w:rsidR="00E317ED">
        <w:rPr>
          <w:sz w:val="20"/>
        </w:rPr>
        <w:t xml:space="preserve">documents published by </w:t>
      </w:r>
      <w:r w:rsidRPr="00814947">
        <w:rPr>
          <w:sz w:val="20"/>
        </w:rPr>
        <w:t xml:space="preserve">municipal </w:t>
      </w:r>
      <w:r w:rsidR="00E317ED">
        <w:rPr>
          <w:sz w:val="20"/>
        </w:rPr>
        <w:t>authorities,</w:t>
      </w:r>
      <w:r w:rsidR="00E317ED" w:rsidRPr="00814947">
        <w:rPr>
          <w:sz w:val="20"/>
        </w:rPr>
        <w:t xml:space="preserve"> </w:t>
      </w:r>
      <w:r w:rsidRPr="00814947">
        <w:rPr>
          <w:sz w:val="20"/>
        </w:rPr>
        <w:t>which help</w:t>
      </w:r>
      <w:r w:rsidR="00E317ED">
        <w:rPr>
          <w:sz w:val="20"/>
        </w:rPr>
        <w:t>s</w:t>
      </w:r>
      <w:r w:rsidRPr="00814947">
        <w:rPr>
          <w:sz w:val="20"/>
        </w:rPr>
        <w:t xml:space="preserve"> us to trac</w:t>
      </w:r>
      <w:r w:rsidR="00E317ED">
        <w:rPr>
          <w:sz w:val="20"/>
        </w:rPr>
        <w:t>e</w:t>
      </w:r>
      <w:r w:rsidRPr="00814947">
        <w:rPr>
          <w:sz w:val="20"/>
        </w:rPr>
        <w:t xml:space="preserve"> the development of </w:t>
      </w:r>
      <w:r w:rsidR="00E317ED">
        <w:rPr>
          <w:sz w:val="20"/>
        </w:rPr>
        <w:t xml:space="preserve">the </w:t>
      </w:r>
      <w:r w:rsidRPr="00814947">
        <w:rPr>
          <w:sz w:val="20"/>
        </w:rPr>
        <w:t xml:space="preserve">municipal approach in these two cases. </w:t>
      </w:r>
      <w:r w:rsidR="001662F7">
        <w:rPr>
          <w:sz w:val="20"/>
        </w:rPr>
        <w:t xml:space="preserve">Also </w:t>
      </w:r>
      <w:r w:rsidR="001662F7" w:rsidRPr="00F1464C">
        <w:rPr>
          <w:sz w:val="20"/>
        </w:rPr>
        <w:t>previous research regarding the topic w</w:t>
      </w:r>
      <w:r w:rsidR="001662F7">
        <w:rPr>
          <w:sz w:val="20"/>
        </w:rPr>
        <w:t>as</w:t>
      </w:r>
      <w:r w:rsidR="001662F7" w:rsidRPr="00F1464C">
        <w:rPr>
          <w:sz w:val="20"/>
        </w:rPr>
        <w:t xml:space="preserve"> consulted</w:t>
      </w:r>
      <w:r w:rsidR="001662F7">
        <w:rPr>
          <w:sz w:val="20"/>
        </w:rPr>
        <w:t>.</w:t>
      </w:r>
      <w:r w:rsidR="001662F7" w:rsidRPr="00814947">
        <w:rPr>
          <w:sz w:val="20"/>
        </w:rPr>
        <w:t xml:space="preserve"> </w:t>
      </w:r>
      <w:r w:rsidRPr="00814947">
        <w:rPr>
          <w:sz w:val="20"/>
        </w:rPr>
        <w:t>Moreover, our case study approach is tailored to analys</w:t>
      </w:r>
      <w:r w:rsidR="00E317ED">
        <w:rPr>
          <w:sz w:val="20"/>
        </w:rPr>
        <w:t>ing</w:t>
      </w:r>
      <w:r w:rsidRPr="00814947">
        <w:rPr>
          <w:sz w:val="20"/>
        </w:rPr>
        <w:t xml:space="preserve"> both the national context (</w:t>
      </w:r>
      <w:r w:rsidR="002C2E5C" w:rsidRPr="00814947">
        <w:rPr>
          <w:sz w:val="20"/>
        </w:rPr>
        <w:t xml:space="preserve">i.e. </w:t>
      </w:r>
      <w:r w:rsidRPr="00814947">
        <w:rPr>
          <w:sz w:val="20"/>
        </w:rPr>
        <w:t xml:space="preserve">institutional arrangements and site selection strategies) and the </w:t>
      </w:r>
      <w:r w:rsidR="001C0AC1" w:rsidRPr="00814947">
        <w:rPr>
          <w:sz w:val="20"/>
        </w:rPr>
        <w:t xml:space="preserve">local level </w:t>
      </w:r>
      <w:r w:rsidR="001C0AC1">
        <w:rPr>
          <w:sz w:val="20"/>
        </w:rPr>
        <w:t xml:space="preserve">(i.e. the </w:t>
      </w:r>
      <w:r w:rsidRPr="00814947">
        <w:rPr>
          <w:sz w:val="20"/>
        </w:rPr>
        <w:t>municipal approach itself</w:t>
      </w:r>
      <w:r w:rsidR="001C0AC1">
        <w:rPr>
          <w:sz w:val="20"/>
        </w:rPr>
        <w:t>)</w:t>
      </w:r>
      <w:r w:rsidRPr="00814947">
        <w:rPr>
          <w:sz w:val="20"/>
        </w:rPr>
        <w:t xml:space="preserve">. The thick descriptions of the cases </w:t>
      </w:r>
      <w:r w:rsidR="002C2E5C" w:rsidRPr="00814947">
        <w:rPr>
          <w:sz w:val="20"/>
        </w:rPr>
        <w:t>are</w:t>
      </w:r>
      <w:r w:rsidRPr="00814947">
        <w:rPr>
          <w:sz w:val="20"/>
        </w:rPr>
        <w:t xml:space="preserve"> characterized by </w:t>
      </w:r>
      <w:r w:rsidR="00E317ED">
        <w:rPr>
          <w:sz w:val="20"/>
        </w:rPr>
        <w:t xml:space="preserve">a </w:t>
      </w:r>
      <w:r w:rsidRPr="00814947">
        <w:rPr>
          <w:sz w:val="20"/>
        </w:rPr>
        <w:t>holi</w:t>
      </w:r>
      <w:r w:rsidR="002C2E5C" w:rsidRPr="00814947">
        <w:rPr>
          <w:sz w:val="20"/>
        </w:rPr>
        <w:t>stic and process-oriented focus</w:t>
      </w:r>
      <w:r w:rsidRPr="00814947">
        <w:rPr>
          <w:sz w:val="20"/>
        </w:rPr>
        <w:t xml:space="preserve">. </w:t>
      </w:r>
      <w:r w:rsidR="002C2E5C" w:rsidRPr="00814947">
        <w:rPr>
          <w:sz w:val="20"/>
        </w:rPr>
        <w:t>As often in case studies, the boundary between the case and the context is blurred</w:t>
      </w:r>
      <w:r w:rsidR="0026572D" w:rsidRPr="00814947">
        <w:rPr>
          <w:sz w:val="20"/>
        </w:rPr>
        <w:t>.</w:t>
      </w:r>
      <w:r w:rsidR="002C2E5C" w:rsidRPr="00814947">
        <w:rPr>
          <w:sz w:val="20"/>
        </w:rPr>
        <w:t xml:space="preserve"> </w:t>
      </w:r>
      <w:r w:rsidR="00F06D31" w:rsidRPr="00814947">
        <w:rPr>
          <w:sz w:val="20"/>
        </w:rPr>
        <w:t>[</w:t>
      </w:r>
      <w:r w:rsidR="00442482" w:rsidRPr="00814947">
        <w:rPr>
          <w:sz w:val="20"/>
        </w:rPr>
        <w:t>15</w:t>
      </w:r>
      <w:r w:rsidR="00F06D31" w:rsidRPr="00814947">
        <w:rPr>
          <w:sz w:val="20"/>
        </w:rPr>
        <w:t>]</w:t>
      </w:r>
    </w:p>
    <w:p w14:paraId="10BB6DB9" w14:textId="15F92F3E" w:rsidR="00E83AD6" w:rsidRPr="00E317ED" w:rsidRDefault="00FB7FB7" w:rsidP="00BD43F1">
      <w:pPr>
        <w:pStyle w:val="BodyText"/>
      </w:pPr>
      <w:r>
        <w:t>For</w:t>
      </w:r>
      <w:r w:rsidR="00E83AD6" w:rsidRPr="00825E3E">
        <w:t xml:space="preserve"> Eurajoki</w:t>
      </w:r>
      <w:r w:rsidR="006E5859">
        <w:t>,</w:t>
      </w:r>
      <w:r w:rsidR="00E83AD6" w:rsidRPr="00825E3E">
        <w:t xml:space="preserve"> the </w:t>
      </w:r>
      <w:r w:rsidR="00F26C71" w:rsidRPr="00C44243">
        <w:t>material consisted of</w:t>
      </w:r>
      <w:r w:rsidR="00E83AD6" w:rsidRPr="00C44243">
        <w:t xml:space="preserve"> </w:t>
      </w:r>
      <w:r w:rsidR="009B2181" w:rsidRPr="00130573">
        <w:t xml:space="preserve">municipal documentation related to the issue and </w:t>
      </w:r>
      <w:r w:rsidR="00E83AD6" w:rsidRPr="00995716">
        <w:t xml:space="preserve">the minutes of </w:t>
      </w:r>
      <w:r w:rsidR="00E22B7E" w:rsidRPr="00995716">
        <w:t>three</w:t>
      </w:r>
      <w:r w:rsidR="00E83AD6" w:rsidRPr="00995716">
        <w:t xml:space="preserve"> liaison </w:t>
      </w:r>
      <w:r w:rsidR="00345F8D" w:rsidRPr="00995716">
        <w:t>committees</w:t>
      </w:r>
      <w:r>
        <w:t>:</w:t>
      </w:r>
      <w:r w:rsidR="00947486" w:rsidRPr="00995716">
        <w:t xml:space="preserve"> </w:t>
      </w:r>
      <w:r w:rsidR="00E22B7E" w:rsidRPr="00995716">
        <w:t xml:space="preserve">(1) </w:t>
      </w:r>
      <w:r w:rsidR="00E83AD6" w:rsidRPr="00995716">
        <w:t xml:space="preserve">The liaison </w:t>
      </w:r>
      <w:r w:rsidR="00345F8D" w:rsidRPr="00995716">
        <w:t>committee</w:t>
      </w:r>
      <w:r w:rsidR="00E83AD6" w:rsidRPr="00995716">
        <w:t xml:space="preserve"> between Eurajoki </w:t>
      </w:r>
      <w:r>
        <w:t xml:space="preserve">municipality </w:t>
      </w:r>
      <w:r w:rsidR="00E83AD6" w:rsidRPr="00995716">
        <w:t>and the nuclear utility TVO</w:t>
      </w:r>
      <w:r w:rsidR="00E317ED">
        <w:t>,</w:t>
      </w:r>
      <w:r w:rsidR="00E83AD6" w:rsidRPr="00995716">
        <w:t xml:space="preserve"> </w:t>
      </w:r>
      <w:r w:rsidR="00E83AD6" w:rsidRPr="00CA148A">
        <w:t xml:space="preserve">established </w:t>
      </w:r>
      <w:r w:rsidRPr="00CA148A">
        <w:t xml:space="preserve">already </w:t>
      </w:r>
      <w:r w:rsidR="00E83AD6" w:rsidRPr="00CA148A">
        <w:t xml:space="preserve">in the late 1970s. The main task of the </w:t>
      </w:r>
      <w:r w:rsidR="00345F8D" w:rsidRPr="00CA148A">
        <w:t>committee</w:t>
      </w:r>
      <w:r w:rsidR="00E83AD6" w:rsidRPr="00CA148A">
        <w:t xml:space="preserve"> was to </w:t>
      </w:r>
      <w:r w:rsidR="004C7289" w:rsidRPr="00E317ED">
        <w:t xml:space="preserve">offer an arena </w:t>
      </w:r>
      <w:r w:rsidR="00E83AD6" w:rsidRPr="00E317ED">
        <w:t xml:space="preserve">for discussing practical questions related to the activities of shared interest </w:t>
      </w:r>
      <w:r w:rsidR="00E317ED">
        <w:t>to</w:t>
      </w:r>
      <w:r w:rsidR="00E317ED" w:rsidRPr="00E317ED">
        <w:t xml:space="preserve"> </w:t>
      </w:r>
      <w:r>
        <w:t>both parties</w:t>
      </w:r>
      <w:r w:rsidR="00E83AD6" w:rsidRPr="00E317ED">
        <w:t xml:space="preserve">. </w:t>
      </w:r>
      <w:r w:rsidR="00E22B7E" w:rsidRPr="00E317ED">
        <w:t xml:space="preserve">(2) </w:t>
      </w:r>
      <w:r w:rsidR="00E83AD6" w:rsidRPr="00E317ED">
        <w:t>Another, more focused</w:t>
      </w:r>
      <w:r w:rsidR="00E317ED">
        <w:t>,</w:t>
      </w:r>
      <w:r w:rsidR="00E83AD6" w:rsidRPr="00E317ED">
        <w:t xml:space="preserve"> </w:t>
      </w:r>
      <w:r>
        <w:t xml:space="preserve">joint </w:t>
      </w:r>
      <w:r w:rsidR="00345F8D" w:rsidRPr="00E317ED">
        <w:t>committee</w:t>
      </w:r>
      <w:r w:rsidR="00E83AD6" w:rsidRPr="00E317ED">
        <w:t xml:space="preserve"> </w:t>
      </w:r>
      <w:r>
        <w:t xml:space="preserve">between TVO and Eurajoki </w:t>
      </w:r>
      <w:r w:rsidR="00E83AD6" w:rsidRPr="00E317ED">
        <w:t xml:space="preserve">was established towards the end of </w:t>
      </w:r>
      <w:r>
        <w:t xml:space="preserve">the </w:t>
      </w:r>
      <w:r w:rsidR="00E83AD6" w:rsidRPr="00E317ED">
        <w:t>1980s</w:t>
      </w:r>
      <w:r>
        <w:t>,</w:t>
      </w:r>
      <w:r w:rsidR="00E22B7E" w:rsidRPr="00E317ED">
        <w:t xml:space="preserve"> when the preliminary site characterizations began. </w:t>
      </w:r>
      <w:r>
        <w:t>It</w:t>
      </w:r>
      <w:r w:rsidR="00E22B7E" w:rsidRPr="00C952B9">
        <w:t xml:space="preserve"> served as </w:t>
      </w:r>
      <w:r>
        <w:t xml:space="preserve">an </w:t>
      </w:r>
      <w:r w:rsidR="00E22B7E" w:rsidRPr="00C952B9">
        <w:t xml:space="preserve">arena for discussion and information exchange </w:t>
      </w:r>
      <w:r w:rsidR="00E317ED">
        <w:t>o</w:t>
      </w:r>
      <w:r w:rsidR="00E22B7E" w:rsidRPr="00E317ED">
        <w:t>n issues related to bedrock investigations.</w:t>
      </w:r>
      <w:r w:rsidR="002F716B" w:rsidRPr="00E317ED">
        <w:t xml:space="preserve"> In </w:t>
      </w:r>
      <w:r>
        <w:t>late</w:t>
      </w:r>
      <w:r w:rsidR="00E317ED">
        <w:t xml:space="preserve"> </w:t>
      </w:r>
      <w:r w:rsidR="002F716B" w:rsidRPr="00E317ED">
        <w:t>1990s</w:t>
      </w:r>
      <w:r>
        <w:t>,</w:t>
      </w:r>
      <w:r w:rsidR="002F716B" w:rsidRPr="00E317ED">
        <w:t xml:space="preserve"> issues related to Environmental Impact Assessment (EIA) were also discussed.</w:t>
      </w:r>
      <w:r w:rsidR="00EE08CE" w:rsidRPr="00E317ED">
        <w:t xml:space="preserve"> Later, </w:t>
      </w:r>
      <w:r w:rsidR="00E317ED">
        <w:t xml:space="preserve">Posiva replaced </w:t>
      </w:r>
      <w:r w:rsidR="00EE08CE" w:rsidRPr="00E317ED">
        <w:t xml:space="preserve">TVO </w:t>
      </w:r>
      <w:r w:rsidR="00E317ED">
        <w:t>o</w:t>
      </w:r>
      <w:r w:rsidR="00EE08CE" w:rsidRPr="00E317ED">
        <w:t xml:space="preserve">n this </w:t>
      </w:r>
      <w:r w:rsidR="008B5054" w:rsidRPr="00E317ED">
        <w:t>committee</w:t>
      </w:r>
      <w:r w:rsidR="00EE08CE" w:rsidRPr="00E317ED">
        <w:t>.</w:t>
      </w:r>
      <w:r w:rsidR="00E22B7E" w:rsidRPr="00E317ED">
        <w:t xml:space="preserve"> (3) The Vuojoki working party, established in 1998, </w:t>
      </w:r>
      <w:r>
        <w:t>dedicated to</w:t>
      </w:r>
      <w:r w:rsidR="00E22B7E" w:rsidRPr="00E317ED">
        <w:t xml:space="preserve"> discussion </w:t>
      </w:r>
      <w:r>
        <w:t>on</w:t>
      </w:r>
      <w:r w:rsidRPr="00E317ED">
        <w:t xml:space="preserve"> </w:t>
      </w:r>
      <w:r w:rsidR="00E22B7E" w:rsidRPr="00E317ED">
        <w:t>further cooperation between Eurajoki and Posiva.</w:t>
      </w:r>
      <w:r w:rsidR="00E83AD6" w:rsidRPr="00C952B9">
        <w:t xml:space="preserve"> </w:t>
      </w:r>
      <w:r w:rsidR="00723B7B" w:rsidRPr="00C952B9">
        <w:t xml:space="preserve">[4, </w:t>
      </w:r>
      <w:r w:rsidR="00442482" w:rsidRPr="00C952B9">
        <w:t>16</w:t>
      </w:r>
      <w:r w:rsidR="00723B7B" w:rsidRPr="00C952B9">
        <w:t>]</w:t>
      </w:r>
      <w:r w:rsidR="008B5054" w:rsidRPr="00C952B9">
        <w:t xml:space="preserve"> From</w:t>
      </w:r>
      <w:r w:rsidR="00EE08CE" w:rsidRPr="00C952B9">
        <w:t xml:space="preserve"> 2013 onwards </w:t>
      </w:r>
      <w:r w:rsidR="008B5054" w:rsidRPr="00C952B9">
        <w:t xml:space="preserve">the </w:t>
      </w:r>
      <w:r w:rsidR="00EE08CE" w:rsidRPr="00C952B9">
        <w:t xml:space="preserve">separate liaison </w:t>
      </w:r>
      <w:r w:rsidR="008B5054" w:rsidRPr="00C952B9">
        <w:t>committees</w:t>
      </w:r>
      <w:r w:rsidR="00EE08CE" w:rsidRPr="00C952B9">
        <w:t xml:space="preserve"> between Eurajoki and TVO and Eurajoki and Posiva were merged.</w:t>
      </w:r>
      <w:r w:rsidR="008B5054" w:rsidRPr="00C952B9">
        <w:t xml:space="preserve"> Unfortunately, despite many requests, </w:t>
      </w:r>
      <w:r w:rsidR="00723B7B" w:rsidRPr="00C952B9">
        <w:t>we</w:t>
      </w:r>
      <w:r w:rsidR="00EE08CE" w:rsidRPr="00C952B9">
        <w:t xml:space="preserve"> </w:t>
      </w:r>
      <w:r w:rsidR="00E317ED">
        <w:t>could</w:t>
      </w:r>
      <w:r w:rsidR="00E317ED" w:rsidRPr="00E317ED">
        <w:t xml:space="preserve"> </w:t>
      </w:r>
      <w:r w:rsidR="00EE08CE" w:rsidRPr="00E317ED">
        <w:t xml:space="preserve">not </w:t>
      </w:r>
      <w:r w:rsidR="00E317ED">
        <w:t>obtain from TVO</w:t>
      </w:r>
      <w:r w:rsidR="00E317ED" w:rsidRPr="00E317ED">
        <w:t xml:space="preserve"> </w:t>
      </w:r>
      <w:r w:rsidR="00EE08CE" w:rsidRPr="00E317ED">
        <w:t>the copies of the minutes of this new group.</w:t>
      </w:r>
    </w:p>
    <w:p w14:paraId="52FA474B" w14:textId="394406C4" w:rsidR="00947486" w:rsidRPr="00C952B9" w:rsidRDefault="00315564" w:rsidP="00AA18B4">
      <w:pPr>
        <w:pStyle w:val="BodyText"/>
      </w:pPr>
      <w:r w:rsidRPr="004045A0">
        <w:t xml:space="preserve">In the case </w:t>
      </w:r>
      <w:r w:rsidR="006B3C4E" w:rsidRPr="004045A0">
        <w:t xml:space="preserve">of </w:t>
      </w:r>
      <w:r w:rsidRPr="004045A0">
        <w:t>Östhammar</w:t>
      </w:r>
      <w:r w:rsidR="004045A0">
        <w:t>,</w:t>
      </w:r>
      <w:r w:rsidRPr="004045A0">
        <w:t xml:space="preserve"> the source material consisted of </w:t>
      </w:r>
      <w:r w:rsidR="004045A0">
        <w:t xml:space="preserve">the </w:t>
      </w:r>
      <w:r w:rsidRPr="004045A0">
        <w:t>annual activity reports of the municipality</w:t>
      </w:r>
      <w:r w:rsidR="001D395E" w:rsidRPr="004045A0">
        <w:t>’</w:t>
      </w:r>
      <w:r w:rsidRPr="004045A0">
        <w:t xml:space="preserve">s final disposal organisation, from 1997 to 2018. </w:t>
      </w:r>
      <w:r w:rsidR="004045A0">
        <w:t>We analysed t</w:t>
      </w:r>
      <w:r w:rsidRPr="004045A0">
        <w:t xml:space="preserve">he reports </w:t>
      </w:r>
      <w:r w:rsidR="004045A0">
        <w:t>from</w:t>
      </w:r>
      <w:r w:rsidRPr="004045A0">
        <w:t xml:space="preserve"> (1) the Reference group (Referensgruppen) 1997</w:t>
      </w:r>
      <w:r w:rsidR="00442482" w:rsidRPr="004045A0">
        <w:t>–</w:t>
      </w:r>
      <w:r w:rsidRPr="004045A0">
        <w:t>2003, (2) the Preparatory and Reference group (Beredningsgruppen, Referensgruppen) 2004</w:t>
      </w:r>
      <w:r w:rsidR="00442482" w:rsidRPr="004045A0">
        <w:t>–</w:t>
      </w:r>
      <w:r w:rsidRPr="004045A0">
        <w:t>2005, (3) the municipality</w:t>
      </w:r>
      <w:r w:rsidR="001D395E" w:rsidRPr="004045A0">
        <w:t>’</w:t>
      </w:r>
      <w:r w:rsidRPr="004045A0">
        <w:t>s work on SKB</w:t>
      </w:r>
      <w:r w:rsidR="001D395E" w:rsidRPr="004045A0">
        <w:t>’</w:t>
      </w:r>
      <w:r w:rsidRPr="004045A0">
        <w:t>s site investigation 2006, (4) the Final disposal project (Slutförvarsprojekt) 2007</w:t>
      </w:r>
      <w:r w:rsidR="00442482" w:rsidRPr="004045A0">
        <w:t>–</w:t>
      </w:r>
      <w:r w:rsidRPr="004045A0">
        <w:t xml:space="preserve">2009, </w:t>
      </w:r>
      <w:r w:rsidR="00DC0806">
        <w:t xml:space="preserve">(5) </w:t>
      </w:r>
      <w:r w:rsidRPr="004045A0">
        <w:t>the Review organisation (Granskningsorganisation) 2010</w:t>
      </w:r>
      <w:r w:rsidR="00442482" w:rsidRPr="004045A0">
        <w:t>–</w:t>
      </w:r>
      <w:r w:rsidRPr="004045A0">
        <w:t xml:space="preserve">2013 and </w:t>
      </w:r>
      <w:r w:rsidR="00DC0806">
        <w:t xml:space="preserve">(6) </w:t>
      </w:r>
      <w:r w:rsidRPr="004045A0">
        <w:t>the Final disposal organisation (Slutförvarsorgani</w:t>
      </w:r>
      <w:r w:rsidR="00F26C71" w:rsidRPr="004045A0">
        <w:t>sation) 2014</w:t>
      </w:r>
      <w:r w:rsidR="001662F7" w:rsidRPr="004045A0">
        <w:t>–</w:t>
      </w:r>
      <w:r w:rsidR="00F26C71" w:rsidRPr="004045A0">
        <w:t>2018. In addition,</w:t>
      </w:r>
      <w:r w:rsidRPr="004045A0">
        <w:t xml:space="preserve"> the reports of the SKB, the Swedish Government Inquiries series (Statens offentliga utredni</w:t>
      </w:r>
      <w:r w:rsidRPr="00C952B9">
        <w:t>ngar, SOU) reports, were consulted.</w:t>
      </w:r>
    </w:p>
    <w:p w14:paraId="3023AFBE" w14:textId="4D811FA3" w:rsidR="008B0674" w:rsidRPr="00C952B9" w:rsidRDefault="002F3009" w:rsidP="008B0674">
      <w:pPr>
        <w:pStyle w:val="Heading2"/>
      </w:pPr>
      <w:r w:rsidRPr="00C952B9">
        <w:rPr>
          <w:caps w:val="0"/>
        </w:rPr>
        <w:lastRenderedPageBreak/>
        <w:t>FLEXIBLE SIT</w:t>
      </w:r>
      <w:r w:rsidR="00722E53" w:rsidRPr="00C952B9">
        <w:rPr>
          <w:caps w:val="0"/>
        </w:rPr>
        <w:t>E SELECTION</w:t>
      </w:r>
      <w:r w:rsidRPr="00C952B9">
        <w:rPr>
          <w:caps w:val="0"/>
        </w:rPr>
        <w:t xml:space="preserve"> STRATEG</w:t>
      </w:r>
      <w:r w:rsidR="00722E53" w:rsidRPr="00C952B9">
        <w:rPr>
          <w:caps w:val="0"/>
        </w:rPr>
        <w:t>IES</w:t>
      </w:r>
    </w:p>
    <w:p w14:paraId="18E0D921" w14:textId="57583181" w:rsidR="002F3009" w:rsidRPr="00C952B9" w:rsidRDefault="002F3009" w:rsidP="00030A83">
      <w:pPr>
        <w:pStyle w:val="Heading3"/>
      </w:pPr>
      <w:r w:rsidRPr="00C952B9">
        <w:t>Sweden</w:t>
      </w:r>
      <w:r w:rsidR="007D067A" w:rsidRPr="00C952B9">
        <w:t xml:space="preserve"> – voluntariness as </w:t>
      </w:r>
      <w:r w:rsidR="00306A42" w:rsidRPr="00C952B9">
        <w:t>the</w:t>
      </w:r>
      <w:r w:rsidR="00905A4B" w:rsidRPr="00C952B9">
        <w:t xml:space="preserve"> </w:t>
      </w:r>
      <w:r w:rsidR="007D067A" w:rsidRPr="00C952B9">
        <w:t xml:space="preserve">principle </w:t>
      </w:r>
    </w:p>
    <w:p w14:paraId="04F68BDA" w14:textId="51D4295E" w:rsidR="002F3009" w:rsidRPr="008E581A" w:rsidRDefault="002F3009" w:rsidP="002F3009">
      <w:pPr>
        <w:pStyle w:val="BodyText"/>
      </w:pPr>
      <w:r w:rsidRPr="00C952B9">
        <w:t xml:space="preserve">Repository siting in Sweden started with a systematic geo-scientific research programme </w:t>
      </w:r>
      <w:r w:rsidR="008E581A">
        <w:t xml:space="preserve">at the beginning </w:t>
      </w:r>
      <w:r w:rsidRPr="008E581A">
        <w:t xml:space="preserve">of the 1980s. </w:t>
      </w:r>
      <w:r w:rsidR="006E5859">
        <w:t>E</w:t>
      </w:r>
      <w:r w:rsidRPr="008E581A">
        <w:t xml:space="preserve">scalating protests and opposition forced </w:t>
      </w:r>
      <w:r w:rsidR="006E5859">
        <w:t xml:space="preserve">SKB </w:t>
      </w:r>
      <w:r w:rsidRPr="008E581A">
        <w:t xml:space="preserve">to discontinue the </w:t>
      </w:r>
      <w:r w:rsidR="006E5859">
        <w:t>test drillings</w:t>
      </w:r>
      <w:r w:rsidR="009B31E5" w:rsidRPr="008E581A">
        <w:t xml:space="preserve"> in 1985</w:t>
      </w:r>
      <w:r w:rsidRPr="008E581A">
        <w:t xml:space="preserve"> </w:t>
      </w:r>
      <w:r w:rsidR="00635CEE" w:rsidRPr="008E581A">
        <w:t>[</w:t>
      </w:r>
      <w:r w:rsidR="003308B3" w:rsidRPr="008E581A">
        <w:t>17</w:t>
      </w:r>
      <w:r w:rsidR="00635CEE" w:rsidRPr="008E581A">
        <w:t>]</w:t>
      </w:r>
      <w:r w:rsidRPr="008E581A">
        <w:t xml:space="preserve">. </w:t>
      </w:r>
    </w:p>
    <w:p w14:paraId="015FDAE7" w14:textId="7499BB65" w:rsidR="002F3009" w:rsidRPr="00C952B9" w:rsidRDefault="006B2589" w:rsidP="001C1D12">
      <w:pPr>
        <w:pStyle w:val="BodyText"/>
      </w:pPr>
      <w:r>
        <w:t xml:space="preserve">As Elam and Sundqvist </w:t>
      </w:r>
      <w:r w:rsidRPr="00C952B9">
        <w:t>[18]</w:t>
      </w:r>
      <w:r>
        <w:t xml:space="preserve"> have documented,</w:t>
      </w:r>
      <w:r w:rsidRPr="00C952B9">
        <w:t xml:space="preserve"> </w:t>
      </w:r>
      <w:r>
        <w:t>a</w:t>
      </w:r>
      <w:r w:rsidR="002F3009" w:rsidRPr="00C952B9">
        <w:t>fter discontinuation of field studies</w:t>
      </w:r>
      <w:r>
        <w:t>,</w:t>
      </w:r>
      <w:r w:rsidR="002F3009" w:rsidRPr="00C952B9">
        <w:t xml:space="preserve"> SKB</w:t>
      </w:r>
      <w:r w:rsidR="009B31E5" w:rsidRPr="00C952B9">
        <w:t xml:space="preserve"> </w:t>
      </w:r>
      <w:r w:rsidR="002F3009" w:rsidRPr="00C952B9">
        <w:t>postulated</w:t>
      </w:r>
      <w:r w:rsidR="009B31E5" w:rsidRPr="00C952B9">
        <w:t xml:space="preserve"> in</w:t>
      </w:r>
      <w:r w:rsidR="002F3009" w:rsidRPr="00C952B9">
        <w:t xml:space="preserve"> 1986 that besides geology also </w:t>
      </w:r>
      <w:r w:rsidR="005B28A9" w:rsidRPr="00C952B9">
        <w:t>“</w:t>
      </w:r>
      <w:r w:rsidR="002F3009" w:rsidRPr="00C952B9">
        <w:t>other factors of importance to society can be weighed in</w:t>
      </w:r>
      <w:r w:rsidR="009B31E5" w:rsidRPr="0096592E">
        <w:t>”</w:t>
      </w:r>
      <w:r w:rsidR="00800674">
        <w:t>.</w:t>
      </w:r>
      <w:r>
        <w:t xml:space="preserve"> Later,</w:t>
      </w:r>
      <w:r w:rsidR="009B31E5" w:rsidRPr="0096592E">
        <w:t xml:space="preserve"> </w:t>
      </w:r>
      <w:r>
        <w:t>i</w:t>
      </w:r>
      <w:r w:rsidR="009B31E5" w:rsidRPr="0096592E">
        <w:t>n 1989</w:t>
      </w:r>
      <w:r w:rsidR="0096592E">
        <w:t>,</w:t>
      </w:r>
      <w:r w:rsidR="009B31E5" w:rsidRPr="0096592E">
        <w:t xml:space="preserve"> SKB </w:t>
      </w:r>
      <w:r w:rsidR="002F3009" w:rsidRPr="0096592E">
        <w:t xml:space="preserve">determined that </w:t>
      </w:r>
      <w:r w:rsidR="009B31E5" w:rsidRPr="0096592E">
        <w:t xml:space="preserve">other factors </w:t>
      </w:r>
      <w:r w:rsidR="002F3009" w:rsidRPr="0096592E">
        <w:t xml:space="preserve">could be </w:t>
      </w:r>
      <w:r w:rsidR="005B28A9" w:rsidRPr="0096592E">
        <w:t>“</w:t>
      </w:r>
      <w:r w:rsidR="002F3009" w:rsidRPr="0096592E">
        <w:t>accorded greater importance in the siting</w:t>
      </w:r>
      <w:r w:rsidR="005B28A9" w:rsidRPr="0096592E">
        <w:t>”</w:t>
      </w:r>
      <w:r w:rsidR="002F3009" w:rsidRPr="0096592E">
        <w:t xml:space="preserve">, and finally </w:t>
      </w:r>
      <w:r w:rsidR="00B12822" w:rsidRPr="0096592E">
        <w:t xml:space="preserve">in 1992 </w:t>
      </w:r>
      <w:r w:rsidR="002F3009" w:rsidRPr="0096592E">
        <w:t xml:space="preserve">concluded that </w:t>
      </w:r>
      <w:r w:rsidR="0096592E">
        <w:t xml:space="preserve">the </w:t>
      </w:r>
      <w:r w:rsidR="00B12822" w:rsidRPr="0096592E">
        <w:t xml:space="preserve">selection of </w:t>
      </w:r>
      <w:r w:rsidR="002F3009" w:rsidRPr="0096592E">
        <w:t>candidate site</w:t>
      </w:r>
      <w:r w:rsidR="00B12822" w:rsidRPr="0096592E">
        <w:t>s</w:t>
      </w:r>
      <w:r w:rsidR="002F3009" w:rsidRPr="0096592E">
        <w:t xml:space="preserve"> should </w:t>
      </w:r>
      <w:r w:rsidR="0096592E">
        <w:t xml:space="preserve">at the first stage </w:t>
      </w:r>
      <w:r w:rsidR="002F3009" w:rsidRPr="0096592E">
        <w:t xml:space="preserve">not be based on geological considerations at all, but on pre-studies in municipalities that </w:t>
      </w:r>
      <w:r w:rsidR="006E5859">
        <w:t>express</w:t>
      </w:r>
      <w:r w:rsidR="006E5859" w:rsidRPr="0096592E">
        <w:t xml:space="preserve"> </w:t>
      </w:r>
      <w:r w:rsidR="005B28A9" w:rsidRPr="0096592E">
        <w:t>“</w:t>
      </w:r>
      <w:r w:rsidR="002F3009" w:rsidRPr="0096592E">
        <w:t>an interest</w:t>
      </w:r>
      <w:r w:rsidR="005B28A9" w:rsidRPr="0096592E">
        <w:t>”</w:t>
      </w:r>
      <w:r w:rsidR="002F3009" w:rsidRPr="0096592E">
        <w:t xml:space="preserve"> </w:t>
      </w:r>
      <w:r w:rsidR="00E871C7" w:rsidRPr="0096592E">
        <w:t>[18]</w:t>
      </w:r>
      <w:r w:rsidR="002F3009" w:rsidRPr="0096592E">
        <w:t>. Hence</w:t>
      </w:r>
      <w:r w:rsidR="0096592E">
        <w:t>,</w:t>
      </w:r>
      <w:r w:rsidR="002F3009" w:rsidRPr="0096592E">
        <w:t xml:space="preserve"> at the end of 1992</w:t>
      </w:r>
      <w:r w:rsidR="0096592E">
        <w:t>,</w:t>
      </w:r>
      <w:r w:rsidR="002F3009" w:rsidRPr="0096592E">
        <w:t xml:space="preserve"> SKB was ready to turn the tables on the opposition, by sending </w:t>
      </w:r>
      <w:r w:rsidR="0096592E">
        <w:t xml:space="preserve">a </w:t>
      </w:r>
      <w:r w:rsidR="002F3009" w:rsidRPr="0096592E">
        <w:t xml:space="preserve">letter to every municipality in the country, </w:t>
      </w:r>
      <w:r w:rsidR="006E5859">
        <w:t>inviting</w:t>
      </w:r>
      <w:r w:rsidR="002F3009" w:rsidRPr="0096592E">
        <w:t xml:space="preserve"> volunteers for feasibility studies </w:t>
      </w:r>
      <w:r w:rsidR="00E871C7" w:rsidRPr="00C952B9">
        <w:t>[18]</w:t>
      </w:r>
      <w:r w:rsidR="002F3009" w:rsidRPr="00C952B9">
        <w:t>.</w:t>
      </w:r>
    </w:p>
    <w:p w14:paraId="555D85F1" w14:textId="1CE9D9FA" w:rsidR="002F3009" w:rsidRPr="00BE18A5" w:rsidRDefault="002F3009" w:rsidP="002F3009">
      <w:pPr>
        <w:pStyle w:val="BodyText"/>
      </w:pPr>
      <w:r w:rsidRPr="00C952B9">
        <w:t>SKB</w:t>
      </w:r>
      <w:r w:rsidR="005B28A9" w:rsidRPr="00C952B9">
        <w:t>’</w:t>
      </w:r>
      <w:r w:rsidRPr="00C952B9">
        <w:t>s decision changed municipalities</w:t>
      </w:r>
      <w:r w:rsidR="005B28A9" w:rsidRPr="00C952B9">
        <w:t>’</w:t>
      </w:r>
      <w:r w:rsidRPr="00C952B9">
        <w:t xml:space="preserve"> standing in the process. In this new situation both </w:t>
      </w:r>
      <w:r w:rsidR="00296C1A">
        <w:t xml:space="preserve">the </w:t>
      </w:r>
      <w:r w:rsidRPr="00296C1A">
        <w:t xml:space="preserve">implementer and </w:t>
      </w:r>
      <w:r w:rsidR="00296C1A">
        <w:t xml:space="preserve">the </w:t>
      </w:r>
      <w:r w:rsidRPr="00296C1A">
        <w:t xml:space="preserve">municipality can be seen as strategic actors negotiating their interests </w:t>
      </w:r>
      <w:r w:rsidR="0055047B" w:rsidRPr="00296C1A">
        <w:t>[</w:t>
      </w:r>
      <w:r w:rsidR="003308B3" w:rsidRPr="00296C1A">
        <w:t>19</w:t>
      </w:r>
      <w:r w:rsidR="0055047B" w:rsidRPr="00296C1A">
        <w:t>]</w:t>
      </w:r>
      <w:r w:rsidRPr="00296C1A">
        <w:t xml:space="preserve">. </w:t>
      </w:r>
      <w:r w:rsidR="00296C1A">
        <w:t>The m</w:t>
      </w:r>
      <w:r w:rsidRPr="00296C1A">
        <w:t xml:space="preserve">unicipality has </w:t>
      </w:r>
      <w:r w:rsidR="00296C1A">
        <w:t xml:space="preserve">an </w:t>
      </w:r>
      <w:r w:rsidRPr="00296C1A">
        <w:t xml:space="preserve">opportunity to voice its interests, give its input to the process and stands to gain prosperity, and </w:t>
      </w:r>
      <w:r w:rsidR="00296C1A">
        <w:t>the</w:t>
      </w:r>
      <w:r w:rsidRPr="00296C1A">
        <w:t xml:space="preserve"> implementer, </w:t>
      </w:r>
      <w:r w:rsidR="00296C1A" w:rsidRPr="00296C1A">
        <w:t xml:space="preserve">in turn, </w:t>
      </w:r>
      <w:r w:rsidRPr="00296C1A">
        <w:t>surrender</w:t>
      </w:r>
      <w:r w:rsidR="00296C1A">
        <w:t>s</w:t>
      </w:r>
      <w:r w:rsidRPr="00296C1A">
        <w:t xml:space="preserve"> some control over the process </w:t>
      </w:r>
      <w:r w:rsidR="00296C1A">
        <w:t xml:space="preserve">but </w:t>
      </w:r>
      <w:r w:rsidRPr="00296C1A">
        <w:t xml:space="preserve">stands to gain legitimacy for its aspirations and chance to conduct investigations </w:t>
      </w:r>
      <w:r w:rsidR="0055047B" w:rsidRPr="00296C1A">
        <w:t>[cf. 18]</w:t>
      </w:r>
      <w:r w:rsidRPr="00296C1A">
        <w:t xml:space="preserve">. </w:t>
      </w:r>
      <w:r w:rsidR="009C1C3C" w:rsidRPr="00296C1A">
        <w:t>However</w:t>
      </w:r>
      <w:r w:rsidRPr="00296C1A">
        <w:t>, the opportunity interested only a few remote municipalities</w:t>
      </w:r>
      <w:r w:rsidR="009C1C3C" w:rsidRPr="00296C1A">
        <w:t xml:space="preserve"> </w:t>
      </w:r>
      <w:r w:rsidR="0055047B" w:rsidRPr="00296C1A">
        <w:t>[</w:t>
      </w:r>
      <w:r w:rsidR="003308B3" w:rsidRPr="00296C1A">
        <w:t>20</w:t>
      </w:r>
      <w:r w:rsidR="0055047B" w:rsidRPr="00BE18A5">
        <w:t>]</w:t>
      </w:r>
      <w:r w:rsidR="009C1C3C" w:rsidRPr="00BE18A5">
        <w:t xml:space="preserve"> and</w:t>
      </w:r>
      <w:r w:rsidRPr="00BE18A5">
        <w:t xml:space="preserve"> SKB had to, again, come up with </w:t>
      </w:r>
      <w:r w:rsidR="00296C1A">
        <w:t>a</w:t>
      </w:r>
      <w:r w:rsidR="00296C1A" w:rsidRPr="00BE18A5">
        <w:t xml:space="preserve"> </w:t>
      </w:r>
      <w:r w:rsidRPr="00BE18A5">
        <w:t>back</w:t>
      </w:r>
      <w:r w:rsidR="00296C1A">
        <w:t>-</w:t>
      </w:r>
      <w:r w:rsidRPr="00BE18A5">
        <w:t>up plan.</w:t>
      </w:r>
    </w:p>
    <w:p w14:paraId="7C28308A" w14:textId="2CD1FD08" w:rsidR="007C4BDE" w:rsidRPr="00785550" w:rsidRDefault="009C1C3C" w:rsidP="00510FE4">
      <w:pPr>
        <w:pStyle w:val="BodyText"/>
      </w:pPr>
      <w:r w:rsidRPr="00C952B9">
        <w:t>A</w:t>
      </w:r>
      <w:r w:rsidR="002F3009" w:rsidRPr="00AC7F85">
        <w:t>t the</w:t>
      </w:r>
      <w:r w:rsidR="002F3009" w:rsidRPr="00FF4CD5">
        <w:t xml:space="preserve"> same time, siting of </w:t>
      </w:r>
      <w:r w:rsidR="007C4BDE" w:rsidRPr="009A6752">
        <w:t xml:space="preserve">the </w:t>
      </w:r>
      <w:r w:rsidR="002F3009" w:rsidRPr="009A6752">
        <w:t xml:space="preserve">central temporary storage facility for long-lived radioactive waste (CLAB) </w:t>
      </w:r>
      <w:r w:rsidR="00785550">
        <w:t xml:space="preserve">in </w:t>
      </w:r>
      <w:r w:rsidR="00785550" w:rsidRPr="00130573">
        <w:t xml:space="preserve">Oskarshamn </w:t>
      </w:r>
      <w:r w:rsidR="002F3009" w:rsidRPr="009A6752">
        <w:t xml:space="preserve">and </w:t>
      </w:r>
      <w:r w:rsidR="00785550">
        <w:t xml:space="preserve">of </w:t>
      </w:r>
      <w:r w:rsidR="007C4BDE" w:rsidRPr="00825E3E">
        <w:t xml:space="preserve">the </w:t>
      </w:r>
      <w:r w:rsidR="002F3009" w:rsidRPr="00C44243">
        <w:t xml:space="preserve">repository for short-lived radioactive waste (SFR) in </w:t>
      </w:r>
      <w:r w:rsidR="007C4BDE" w:rsidRPr="00130573">
        <w:t>Östhammar</w:t>
      </w:r>
      <w:r w:rsidR="002F3009" w:rsidRPr="00130573">
        <w:t xml:space="preserve"> had not posed any significant problems. SKB </w:t>
      </w:r>
      <w:r w:rsidR="004E2A49">
        <w:t>therefore considered</w:t>
      </w:r>
      <w:r w:rsidR="004E2A49" w:rsidRPr="00995716">
        <w:t xml:space="preserve"> </w:t>
      </w:r>
      <w:r w:rsidR="002F3009" w:rsidRPr="00995716">
        <w:t xml:space="preserve">that </w:t>
      </w:r>
      <w:r w:rsidR="005B28A9" w:rsidRPr="00CA148A">
        <w:t>“</w:t>
      </w:r>
      <w:r w:rsidR="002F3009" w:rsidRPr="00AF2180">
        <w:t xml:space="preserve">[o]pportunities in municipalities that already have nuclear activity should also be </w:t>
      </w:r>
      <w:r w:rsidR="004E2A49">
        <w:t>explored</w:t>
      </w:r>
      <w:r w:rsidR="002F3009" w:rsidRPr="00AF2180">
        <w:t xml:space="preserve"> [translation by an author]</w:t>
      </w:r>
      <w:r w:rsidR="005B28A9" w:rsidRPr="004045A0">
        <w:t>”</w:t>
      </w:r>
      <w:r w:rsidR="002F3009" w:rsidRPr="004045A0">
        <w:t xml:space="preserve"> </w:t>
      </w:r>
      <w:r w:rsidR="00050240" w:rsidRPr="004045A0">
        <w:t>[</w:t>
      </w:r>
      <w:r w:rsidR="002651F3" w:rsidRPr="004045A0">
        <w:t>21</w:t>
      </w:r>
      <w:r w:rsidR="00050240" w:rsidRPr="004045A0">
        <w:t>]</w:t>
      </w:r>
      <w:r w:rsidR="002F3009" w:rsidRPr="004045A0">
        <w:t xml:space="preserve"> and that </w:t>
      </w:r>
      <w:r w:rsidR="005B28A9" w:rsidRPr="004045A0">
        <w:t>“</w:t>
      </w:r>
      <w:r w:rsidR="002F3009" w:rsidRPr="004045A0">
        <w:t>it is of interest to conduct feasibility studies in municipalities with existing nuclear activities</w:t>
      </w:r>
      <w:r w:rsidR="005B28A9" w:rsidRPr="0096592E">
        <w:t>”</w:t>
      </w:r>
      <w:r w:rsidR="002F3009" w:rsidRPr="0096592E">
        <w:t xml:space="preserve"> </w:t>
      </w:r>
      <w:r w:rsidR="00050240" w:rsidRPr="0096592E">
        <w:t>[</w:t>
      </w:r>
      <w:r w:rsidR="002651F3" w:rsidRPr="0096592E">
        <w:t>22</w:t>
      </w:r>
      <w:r w:rsidR="00050240" w:rsidRPr="0096592E">
        <w:t>]</w:t>
      </w:r>
      <w:r w:rsidR="002F3009" w:rsidRPr="0096592E">
        <w:t xml:space="preserve">. The nuclear communities considered </w:t>
      </w:r>
      <w:r w:rsidR="004E2A49">
        <w:t>as</w:t>
      </w:r>
      <w:r w:rsidR="00785550">
        <w:t xml:space="preserve"> the</w:t>
      </w:r>
      <w:r w:rsidR="004E2A49">
        <w:t xml:space="preserve"> </w:t>
      </w:r>
      <w:r w:rsidR="002F3009" w:rsidRPr="0096592E">
        <w:t>most promising were informed of SKB</w:t>
      </w:r>
      <w:r w:rsidR="005B28A9" w:rsidRPr="0097202B">
        <w:t>’</w:t>
      </w:r>
      <w:r w:rsidR="002F3009" w:rsidRPr="0097202B">
        <w:t>s interest</w:t>
      </w:r>
      <w:r w:rsidR="00DD0B36" w:rsidRPr="0097202B">
        <w:t>,</w:t>
      </w:r>
      <w:r w:rsidR="002F3009" w:rsidRPr="0097202B">
        <w:t xml:space="preserve"> </w:t>
      </w:r>
      <w:r w:rsidR="00DD0B36" w:rsidRPr="0097202B">
        <w:t xml:space="preserve">confirmed via </w:t>
      </w:r>
      <w:r w:rsidR="00785550">
        <w:t xml:space="preserve">a </w:t>
      </w:r>
      <w:r w:rsidR="002F3009" w:rsidRPr="0097202B">
        <w:t xml:space="preserve">letter in May 1995. As a result of </w:t>
      </w:r>
      <w:r w:rsidR="00785550">
        <w:t xml:space="preserve">a </w:t>
      </w:r>
      <w:r w:rsidR="002F3009" w:rsidRPr="0097202B">
        <w:t>series of di</w:t>
      </w:r>
      <w:r w:rsidR="002F3009" w:rsidRPr="004E2A49">
        <w:t xml:space="preserve">sappointments, SKB </w:t>
      </w:r>
      <w:r w:rsidR="00DD0B36" w:rsidRPr="004E2A49">
        <w:t>ended up</w:t>
      </w:r>
      <w:r w:rsidR="002F3009" w:rsidRPr="004E2A49">
        <w:t xml:space="preserve"> to the negotiation table with experienced </w:t>
      </w:r>
      <w:r w:rsidR="007C4BDE" w:rsidRPr="004E2A49">
        <w:t>communit</w:t>
      </w:r>
      <w:r w:rsidR="00DD0B36" w:rsidRPr="004E2A49">
        <w:t>y stakeholders</w:t>
      </w:r>
      <w:r w:rsidR="007C4BDE" w:rsidRPr="004E2A49">
        <w:t xml:space="preserve"> </w:t>
      </w:r>
      <w:r w:rsidR="002F3009" w:rsidRPr="004E2A49">
        <w:t xml:space="preserve">recognising </w:t>
      </w:r>
      <w:r w:rsidR="005B28A9" w:rsidRPr="004E2A49">
        <w:t>“</w:t>
      </w:r>
      <w:r w:rsidR="002F3009" w:rsidRPr="004E2A49">
        <w:t>a strategic opportunity to re-negotiate their established relationship with SKB</w:t>
      </w:r>
      <w:r w:rsidR="005B28A9" w:rsidRPr="004E2A49">
        <w:t>”</w:t>
      </w:r>
      <w:r w:rsidR="002F3009" w:rsidRPr="004E2A49">
        <w:t xml:space="preserve"> </w:t>
      </w:r>
      <w:r w:rsidR="00050240" w:rsidRPr="004E2A49">
        <w:t>[18]</w:t>
      </w:r>
      <w:r w:rsidR="002F3009" w:rsidRPr="004E2A49">
        <w:t>.</w:t>
      </w:r>
      <w:r w:rsidR="007C4BDE" w:rsidRPr="004E2A49">
        <w:t xml:space="preserve"> </w:t>
      </w:r>
      <w:r w:rsidR="00785550">
        <w:t>Thanks to the</w:t>
      </w:r>
      <w:r w:rsidR="007C4BDE" w:rsidRPr="004E2A49">
        <w:t xml:space="preserve"> chang</w:t>
      </w:r>
      <w:r w:rsidR="00785550">
        <w:t>e</w:t>
      </w:r>
      <w:r w:rsidR="007C4BDE" w:rsidRPr="004E2A49">
        <w:t xml:space="preserve"> </w:t>
      </w:r>
      <w:r w:rsidR="00785550">
        <w:t>in</w:t>
      </w:r>
      <w:r w:rsidR="007C4BDE" w:rsidRPr="004E2A49">
        <w:t xml:space="preserve"> its siting strategy</w:t>
      </w:r>
      <w:r w:rsidR="00785550">
        <w:t>,</w:t>
      </w:r>
      <w:r w:rsidR="007C4BDE" w:rsidRPr="004E2A49">
        <w:t xml:space="preserve"> SKB was able, in the end</w:t>
      </w:r>
      <w:r w:rsidR="007C4BDE" w:rsidRPr="00785550">
        <w:t xml:space="preserve">, </w:t>
      </w:r>
      <w:r w:rsidR="00785550">
        <w:t xml:space="preserve">to </w:t>
      </w:r>
      <w:r w:rsidR="007C4BDE" w:rsidRPr="00785550">
        <w:t>carry out feasibility studies in eight municipalities in 1992–2000. Oskarshamn and Östhammar, the hosts of CLAB and SFR, agreed to participate in site investigations</w:t>
      </w:r>
      <w:r w:rsidR="00785550">
        <w:t>,</w:t>
      </w:r>
      <w:r w:rsidR="007C4BDE" w:rsidRPr="00785550">
        <w:t xml:space="preserve"> which finally started in 2002. [</w:t>
      </w:r>
      <w:r w:rsidR="003308B3" w:rsidRPr="00785550">
        <w:t>19</w:t>
      </w:r>
      <w:r w:rsidR="007C4BDE" w:rsidRPr="00785550">
        <w:t>]. SKB announced Östhammar as the host community of the repository in 2009.</w:t>
      </w:r>
    </w:p>
    <w:p w14:paraId="0CF763ED" w14:textId="6D700597" w:rsidR="00145253" w:rsidRPr="00785550" w:rsidRDefault="00145253" w:rsidP="00030A83">
      <w:pPr>
        <w:pStyle w:val="Heading3"/>
      </w:pPr>
      <w:r w:rsidRPr="00785550">
        <w:t>Finland</w:t>
      </w:r>
      <w:r w:rsidR="007D067A" w:rsidRPr="00785550">
        <w:t xml:space="preserve"> – </w:t>
      </w:r>
      <w:r w:rsidR="00306A42" w:rsidRPr="00785550">
        <w:t xml:space="preserve">a </w:t>
      </w:r>
      <w:r w:rsidR="007D067A" w:rsidRPr="00785550">
        <w:t>semi-voluntary approach</w:t>
      </w:r>
    </w:p>
    <w:p w14:paraId="521C1AF9" w14:textId="1B823B07" w:rsidR="00145253" w:rsidRPr="00F9474F" w:rsidRDefault="00145253" w:rsidP="009A5492">
      <w:pPr>
        <w:pStyle w:val="BodyText"/>
      </w:pPr>
      <w:r w:rsidRPr="00785550">
        <w:t xml:space="preserve">In Finland, </w:t>
      </w:r>
      <w:r w:rsidR="00785550">
        <w:t xml:space="preserve">the </w:t>
      </w:r>
      <w:r w:rsidRPr="00785550">
        <w:t xml:space="preserve">state-owned Imatran Voima (IVO) transported SNF to the Soviet Union and Russia until 1996. </w:t>
      </w:r>
      <w:r w:rsidR="00785550">
        <w:t>The p</w:t>
      </w:r>
      <w:r w:rsidRPr="00785550">
        <w:t>rivately owned TVO, however, found out that international reprocessing or final disposal options were not readily and cost effectively available</w:t>
      </w:r>
      <w:r w:rsidR="00325B31" w:rsidRPr="00785550">
        <w:t>.</w:t>
      </w:r>
      <w:r w:rsidRPr="00785550">
        <w:t xml:space="preserve"> </w:t>
      </w:r>
      <w:r w:rsidR="00325B31" w:rsidRPr="00785550">
        <w:t xml:space="preserve">The </w:t>
      </w:r>
      <w:r w:rsidRPr="00785550">
        <w:t>work</w:t>
      </w:r>
      <w:r w:rsidR="00785550">
        <w:t>ing</w:t>
      </w:r>
      <w:r w:rsidRPr="00785550">
        <w:t xml:space="preserve"> group set </w:t>
      </w:r>
      <w:r w:rsidR="00785550">
        <w:t xml:space="preserve">up </w:t>
      </w:r>
      <w:r w:rsidRPr="00785550">
        <w:t xml:space="preserve">by </w:t>
      </w:r>
      <w:r w:rsidR="00785550">
        <w:t xml:space="preserve">the </w:t>
      </w:r>
      <w:r w:rsidRPr="00785550">
        <w:t xml:space="preserve">Ministry of Trade and Industry concluded that if </w:t>
      </w:r>
      <w:r w:rsidR="00785550">
        <w:t xml:space="preserve">an </w:t>
      </w:r>
      <w:r w:rsidR="00325B31" w:rsidRPr="00785550">
        <w:t>international contract</w:t>
      </w:r>
      <w:r w:rsidRPr="00785550">
        <w:t xml:space="preserve"> could not be achieved by 1983</w:t>
      </w:r>
      <w:r w:rsidR="00785550">
        <w:t>,</w:t>
      </w:r>
      <w:r w:rsidRPr="00785550">
        <w:t xml:space="preserve"> investigations </w:t>
      </w:r>
      <w:r w:rsidR="006A380B" w:rsidRPr="00785550">
        <w:t xml:space="preserve">for </w:t>
      </w:r>
      <w:r w:rsidR="00785550">
        <w:t>a</w:t>
      </w:r>
      <w:r w:rsidR="00785550" w:rsidRPr="00785550">
        <w:t xml:space="preserve"> </w:t>
      </w:r>
      <w:r w:rsidRPr="00785550">
        <w:t xml:space="preserve">domestic option should be started. </w:t>
      </w:r>
      <w:r w:rsidR="00B025D8" w:rsidRPr="00785550">
        <w:t xml:space="preserve">After </w:t>
      </w:r>
      <w:r w:rsidR="00785550">
        <w:t xml:space="preserve">having </w:t>
      </w:r>
      <w:r w:rsidR="00B025D8" w:rsidRPr="00785550">
        <w:t>screen</w:t>
      </w:r>
      <w:r w:rsidR="00785550">
        <w:t>ed</w:t>
      </w:r>
      <w:r w:rsidR="00B025D8" w:rsidRPr="00785550">
        <w:t xml:space="preserve"> </w:t>
      </w:r>
      <w:r w:rsidR="00F9474F">
        <w:t xml:space="preserve">geology in </w:t>
      </w:r>
      <w:r w:rsidR="00B025D8" w:rsidRPr="00785550">
        <w:t>the</w:t>
      </w:r>
      <w:r w:rsidR="00F9474F">
        <w:t xml:space="preserve"> entire country</w:t>
      </w:r>
      <w:r w:rsidR="00F43EDB" w:rsidRPr="00785550">
        <w:t xml:space="preserve"> </w:t>
      </w:r>
      <w:r w:rsidR="006E5859">
        <w:t>in</w:t>
      </w:r>
      <w:r w:rsidR="006E5859" w:rsidRPr="00785550">
        <w:t xml:space="preserve"> </w:t>
      </w:r>
      <w:r w:rsidR="00F43EDB" w:rsidRPr="00785550">
        <w:t>1983</w:t>
      </w:r>
      <w:r w:rsidR="009A5492" w:rsidRPr="00785550">
        <w:t>–</w:t>
      </w:r>
      <w:r w:rsidR="00F43EDB" w:rsidRPr="00785550">
        <w:t>1985</w:t>
      </w:r>
      <w:r w:rsidR="004C61B3" w:rsidRPr="00785550">
        <w:t>,</w:t>
      </w:r>
      <w:r w:rsidR="00B025D8" w:rsidRPr="00785550">
        <w:t xml:space="preserve"> </w:t>
      </w:r>
      <w:r w:rsidRPr="00785550">
        <w:t xml:space="preserve">TVO submitted to the authorities a list of 102 </w:t>
      </w:r>
      <w:r w:rsidR="00F9474F">
        <w:t xml:space="preserve">potential </w:t>
      </w:r>
      <w:r w:rsidRPr="00785550">
        <w:t xml:space="preserve">areas. While others were selected </w:t>
      </w:r>
      <w:r w:rsidR="006E5859">
        <w:t>via</w:t>
      </w:r>
      <w:r w:rsidR="006E5859" w:rsidRPr="00785550">
        <w:t xml:space="preserve"> </w:t>
      </w:r>
      <w:r w:rsidR="006E5859">
        <w:t xml:space="preserve">a </w:t>
      </w:r>
      <w:r w:rsidRPr="00785550">
        <w:t xml:space="preserve">systematic elimination process, Olkiluoto in Eurajoki, </w:t>
      </w:r>
      <w:r w:rsidR="00293F3E">
        <w:t xml:space="preserve">as the </w:t>
      </w:r>
      <w:r w:rsidR="006E5859">
        <w:t>host</w:t>
      </w:r>
      <w:r w:rsidRPr="00785550">
        <w:t xml:space="preserve"> of </w:t>
      </w:r>
      <w:r w:rsidR="00293F3E">
        <w:t>TVO’s</w:t>
      </w:r>
      <w:r w:rsidR="006E5859" w:rsidRPr="00785550">
        <w:t xml:space="preserve"> </w:t>
      </w:r>
      <w:r w:rsidR="009303FC">
        <w:t>nuclear power plant (</w:t>
      </w:r>
      <w:r w:rsidRPr="00785550">
        <w:t>NPP</w:t>
      </w:r>
      <w:r w:rsidR="009303FC">
        <w:t>)</w:t>
      </w:r>
      <w:r w:rsidRPr="00785550">
        <w:t xml:space="preserve">, </w:t>
      </w:r>
      <w:r w:rsidR="003C1E1C" w:rsidRPr="00F9474F">
        <w:t>was</w:t>
      </w:r>
      <w:r w:rsidRPr="00F9474F">
        <w:t xml:space="preserve"> added </w:t>
      </w:r>
      <w:r w:rsidR="003C1E1C" w:rsidRPr="00F9474F">
        <w:t xml:space="preserve">to the list </w:t>
      </w:r>
      <w:r w:rsidRPr="00F9474F">
        <w:t xml:space="preserve">based on a separate review. After </w:t>
      </w:r>
      <w:r w:rsidR="00F9474F">
        <w:t xml:space="preserve">initial screening by </w:t>
      </w:r>
      <w:r w:rsidRPr="00F9474F">
        <w:t>the authorities</w:t>
      </w:r>
      <w:r w:rsidR="00F9474F">
        <w:t>,</w:t>
      </w:r>
      <w:r w:rsidRPr="00F9474F">
        <w:t xml:space="preserve"> the number </w:t>
      </w:r>
      <w:r w:rsidR="006E5859">
        <w:t>of</w:t>
      </w:r>
      <w:r w:rsidR="006E5859" w:rsidRPr="00F9474F">
        <w:t xml:space="preserve"> </w:t>
      </w:r>
      <w:r w:rsidRPr="00F9474F">
        <w:t xml:space="preserve">areas was reduced to 85. TVO informed in writing all municipalities </w:t>
      </w:r>
      <w:r w:rsidR="00F9474F">
        <w:t>hosting</w:t>
      </w:r>
      <w:r w:rsidR="00F9474F" w:rsidRPr="00F9474F">
        <w:t xml:space="preserve"> </w:t>
      </w:r>
      <w:r w:rsidRPr="00F9474F">
        <w:t xml:space="preserve">potential areas and proposed discussions </w:t>
      </w:r>
      <w:r w:rsidR="006E5859">
        <w:t>on</w:t>
      </w:r>
      <w:r w:rsidR="006E5859" w:rsidRPr="00F9474F">
        <w:t xml:space="preserve"> </w:t>
      </w:r>
      <w:r w:rsidRPr="00F9474F">
        <w:t xml:space="preserve">potential bedrock investigations. </w:t>
      </w:r>
      <w:r w:rsidR="0036141C" w:rsidRPr="00F9474F">
        <w:t>[</w:t>
      </w:r>
      <w:r w:rsidR="002651F3" w:rsidRPr="00F9474F">
        <w:t>16, 23</w:t>
      </w:r>
      <w:r w:rsidR="0036141C" w:rsidRPr="00F9474F">
        <w:t>]</w:t>
      </w:r>
      <w:r w:rsidRPr="00F9474F">
        <w:t>.</w:t>
      </w:r>
    </w:p>
    <w:p w14:paraId="267996A8" w14:textId="64D7DAA1" w:rsidR="00722E53" w:rsidRPr="00F9474F" w:rsidRDefault="00145253" w:rsidP="00722E53">
      <w:pPr>
        <w:pStyle w:val="BodyText"/>
      </w:pPr>
      <w:r w:rsidRPr="00F9474F">
        <w:t xml:space="preserve">The initial </w:t>
      </w:r>
      <w:r w:rsidR="00F9474F">
        <w:t>idea</w:t>
      </w:r>
      <w:r w:rsidR="00F9474F" w:rsidRPr="00F9474F">
        <w:t xml:space="preserve"> </w:t>
      </w:r>
      <w:r w:rsidR="00E02D0C" w:rsidRPr="00F9474F">
        <w:t>was that</w:t>
      </w:r>
      <w:r w:rsidRPr="00F9474F">
        <w:t xml:space="preserve"> TVO w</w:t>
      </w:r>
      <w:r w:rsidR="00E02D0C" w:rsidRPr="00F9474F">
        <w:t>ould</w:t>
      </w:r>
      <w:r w:rsidRPr="00F9474F">
        <w:t xml:space="preserve"> choose 5–10 areas for preliminary site characterization by the end of 1985</w:t>
      </w:r>
      <w:r w:rsidR="00E02D0C" w:rsidRPr="00C952B9">
        <w:t>,</w:t>
      </w:r>
      <w:r w:rsidRPr="00C952B9">
        <w:t xml:space="preserve"> but as the schedule was not met</w:t>
      </w:r>
      <w:r w:rsidR="00F9474F">
        <w:t>,</w:t>
      </w:r>
      <w:r w:rsidRPr="00F9474F">
        <w:t xml:space="preserve"> the Ministry of Trade and Industry urged TVO to choose the investigation sites one by one. </w:t>
      </w:r>
      <w:r w:rsidR="00325B31" w:rsidRPr="00C952B9">
        <w:t>TVO</w:t>
      </w:r>
      <w:r w:rsidR="00EA425A" w:rsidRPr="00C952B9">
        <w:t xml:space="preserve"> </w:t>
      </w:r>
      <w:r w:rsidR="00B025D8" w:rsidRPr="00C952B9">
        <w:t xml:space="preserve">announced </w:t>
      </w:r>
      <w:r w:rsidR="00EA425A" w:rsidRPr="00C952B9">
        <w:t xml:space="preserve">the </w:t>
      </w:r>
      <w:r w:rsidRPr="00C952B9">
        <w:t xml:space="preserve">first site </w:t>
      </w:r>
      <w:r w:rsidR="00DD4F34" w:rsidRPr="00C952B9">
        <w:t>in 1986</w:t>
      </w:r>
      <w:r w:rsidR="00EB1359" w:rsidRPr="00C952B9">
        <w:t xml:space="preserve">. </w:t>
      </w:r>
      <w:r w:rsidR="00E258EF" w:rsidRPr="00C952B9">
        <w:t>However, because of</w:t>
      </w:r>
      <w:r w:rsidRPr="00C952B9">
        <w:t xml:space="preserve"> local resistance and media attention </w:t>
      </w:r>
      <w:r w:rsidR="006E5859">
        <w:t>spurred by</w:t>
      </w:r>
      <w:r w:rsidRPr="00C952B9">
        <w:t xml:space="preserve"> the Chernobyl accident, the investigations </w:t>
      </w:r>
      <w:r w:rsidR="006E5859">
        <w:t>stopped</w:t>
      </w:r>
      <w:r w:rsidRPr="00C952B9">
        <w:t xml:space="preserve"> before they </w:t>
      </w:r>
      <w:r w:rsidR="006E5859">
        <w:t>had</w:t>
      </w:r>
      <w:r w:rsidR="006E5859" w:rsidRPr="00C952B9">
        <w:t xml:space="preserve"> </w:t>
      </w:r>
      <w:r w:rsidRPr="00C952B9">
        <w:t>even properly started.</w:t>
      </w:r>
      <w:r w:rsidR="00AE4A8F" w:rsidRPr="00C952B9">
        <w:t xml:space="preserve"> </w:t>
      </w:r>
      <w:r w:rsidR="00722E53" w:rsidRPr="00C952B9">
        <w:t>Formally</w:t>
      </w:r>
      <w:r w:rsidR="006E5859">
        <w:t>,</w:t>
      </w:r>
      <w:r w:rsidR="00722E53" w:rsidRPr="00C952B9">
        <w:t xml:space="preserve"> TVO needed the permission of the landowner only for the site investigations, but after the failure the company realized that local political support was needed. According to Nikula et al. </w:t>
      </w:r>
      <w:r w:rsidR="002651F3" w:rsidRPr="00C952B9">
        <w:t>[23]</w:t>
      </w:r>
      <w:r w:rsidR="00F9474F">
        <w:t>, a</w:t>
      </w:r>
      <w:r w:rsidR="00722E53" w:rsidRPr="00F9474F">
        <w:t xml:space="preserve"> favourable stance </w:t>
      </w:r>
      <w:r w:rsidR="00F9474F">
        <w:t>on the part of</w:t>
      </w:r>
      <w:r w:rsidR="00F9474F" w:rsidRPr="00F9474F">
        <w:t xml:space="preserve"> </w:t>
      </w:r>
      <w:r w:rsidR="00722E53" w:rsidRPr="00F9474F">
        <w:t xml:space="preserve">the municipality </w:t>
      </w:r>
      <w:r w:rsidR="006E5859">
        <w:t>influenced TVO’s decisions</w:t>
      </w:r>
      <w:r w:rsidR="00F9474F">
        <w:t>, alongside</w:t>
      </w:r>
      <w:r w:rsidR="00722E53" w:rsidRPr="00F9474F">
        <w:t xml:space="preserve"> land</w:t>
      </w:r>
      <w:r w:rsidR="00F9474F">
        <w:t xml:space="preserve">ownership </w:t>
      </w:r>
      <w:r w:rsidR="00722E53" w:rsidRPr="00F9474F">
        <w:t>and geolog</w:t>
      </w:r>
      <w:r w:rsidR="00F9474F">
        <w:t>ical conditions</w:t>
      </w:r>
      <w:r w:rsidR="00722E53" w:rsidRPr="00F9474F">
        <w:t xml:space="preserve">. TVO wanted to </w:t>
      </w:r>
      <w:r w:rsidR="00130912">
        <w:t>initiate</w:t>
      </w:r>
      <w:r w:rsidR="00722E53" w:rsidRPr="00F9474F">
        <w:t xml:space="preserve"> discussions with </w:t>
      </w:r>
      <w:r w:rsidR="00130912">
        <w:t xml:space="preserve">the </w:t>
      </w:r>
      <w:r w:rsidR="00722E53" w:rsidRPr="00F9474F">
        <w:t>municipalities</w:t>
      </w:r>
      <w:r w:rsidR="009A053A" w:rsidRPr="00F9474F">
        <w:t>,</w:t>
      </w:r>
      <w:r w:rsidR="00722E53" w:rsidRPr="00F9474F">
        <w:t xml:space="preserve"> </w:t>
      </w:r>
      <w:r w:rsidR="00AE4A8F" w:rsidRPr="00F9474F">
        <w:t xml:space="preserve">but </w:t>
      </w:r>
      <w:r w:rsidR="00130912">
        <w:t xml:space="preserve">did not </w:t>
      </w:r>
      <w:r w:rsidR="006E5859">
        <w:t xml:space="preserve">request </w:t>
      </w:r>
      <w:r w:rsidR="00130912">
        <w:t>the</w:t>
      </w:r>
      <w:r w:rsidR="006E5859">
        <w:t>ir</w:t>
      </w:r>
      <w:r w:rsidR="00130912">
        <w:t xml:space="preserve"> </w:t>
      </w:r>
      <w:r w:rsidR="00E73638" w:rsidRPr="00F9474F">
        <w:t xml:space="preserve">formal consent </w:t>
      </w:r>
      <w:r w:rsidR="00130912">
        <w:t xml:space="preserve">before starting the </w:t>
      </w:r>
      <w:r w:rsidR="00E73638" w:rsidRPr="00F9474F">
        <w:t>investigations</w:t>
      </w:r>
      <w:r w:rsidR="00D413B0" w:rsidRPr="00F9474F">
        <w:t>.</w:t>
      </w:r>
      <w:r w:rsidR="007D067A" w:rsidRPr="00F9474F">
        <w:t xml:space="preserve"> </w:t>
      </w:r>
      <w:r w:rsidR="00AE4A8F" w:rsidRPr="00F9474F">
        <w:t>T</w:t>
      </w:r>
      <w:r w:rsidR="007D067A" w:rsidRPr="00F9474F">
        <w:t>herefore</w:t>
      </w:r>
      <w:r w:rsidR="00130912">
        <w:t>,</w:t>
      </w:r>
      <w:r w:rsidR="007D067A" w:rsidRPr="00F9474F">
        <w:t xml:space="preserve"> although the proposed municipality </w:t>
      </w:r>
      <w:r w:rsidR="006E5859">
        <w:t>has</w:t>
      </w:r>
      <w:r w:rsidR="007D067A" w:rsidRPr="00F9474F">
        <w:t xml:space="preserve"> </w:t>
      </w:r>
      <w:r w:rsidR="006E5859">
        <w:t xml:space="preserve">a right of </w:t>
      </w:r>
      <w:r w:rsidR="007D067A" w:rsidRPr="00F9474F">
        <w:t>veto</w:t>
      </w:r>
      <w:r w:rsidR="00130912">
        <w:t xml:space="preserve"> </w:t>
      </w:r>
      <w:r w:rsidR="007D067A" w:rsidRPr="00F9474F">
        <w:t>in the Decision-in-Principle phase the strategy can be called semi-voluntary</w:t>
      </w:r>
      <w:r w:rsidR="003B05FB" w:rsidRPr="00F9474F">
        <w:t xml:space="preserve"> when compared to Sweden</w:t>
      </w:r>
      <w:r w:rsidR="00E73638" w:rsidRPr="00F9474F">
        <w:t>.</w:t>
      </w:r>
    </w:p>
    <w:p w14:paraId="1B43975A" w14:textId="4E52D45A" w:rsidR="00145253" w:rsidRPr="00C952B9" w:rsidRDefault="009A053A" w:rsidP="00145253">
      <w:pPr>
        <w:pStyle w:val="BodyText"/>
      </w:pPr>
      <w:r w:rsidRPr="00C952B9">
        <w:t>I</w:t>
      </w:r>
      <w:r w:rsidR="00145253" w:rsidRPr="00C952B9">
        <w:t>n 1987, TVO named five sites for preliminary site characterization</w:t>
      </w:r>
      <w:r w:rsidR="00623020" w:rsidRPr="00C952B9">
        <w:t xml:space="preserve"> and,</w:t>
      </w:r>
      <w:r w:rsidR="00145253" w:rsidRPr="00C952B9">
        <w:t xml:space="preserve"> </w:t>
      </w:r>
      <w:r w:rsidR="00623020" w:rsidRPr="00C952B9">
        <w:t>a</w:t>
      </w:r>
      <w:r w:rsidR="00145253" w:rsidRPr="00C952B9">
        <w:t>fter two of the sites were eliminated because of geological uncertainties</w:t>
      </w:r>
      <w:r w:rsidR="00623020" w:rsidRPr="00C952B9">
        <w:t>,</w:t>
      </w:r>
      <w:r w:rsidR="00145253" w:rsidRPr="00C952B9">
        <w:t xml:space="preserve"> detailed site characterizations were started at three sites in 1993 </w:t>
      </w:r>
      <w:r w:rsidR="0036141C" w:rsidRPr="00C952B9">
        <w:lastRenderedPageBreak/>
        <w:t>[</w:t>
      </w:r>
      <w:r w:rsidR="002651F3" w:rsidRPr="00C952B9">
        <w:t>23</w:t>
      </w:r>
      <w:r w:rsidR="0036141C" w:rsidRPr="00C952B9">
        <w:t>]</w:t>
      </w:r>
      <w:r w:rsidR="00CB3241">
        <w:t>.</w:t>
      </w:r>
      <w:r w:rsidR="00145253" w:rsidRPr="00CB3241">
        <w:t xml:space="preserve"> </w:t>
      </w:r>
      <w:r w:rsidR="00803AB2" w:rsidRPr="00CB3241">
        <w:t xml:space="preserve">Additionally, </w:t>
      </w:r>
      <w:r w:rsidR="00B91F69" w:rsidRPr="00CB3241">
        <w:t>a</w:t>
      </w:r>
      <w:r w:rsidR="00145253" w:rsidRPr="00CB3241">
        <w:t>fter</w:t>
      </w:r>
      <w:r w:rsidR="00414E85" w:rsidRPr="00CB3241">
        <w:t xml:space="preserve"> the</w:t>
      </w:r>
      <w:r w:rsidR="00145253" w:rsidRPr="00CB3241">
        <w:t xml:space="preserve"> </w:t>
      </w:r>
      <w:r w:rsidR="00B91F69" w:rsidRPr="00CB3241">
        <w:t xml:space="preserve">amendment of </w:t>
      </w:r>
      <w:r w:rsidR="00145253" w:rsidRPr="00CB3241">
        <w:t>the Finnish Nuclear Energy Act in 1994,</w:t>
      </w:r>
      <w:r w:rsidR="00CB3241">
        <w:t xml:space="preserve"> which</w:t>
      </w:r>
      <w:r w:rsidR="00145253" w:rsidRPr="00CB3241">
        <w:t xml:space="preserve"> ban</w:t>
      </w:r>
      <w:r w:rsidR="00B91F69" w:rsidRPr="00CB3241">
        <w:t>n</w:t>
      </w:r>
      <w:r w:rsidR="00CB3241">
        <w:t>ed</w:t>
      </w:r>
      <w:r w:rsidR="00145253" w:rsidRPr="00CB3241">
        <w:t xml:space="preserve"> </w:t>
      </w:r>
      <w:r w:rsidR="00CB3241">
        <w:t xml:space="preserve">the </w:t>
      </w:r>
      <w:r w:rsidR="00145253" w:rsidRPr="00CB3241">
        <w:t>export and import of nuclear waste</w:t>
      </w:r>
      <w:r w:rsidR="00414E85" w:rsidRPr="00CB3241">
        <w:t xml:space="preserve"> and</w:t>
      </w:r>
      <w:r w:rsidR="00145253" w:rsidRPr="00CB3241">
        <w:t xml:space="preserve"> terminat</w:t>
      </w:r>
      <w:r w:rsidR="00CB3241">
        <w:t>ed</w:t>
      </w:r>
      <w:r w:rsidR="00145253" w:rsidRPr="00CB3241">
        <w:t xml:space="preserve"> </w:t>
      </w:r>
      <w:r w:rsidR="00414E85" w:rsidRPr="00CB3241">
        <w:t>IVO</w:t>
      </w:r>
      <w:r w:rsidR="005B28A9" w:rsidRPr="00CB3241">
        <w:t>’</w:t>
      </w:r>
      <w:r w:rsidR="00414E85" w:rsidRPr="00CB3241">
        <w:t>s</w:t>
      </w:r>
      <w:r w:rsidR="00145253" w:rsidRPr="00CB3241">
        <w:t xml:space="preserve"> SNF transports to Russia, also Loviisa, the host community of IVO’s NPP, was brought in to the siting process as a special case, in </w:t>
      </w:r>
      <w:r w:rsidR="00CB3241">
        <w:t xml:space="preserve">a </w:t>
      </w:r>
      <w:r w:rsidR="00145253" w:rsidRPr="00CB3241">
        <w:t xml:space="preserve">similar manner as Eurajoki earlier. The detailed site investigations started in Loviisa in 1997. </w:t>
      </w:r>
      <w:r w:rsidR="0036141C" w:rsidRPr="00C952B9">
        <w:t>[</w:t>
      </w:r>
      <w:r w:rsidR="002651F3" w:rsidRPr="00C952B9">
        <w:t>24</w:t>
      </w:r>
      <w:r w:rsidR="0036141C" w:rsidRPr="00C952B9">
        <w:t>]</w:t>
      </w:r>
    </w:p>
    <w:p w14:paraId="0B1229D2" w14:textId="1F14500D" w:rsidR="00145253" w:rsidRPr="00C952B9" w:rsidRDefault="004433D5" w:rsidP="0017387A">
      <w:pPr>
        <w:pStyle w:val="BodyText"/>
      </w:pPr>
      <w:r w:rsidRPr="00C952B9">
        <w:t xml:space="preserve">In 1999 </w:t>
      </w:r>
      <w:r w:rsidR="00145253" w:rsidRPr="00C952B9">
        <w:t>Posiva</w:t>
      </w:r>
      <w:r w:rsidRPr="00C952B9">
        <w:t xml:space="preserve"> conclud</w:t>
      </w:r>
      <w:r w:rsidR="0017387A" w:rsidRPr="00C952B9">
        <w:t>ed that</w:t>
      </w:r>
      <w:r w:rsidR="00145253" w:rsidRPr="00C952B9">
        <w:t xml:space="preserve"> the main differences between the sites </w:t>
      </w:r>
      <w:r w:rsidR="00C503B6">
        <w:t>a</w:t>
      </w:r>
      <w:r w:rsidR="00145253" w:rsidRPr="00C503B6">
        <w:t xml:space="preserve">rose from </w:t>
      </w:r>
      <w:r w:rsidR="0017387A" w:rsidRPr="00C503B6">
        <w:t>the fact</w:t>
      </w:r>
      <w:r w:rsidRPr="00C503B6">
        <w:t xml:space="preserve"> </w:t>
      </w:r>
      <w:r w:rsidR="00145253" w:rsidRPr="00C503B6">
        <w:t>that</w:t>
      </w:r>
      <w:r w:rsidR="00C503B6">
        <w:t>,</w:t>
      </w:r>
      <w:r w:rsidR="00145253" w:rsidRPr="00C503B6">
        <w:t xml:space="preserve"> </w:t>
      </w:r>
      <w:r w:rsidR="00C503B6" w:rsidRPr="00F277E1">
        <w:t>as nuclear communities</w:t>
      </w:r>
      <w:r w:rsidR="00C503B6">
        <w:t>,</w:t>
      </w:r>
      <w:r w:rsidR="00C503B6" w:rsidRPr="00F277E1">
        <w:t xml:space="preserve"> </w:t>
      </w:r>
      <w:r w:rsidR="00145253" w:rsidRPr="00C503B6">
        <w:t xml:space="preserve">Eurajoki and Loviisa would be more </w:t>
      </w:r>
      <w:r w:rsidR="00C503B6">
        <w:t>willing and prepared</w:t>
      </w:r>
      <w:r w:rsidR="00C503B6" w:rsidRPr="00C503B6">
        <w:t xml:space="preserve"> </w:t>
      </w:r>
      <w:r w:rsidR="00145253" w:rsidRPr="00C503B6">
        <w:t xml:space="preserve">than other two candidates to accommodate final disposal facility. </w:t>
      </w:r>
      <w:r w:rsidR="0017387A" w:rsidRPr="00C503B6">
        <w:t>F</w:t>
      </w:r>
      <w:r w:rsidR="00145253" w:rsidRPr="00C503B6">
        <w:t xml:space="preserve">inal disposal would induce less fear and anxiety, there would be less image problems and </w:t>
      </w:r>
      <w:r w:rsidR="00C503B6">
        <w:t xml:space="preserve">the </w:t>
      </w:r>
      <w:r w:rsidR="00145253" w:rsidRPr="00C503B6">
        <w:t>major</w:t>
      </w:r>
      <w:r w:rsidR="00C503B6">
        <w:t xml:space="preserve">ity </w:t>
      </w:r>
      <w:r w:rsidR="00145253" w:rsidRPr="00C503B6">
        <w:t>of residents would be willing to accept the facility</w:t>
      </w:r>
      <w:r w:rsidR="008A477B" w:rsidRPr="00C503B6">
        <w:t xml:space="preserve">. </w:t>
      </w:r>
      <w:r w:rsidR="00641534" w:rsidRPr="00C503B6">
        <w:t>The</w:t>
      </w:r>
      <w:r w:rsidR="00145253" w:rsidRPr="00C503B6">
        <w:t xml:space="preserve"> residents had </w:t>
      </w:r>
      <w:r w:rsidR="00C503B6">
        <w:t xml:space="preserve">a </w:t>
      </w:r>
      <w:r w:rsidR="00145253" w:rsidRPr="00C503B6">
        <w:t>more positive attitude towards final disposal on the whole, and the facility would generate less commotion</w:t>
      </w:r>
      <w:r w:rsidR="00535B5A" w:rsidRPr="00C503B6">
        <w:t>,</w:t>
      </w:r>
      <w:r w:rsidR="00145253" w:rsidRPr="00C503B6">
        <w:t xml:space="preserve"> as nuclear operations were already an important factor in the communities. </w:t>
      </w:r>
      <w:r w:rsidR="0036141C" w:rsidRPr="00C952B9">
        <w:t>[</w:t>
      </w:r>
      <w:r w:rsidR="002651F3" w:rsidRPr="00C952B9">
        <w:t>24</w:t>
      </w:r>
      <w:r w:rsidR="0036141C" w:rsidRPr="00C952B9">
        <w:t>]</w:t>
      </w:r>
    </w:p>
    <w:p w14:paraId="3991FBB4" w14:textId="7455FCC7" w:rsidR="00EE6E41" w:rsidRPr="009A0AE1" w:rsidRDefault="00B643BB" w:rsidP="00195003">
      <w:pPr>
        <w:pStyle w:val="Heading2"/>
      </w:pPr>
      <w:r w:rsidRPr="00C952B9">
        <w:t>INST</w:t>
      </w:r>
      <w:r w:rsidR="009A0AE1">
        <w:t>it</w:t>
      </w:r>
      <w:r w:rsidRPr="009A0AE1">
        <w:t>UTIONAL ARRANGEMENT</w:t>
      </w:r>
      <w:r w:rsidR="00F04D44" w:rsidRPr="009A0AE1">
        <w:t>S</w:t>
      </w:r>
      <w:r w:rsidRPr="009A0AE1">
        <w:t xml:space="preserve"> OF </w:t>
      </w:r>
      <w:r w:rsidR="009A0AE1">
        <w:t xml:space="preserve">THE </w:t>
      </w:r>
      <w:r w:rsidR="00195003" w:rsidRPr="009A0AE1">
        <w:t>Partnership approach</w:t>
      </w:r>
      <w:r w:rsidR="009A0AE1">
        <w:t>ES</w:t>
      </w:r>
    </w:p>
    <w:p w14:paraId="4C8D8179" w14:textId="5BF4C5EF" w:rsidR="00030A83" w:rsidRPr="00C952B9" w:rsidRDefault="00640005" w:rsidP="002D2FF6">
      <w:pPr>
        <w:pStyle w:val="Heading3"/>
        <w:numPr>
          <w:ilvl w:val="2"/>
          <w:numId w:val="10"/>
        </w:numPr>
      </w:pPr>
      <w:r w:rsidRPr="00C952B9">
        <w:t xml:space="preserve">Sweden </w:t>
      </w:r>
      <w:r w:rsidR="00B643BB" w:rsidRPr="00C952B9">
        <w:t>–</w:t>
      </w:r>
      <w:r w:rsidRPr="00C952B9">
        <w:t xml:space="preserve"> </w:t>
      </w:r>
      <w:r w:rsidR="00B643BB" w:rsidRPr="00C952B9">
        <w:t>resources for municipalities</w:t>
      </w:r>
      <w:r w:rsidR="00F04D44" w:rsidRPr="00C952B9">
        <w:t xml:space="preserve">’ </w:t>
      </w:r>
      <w:r w:rsidR="00E72DEF" w:rsidRPr="00C952B9">
        <w:t xml:space="preserve">own </w:t>
      </w:r>
      <w:r w:rsidR="00F04D44" w:rsidRPr="00C952B9">
        <w:t xml:space="preserve">review and informing activities </w:t>
      </w:r>
      <w:r w:rsidR="00B643BB" w:rsidRPr="00C952B9">
        <w:t xml:space="preserve"> </w:t>
      </w:r>
    </w:p>
    <w:p w14:paraId="617FFAB6" w14:textId="12335B2D" w:rsidR="00F04D44" w:rsidRPr="00CF2BEC" w:rsidRDefault="003932C7" w:rsidP="00640005">
      <w:pPr>
        <w:pStyle w:val="ListEmdash"/>
        <w:numPr>
          <w:ilvl w:val="0"/>
          <w:numId w:val="0"/>
        </w:numPr>
      </w:pPr>
      <w:r w:rsidRPr="00C952B9">
        <w:t xml:space="preserve">The </w:t>
      </w:r>
      <w:r w:rsidR="00EF1BD0" w:rsidRPr="00C952B9">
        <w:t>institutional arrangement</w:t>
      </w:r>
      <w:r w:rsidR="00BC0BEB" w:rsidRPr="00C952B9">
        <w:t>s</w:t>
      </w:r>
      <w:r w:rsidR="00EF1BD0" w:rsidRPr="00C952B9">
        <w:t xml:space="preserve"> of </w:t>
      </w:r>
      <w:r w:rsidRPr="00C952B9">
        <w:t xml:space="preserve">Swedish partnership approach, influenced in many ways by activity of </w:t>
      </w:r>
      <w:r w:rsidR="0091356B" w:rsidRPr="00C952B9">
        <w:t xml:space="preserve">municipality of </w:t>
      </w:r>
      <w:r w:rsidRPr="00C952B9">
        <w:t>Oskarshamn,</w:t>
      </w:r>
      <w:r w:rsidR="00EF1BD0" w:rsidRPr="00C952B9">
        <w:t xml:space="preserve"> </w:t>
      </w:r>
      <w:r w:rsidRPr="00C952B9">
        <w:t>ha</w:t>
      </w:r>
      <w:r w:rsidR="00CF2BEC">
        <w:t>d</w:t>
      </w:r>
      <w:r w:rsidRPr="00CF2BEC">
        <w:t xml:space="preserve"> </w:t>
      </w:r>
      <w:r w:rsidR="00CF2BEC">
        <w:t xml:space="preserve">five </w:t>
      </w:r>
      <w:r w:rsidRPr="00CF2BEC">
        <w:t>characteristics</w:t>
      </w:r>
      <w:r w:rsidR="00CF2BEC">
        <w:t xml:space="preserve"> relevant for our analysis</w:t>
      </w:r>
      <w:r w:rsidRPr="00CF2BEC">
        <w:t xml:space="preserve">. First, </w:t>
      </w:r>
      <w:r w:rsidR="00CF2BEC">
        <w:t xml:space="preserve">the </w:t>
      </w:r>
      <w:r w:rsidRPr="00CF2BEC">
        <w:t>municipalities can apply for funding from nuclear waste fund to review SKB’s work and inform citizens. The financing act was amended in 1995</w:t>
      </w:r>
      <w:r w:rsidR="00035A8D" w:rsidRPr="00CF2BEC">
        <w:t>.</w:t>
      </w:r>
      <w:r w:rsidRPr="00CF2BEC">
        <w:t xml:space="preserve"> Second, </w:t>
      </w:r>
      <w:r w:rsidR="00016B74" w:rsidRPr="00CF2BEC">
        <w:t>t</w:t>
      </w:r>
      <w:r w:rsidRPr="00CF2BEC">
        <w:t xml:space="preserve">he municipality has </w:t>
      </w:r>
      <w:r w:rsidR="00CF2BEC">
        <w:t xml:space="preserve">a </w:t>
      </w:r>
      <w:r w:rsidRPr="00CF2BEC">
        <w:t xml:space="preserve">veto right. The Minister of </w:t>
      </w:r>
      <w:r w:rsidR="00CF2BEC">
        <w:t xml:space="preserve">the </w:t>
      </w:r>
      <w:r w:rsidRPr="00CF2BEC">
        <w:t xml:space="preserve">Environment </w:t>
      </w:r>
      <w:r w:rsidR="00EF1BD0" w:rsidRPr="00CF2BEC">
        <w:t xml:space="preserve">has </w:t>
      </w:r>
      <w:r w:rsidRPr="00CF2BEC">
        <w:t xml:space="preserve">assured that the government </w:t>
      </w:r>
      <w:r w:rsidR="00EF1BD0" w:rsidRPr="00CF2BEC">
        <w:t xml:space="preserve">will </w:t>
      </w:r>
      <w:r w:rsidRPr="00CF2BEC">
        <w:t xml:space="preserve">not consider overruling the municipal veto as an acceptable way to abolish opposition towards a final repository, and that the </w:t>
      </w:r>
      <w:r w:rsidR="00EF1BD0" w:rsidRPr="00CF2BEC">
        <w:t xml:space="preserve">veto </w:t>
      </w:r>
      <w:r w:rsidRPr="00CF2BEC">
        <w:t>right would not be forfeited by allowing SKB’s investigations.</w:t>
      </w:r>
      <w:r w:rsidR="003970F5" w:rsidRPr="00CF2BEC">
        <w:t xml:space="preserve"> Third</w:t>
      </w:r>
      <w:r w:rsidR="00EF1BD0" w:rsidRPr="00CF2BEC">
        <w:t>,</w:t>
      </w:r>
      <w:r w:rsidR="00CF2BEC">
        <w:t xml:space="preserve"> the</w:t>
      </w:r>
      <w:r w:rsidR="003970F5" w:rsidRPr="00CF2BEC">
        <w:t xml:space="preserve"> </w:t>
      </w:r>
      <w:r w:rsidRPr="00CF2BEC">
        <w:t>importance of environmental legislation</w:t>
      </w:r>
      <w:r w:rsidR="00EF1BD0" w:rsidRPr="00CF2BEC">
        <w:t xml:space="preserve"> was enhanced</w:t>
      </w:r>
      <w:r w:rsidRPr="00CF2BEC">
        <w:t xml:space="preserve"> and </w:t>
      </w:r>
      <w:r w:rsidR="00F22AE9">
        <w:t>status of</w:t>
      </w:r>
      <w:r w:rsidRPr="00CF2BEC">
        <w:t xml:space="preserve"> EIA</w:t>
      </w:r>
      <w:r w:rsidR="00F22AE9">
        <w:t>-groups was made official</w:t>
      </w:r>
      <w:r w:rsidRPr="00CF2BEC">
        <w:t xml:space="preserve">. Fourth, </w:t>
      </w:r>
      <w:r w:rsidR="00F22AE9">
        <w:t xml:space="preserve">the </w:t>
      </w:r>
      <w:r w:rsidRPr="00CF2BEC">
        <w:t>national coordina</w:t>
      </w:r>
      <w:r w:rsidR="00F22AE9">
        <w:t xml:space="preserve">tor was appointed </w:t>
      </w:r>
      <w:r w:rsidR="00ED34CB">
        <w:t xml:space="preserve">in order to </w:t>
      </w:r>
      <w:r w:rsidR="00ED34CB" w:rsidRPr="00194E3A">
        <w:t xml:space="preserve">coordinate </w:t>
      </w:r>
      <w:r w:rsidR="00ED34CB">
        <w:t xml:space="preserve">information, </w:t>
      </w:r>
      <w:r w:rsidR="00ED34CB" w:rsidRPr="00194E3A">
        <w:t>contacts between the various actors</w:t>
      </w:r>
      <w:r w:rsidR="00ED34CB">
        <w:t xml:space="preserve">, and </w:t>
      </w:r>
      <w:r w:rsidR="00ED34CB" w:rsidRPr="00194E3A">
        <w:t xml:space="preserve">efforts </w:t>
      </w:r>
      <w:r w:rsidR="00ED34CB">
        <w:t>of the municipalities concerned</w:t>
      </w:r>
      <w:r w:rsidRPr="00CF2BEC">
        <w:t>. [18,</w:t>
      </w:r>
      <w:r w:rsidR="00016B74" w:rsidRPr="00CF2BEC">
        <w:t xml:space="preserve"> 19</w:t>
      </w:r>
      <w:r w:rsidRPr="00CF2BEC">
        <w:t xml:space="preserve">] </w:t>
      </w:r>
      <w:r w:rsidR="00035A8D" w:rsidRPr="00CF2BEC">
        <w:t xml:space="preserve">From this </w:t>
      </w:r>
      <w:r w:rsidR="00CF2BEC">
        <w:t>improved</w:t>
      </w:r>
      <w:r w:rsidR="00035A8D" w:rsidRPr="00CF2BEC">
        <w:t xml:space="preserve"> position communities were able to impose far-reaching demands on SKB [cf. 25]</w:t>
      </w:r>
      <w:r w:rsidR="00CF2BEC">
        <w:t>,</w:t>
      </w:r>
      <w:r w:rsidR="00035A8D" w:rsidRPr="00CF2BEC">
        <w:t xml:space="preserve"> </w:t>
      </w:r>
      <w:r w:rsidR="00CF2BEC">
        <w:t>which leads to our</w:t>
      </w:r>
      <w:r w:rsidR="00035A8D" w:rsidRPr="00CF2BEC">
        <w:t xml:space="preserve"> </w:t>
      </w:r>
      <w:r w:rsidR="00CF2BEC">
        <w:t>f</w:t>
      </w:r>
      <w:r w:rsidRPr="00CF2BEC">
        <w:t>ifth</w:t>
      </w:r>
      <w:r w:rsidR="00CF2BEC">
        <w:t xml:space="preserve"> point:</w:t>
      </w:r>
      <w:r w:rsidRPr="00CF2BEC">
        <w:t xml:space="preserve"> Östhammar and Oskarshamn were able to </w:t>
      </w:r>
      <w:r w:rsidR="00CF2BEC">
        <w:t>influence</w:t>
      </w:r>
      <w:r w:rsidR="00CF2BEC" w:rsidRPr="00CF2BEC">
        <w:t xml:space="preserve"> </w:t>
      </w:r>
      <w:r w:rsidRPr="00CF2BEC">
        <w:t>the allo</w:t>
      </w:r>
      <w:r w:rsidR="00CF2BEC">
        <w:t>cation</w:t>
      </w:r>
      <w:r w:rsidRPr="00CF2BEC">
        <w:t xml:space="preserve"> of compensation. The two municipalities announced </w:t>
      </w:r>
      <w:r w:rsidR="008462D9">
        <w:t>that they would</w:t>
      </w:r>
      <w:r w:rsidR="008462D9" w:rsidRPr="00CF2BEC">
        <w:t xml:space="preserve"> </w:t>
      </w:r>
      <w:r w:rsidRPr="00CF2BEC">
        <w:t xml:space="preserve">reject the final repository unless some form of compensation would be offered also to the municipality that </w:t>
      </w:r>
      <w:r w:rsidR="008462D9">
        <w:t>would not</w:t>
      </w:r>
      <w:r w:rsidRPr="00CF2BEC">
        <w:t xml:space="preserve"> </w:t>
      </w:r>
      <w:r w:rsidR="008462D9">
        <w:t>be selected as a host for</w:t>
      </w:r>
      <w:r w:rsidRPr="00CF2BEC">
        <w:t xml:space="preserve"> the </w:t>
      </w:r>
      <w:r w:rsidR="002078A3">
        <w:t>repository</w:t>
      </w:r>
      <w:r w:rsidRPr="00CF2BEC">
        <w:t xml:space="preserve">. </w:t>
      </w:r>
      <w:r w:rsidR="00EF1BD0" w:rsidRPr="00CF2BEC">
        <w:t>T</w:t>
      </w:r>
      <w:r w:rsidRPr="00CF2BEC">
        <w:t xml:space="preserve">he </w:t>
      </w:r>
      <w:r w:rsidR="008462D9">
        <w:t xml:space="preserve">agreement on the </w:t>
      </w:r>
      <w:r w:rsidRPr="00CF2BEC">
        <w:t xml:space="preserve">Added Value Programme, guaranteeing </w:t>
      </w:r>
      <w:r w:rsidR="008462D9">
        <w:t xml:space="preserve">that </w:t>
      </w:r>
      <w:r w:rsidRPr="00CF2BEC">
        <w:t xml:space="preserve">the </w:t>
      </w:r>
      <w:r w:rsidR="008462D9">
        <w:t xml:space="preserve">‘loser’ in the race for </w:t>
      </w:r>
      <w:r w:rsidRPr="00CF2BEC">
        <w:t xml:space="preserve">the repository </w:t>
      </w:r>
      <w:r w:rsidR="008462D9">
        <w:t xml:space="preserve">would receive </w:t>
      </w:r>
      <w:r w:rsidRPr="00CF2BEC">
        <w:t xml:space="preserve">the majority of the compensation, was </w:t>
      </w:r>
      <w:r w:rsidR="008462D9">
        <w:t>concluded</w:t>
      </w:r>
      <w:r w:rsidR="008462D9" w:rsidRPr="00CF2BEC">
        <w:t xml:space="preserve"> </w:t>
      </w:r>
      <w:r w:rsidR="008462D9">
        <w:t xml:space="preserve">between SKB and the municipalities </w:t>
      </w:r>
      <w:r w:rsidRPr="00CF2BEC">
        <w:t>in 2009 [</w:t>
      </w:r>
      <w:r w:rsidR="00016B74" w:rsidRPr="00CF2BEC">
        <w:t>2</w:t>
      </w:r>
      <w:r w:rsidR="00285C30" w:rsidRPr="00CF2BEC">
        <w:t>6</w:t>
      </w:r>
      <w:r w:rsidRPr="00CF2BEC">
        <w:t>].</w:t>
      </w:r>
    </w:p>
    <w:p w14:paraId="6EB508BE" w14:textId="0EBF532E" w:rsidR="00686D53" w:rsidRPr="00B43691" w:rsidRDefault="00BC0BEB" w:rsidP="00BC0BEB">
      <w:pPr>
        <w:pStyle w:val="Heading3"/>
      </w:pPr>
      <w:r w:rsidRPr="00B43691">
        <w:t xml:space="preserve">Finland </w:t>
      </w:r>
      <w:r w:rsidR="00016B74" w:rsidRPr="00B43691">
        <w:t>–</w:t>
      </w:r>
      <w:r w:rsidRPr="00B43691">
        <w:t xml:space="preserve"> </w:t>
      </w:r>
      <w:r w:rsidR="002B59EF" w:rsidRPr="00B43691">
        <w:t>veto right on site selection</w:t>
      </w:r>
      <w:r w:rsidR="00686D53" w:rsidRPr="00B43691">
        <w:t xml:space="preserve"> </w:t>
      </w:r>
      <w:r w:rsidR="00E72DEF" w:rsidRPr="00B43691">
        <w:t xml:space="preserve">and tax revenue as </w:t>
      </w:r>
      <w:r w:rsidR="00B43691">
        <w:t xml:space="preserve">an </w:t>
      </w:r>
      <w:r w:rsidR="00E72DEF" w:rsidRPr="00B43691">
        <w:t>economic incentive</w:t>
      </w:r>
    </w:p>
    <w:p w14:paraId="321D6054" w14:textId="73B16A29" w:rsidR="00CC6259" w:rsidRPr="00B43691" w:rsidRDefault="002B59EF" w:rsidP="00A84ADC">
      <w:pPr>
        <w:pStyle w:val="BodyText"/>
      </w:pPr>
      <w:r w:rsidRPr="00B43691">
        <w:t xml:space="preserve">The </w:t>
      </w:r>
      <w:r w:rsidR="00431934" w:rsidRPr="00B43691">
        <w:t xml:space="preserve">institutional </w:t>
      </w:r>
      <w:r w:rsidRPr="00B43691">
        <w:t xml:space="preserve">cornerstone of the Finnish partnership approach is the veto right </w:t>
      </w:r>
      <w:r w:rsidR="00B43691">
        <w:t>that</w:t>
      </w:r>
      <w:r w:rsidR="00B43691" w:rsidRPr="00B43691">
        <w:t xml:space="preserve"> </w:t>
      </w:r>
      <w:r w:rsidR="00B43691">
        <w:t xml:space="preserve">the Nuclear Energy Act offers to </w:t>
      </w:r>
      <w:r w:rsidR="00431934" w:rsidRPr="00B43691">
        <w:t xml:space="preserve">the proposed host municipality. </w:t>
      </w:r>
      <w:r w:rsidR="00B43691">
        <w:t>T</w:t>
      </w:r>
      <w:r w:rsidR="00431934" w:rsidRPr="00B43691">
        <w:t>he increased property tax on nuclear facilities</w:t>
      </w:r>
      <w:r w:rsidR="00B43691">
        <w:t xml:space="preserve"> constitutes a significant economic incentive</w:t>
      </w:r>
      <w:r w:rsidR="00431934" w:rsidRPr="00B43691">
        <w:t xml:space="preserve">. </w:t>
      </w:r>
      <w:r w:rsidR="00CC6259" w:rsidRPr="00B43691">
        <w:t xml:space="preserve">Unlike in Sweden, the Finnish municipalities have not been </w:t>
      </w:r>
      <w:r w:rsidR="00B43691">
        <w:t>particularly eager to</w:t>
      </w:r>
      <w:r w:rsidR="00CC6259" w:rsidRPr="00B43691">
        <w:t xml:space="preserve"> build their own competence concerning final disposal of SNF</w:t>
      </w:r>
      <w:r w:rsidR="00C60113">
        <w:t xml:space="preserve"> in general or repository safety in particular, despite the fact that </w:t>
      </w:r>
      <w:r w:rsidR="00C60113" w:rsidRPr="00F277E1">
        <w:t>safety has been the top concern of residents [27]</w:t>
      </w:r>
      <w:r w:rsidR="006057E7" w:rsidRPr="00B43691">
        <w:t>.</w:t>
      </w:r>
      <w:r w:rsidR="00CC6259" w:rsidRPr="00B43691">
        <w:t xml:space="preserve"> Knowledge management and evaluation were raised as an issue in Finland, but no initiatives were implemented to improve awareness and local decision-making in practise. </w:t>
      </w:r>
      <w:r w:rsidR="003D5C52" w:rsidRPr="00B43691">
        <w:t>However, i</w:t>
      </w:r>
      <w:r w:rsidR="00CC6259" w:rsidRPr="00B43691">
        <w:t xml:space="preserve">n </w:t>
      </w:r>
      <w:r w:rsidR="007C77DB" w:rsidRPr="00B43691">
        <w:t>the late 1990s</w:t>
      </w:r>
      <w:r w:rsidR="00CC6259" w:rsidRPr="00B43691">
        <w:t xml:space="preserve"> the municipality of Loviisa requested </w:t>
      </w:r>
      <w:r w:rsidR="0074443F">
        <w:t xml:space="preserve">that municipalities be provided </w:t>
      </w:r>
      <w:r w:rsidR="00CC6259" w:rsidRPr="00B43691">
        <w:t xml:space="preserve">funding </w:t>
      </w:r>
      <w:r w:rsidR="0074443F">
        <w:t>to enable them to</w:t>
      </w:r>
      <w:r w:rsidR="00CC6259" w:rsidRPr="00B43691">
        <w:t xml:space="preserve"> </w:t>
      </w:r>
      <w:r w:rsidR="007C77DB" w:rsidRPr="00B43691">
        <w:t>review</w:t>
      </w:r>
      <w:r w:rsidR="0074443F">
        <w:t xml:space="preserve"> Posiva’s plans</w:t>
      </w:r>
      <w:r w:rsidR="007C77DB" w:rsidRPr="00B43691">
        <w:t>.</w:t>
      </w:r>
      <w:r w:rsidR="00CC6259" w:rsidRPr="00B43691">
        <w:t xml:space="preserve"> No funding was </w:t>
      </w:r>
      <w:r w:rsidR="0074443F">
        <w:t>granted,</w:t>
      </w:r>
      <w:r w:rsidR="0074443F" w:rsidRPr="00B43691">
        <w:t xml:space="preserve"> </w:t>
      </w:r>
      <w:r w:rsidR="00CC6259" w:rsidRPr="00B43691">
        <w:t xml:space="preserve">but instead the representatives of the four candidate municipalities were invited to the co-operation group for the social science studies of the </w:t>
      </w:r>
      <w:r w:rsidR="002D2FF6" w:rsidRPr="00B43691">
        <w:t xml:space="preserve">Public Sector’s Research Programme on Nuclear Waste Management </w:t>
      </w:r>
      <w:r w:rsidR="00CC6259" w:rsidRPr="00B43691">
        <w:t>JYT2001.</w:t>
      </w:r>
      <w:r w:rsidR="006F5E1A" w:rsidRPr="00B43691">
        <w:t xml:space="preserve"> </w:t>
      </w:r>
    </w:p>
    <w:p w14:paraId="2C05415F" w14:textId="0AB9EF13" w:rsidR="00CC6259" w:rsidRPr="00C60113" w:rsidRDefault="00023B65" w:rsidP="00CC6259">
      <w:pPr>
        <w:pStyle w:val="BodyText"/>
      </w:pPr>
      <w:r w:rsidRPr="00C60113">
        <w:t xml:space="preserve">Along the missing funding for the municipalities for independent reviews and assessments, three </w:t>
      </w:r>
      <w:r w:rsidR="0013435D" w:rsidRPr="00C60113">
        <w:t xml:space="preserve">other </w:t>
      </w:r>
      <w:r w:rsidR="00C60113">
        <w:t>reasons for the weak interest</w:t>
      </w:r>
      <w:r w:rsidR="00C60113" w:rsidRPr="00C60113">
        <w:t xml:space="preserve"> </w:t>
      </w:r>
      <w:r w:rsidR="00C60113">
        <w:t xml:space="preserve">of the municipalities in competence-building </w:t>
      </w:r>
      <w:r w:rsidRPr="00C60113">
        <w:t>can be identified</w:t>
      </w:r>
      <w:r w:rsidR="00C60113">
        <w:t>.</w:t>
      </w:r>
      <w:r w:rsidR="00CC6259" w:rsidRPr="00C60113">
        <w:t xml:space="preserve"> First, </w:t>
      </w:r>
      <w:r w:rsidR="00AE7EFD" w:rsidRPr="00C60113">
        <w:t>NWM</w:t>
      </w:r>
      <w:r w:rsidR="00CC6259" w:rsidRPr="00C60113">
        <w:t xml:space="preserve"> has been perceived as a “purely technical</w:t>
      </w:r>
      <w:r w:rsidRPr="00C60113">
        <w:t>”</w:t>
      </w:r>
      <w:r w:rsidR="00CC6259" w:rsidRPr="00C60113">
        <w:t xml:space="preserve"> </w:t>
      </w:r>
      <w:r w:rsidR="0013435D" w:rsidRPr="00C60113">
        <w:t>issue</w:t>
      </w:r>
      <w:r w:rsidR="00CC6259" w:rsidRPr="00C60113">
        <w:t xml:space="preserve">, leaving little room for social aspects. Second, confidence </w:t>
      </w:r>
      <w:r w:rsidR="00C60113">
        <w:t>in</w:t>
      </w:r>
      <w:r w:rsidR="00C60113" w:rsidRPr="00C60113">
        <w:t xml:space="preserve"> </w:t>
      </w:r>
      <w:r w:rsidR="00CC6259" w:rsidRPr="00C60113">
        <w:t xml:space="preserve">the Finnish Radiation and Safety Authority </w:t>
      </w:r>
      <w:r w:rsidR="00B4127C">
        <w:t>(</w:t>
      </w:r>
      <w:r w:rsidR="00CC6259" w:rsidRPr="00C60113">
        <w:t>STUK</w:t>
      </w:r>
      <w:r w:rsidR="00B4127C">
        <w:t>)</w:t>
      </w:r>
      <w:r w:rsidR="00CC6259" w:rsidRPr="00C60113">
        <w:t xml:space="preserve"> has been </w:t>
      </w:r>
      <w:r w:rsidR="00C60113">
        <w:t xml:space="preserve">exceptionally </w:t>
      </w:r>
      <w:r w:rsidR="00CC6259" w:rsidRPr="00C60113">
        <w:t xml:space="preserve">high </w:t>
      </w:r>
      <w:r w:rsidR="0012291E" w:rsidRPr="00C60113">
        <w:t>[</w:t>
      </w:r>
      <w:r w:rsidR="002D2FF6" w:rsidRPr="00C60113">
        <w:t>2</w:t>
      </w:r>
      <w:r w:rsidR="00285C30" w:rsidRPr="00C60113">
        <w:t>7</w:t>
      </w:r>
      <w:r w:rsidR="0012291E" w:rsidRPr="00C60113">
        <w:t>]</w:t>
      </w:r>
      <w:r w:rsidR="00CC6259" w:rsidRPr="00C60113">
        <w:t>. Third, safety issues were excluded from the EIA process</w:t>
      </w:r>
      <w:r w:rsidR="00C60113">
        <w:t>,</w:t>
      </w:r>
      <w:r w:rsidR="00CC6259" w:rsidRPr="00C60113">
        <w:t xml:space="preserve"> which was the main forum </w:t>
      </w:r>
      <w:r w:rsidR="00C60113">
        <w:t xml:space="preserve">for public discussion and participation </w:t>
      </w:r>
      <w:r w:rsidR="00CC6259" w:rsidRPr="00C60113">
        <w:t xml:space="preserve">during the site selection process in the late 1990s </w:t>
      </w:r>
      <w:r w:rsidR="0012291E" w:rsidRPr="00C60113">
        <w:t>[</w:t>
      </w:r>
      <w:r w:rsidR="002D2FF6" w:rsidRPr="00C60113">
        <w:t>24</w:t>
      </w:r>
      <w:r w:rsidR="0012291E" w:rsidRPr="00C60113">
        <w:t>]</w:t>
      </w:r>
      <w:r w:rsidR="00CC6259" w:rsidRPr="00C60113">
        <w:t>. Although local opposing groups raised some concerns and introduced alternative technical concepts, the safety issue</w:t>
      </w:r>
      <w:r w:rsidR="0013435D" w:rsidRPr="00C60113">
        <w:t xml:space="preserve"> was depoliti</w:t>
      </w:r>
      <w:r w:rsidR="00A17C5F" w:rsidRPr="00C60113">
        <w:t>ci</w:t>
      </w:r>
      <w:r w:rsidR="0013435D" w:rsidRPr="00C60113">
        <w:t>zed at the local level</w:t>
      </w:r>
      <w:r w:rsidR="00C60113">
        <w:t xml:space="preserve">, </w:t>
      </w:r>
      <w:r w:rsidR="009B3DCC">
        <w:t>and</w:t>
      </w:r>
      <w:r w:rsidR="00815AEE" w:rsidRPr="00C60113">
        <w:t xml:space="preserve"> </w:t>
      </w:r>
      <w:r w:rsidR="00C60113">
        <w:t xml:space="preserve">safety analysis </w:t>
      </w:r>
      <w:r w:rsidR="009B3DCC">
        <w:t>was delegate</w:t>
      </w:r>
      <w:r w:rsidR="00B4127C">
        <w:t>d</w:t>
      </w:r>
      <w:r w:rsidR="009B3DCC">
        <w:t xml:space="preserve"> to</w:t>
      </w:r>
      <w:r w:rsidR="00C60113" w:rsidRPr="00C60113">
        <w:t xml:space="preserve"> </w:t>
      </w:r>
      <w:r w:rsidR="00815AEE" w:rsidRPr="00C60113">
        <w:t>STUK</w:t>
      </w:r>
      <w:r w:rsidR="00CC6259" w:rsidRPr="00C60113">
        <w:t xml:space="preserve">. </w:t>
      </w:r>
    </w:p>
    <w:p w14:paraId="366CC140" w14:textId="77777777" w:rsidR="004E1AAF" w:rsidRPr="00C952B9" w:rsidRDefault="004E1AAF" w:rsidP="004E1AAF">
      <w:pPr>
        <w:pStyle w:val="Heading2"/>
      </w:pPr>
      <w:r w:rsidRPr="00C952B9">
        <w:t>Municipality approaches to final disposal in Eurajoki and Östhammar</w:t>
      </w:r>
    </w:p>
    <w:p w14:paraId="005CFA0E" w14:textId="5D03CBEE" w:rsidR="00B843AC" w:rsidRPr="00C952B9" w:rsidRDefault="00B843AC" w:rsidP="002D2FF6">
      <w:pPr>
        <w:pStyle w:val="Heading3"/>
        <w:numPr>
          <w:ilvl w:val="2"/>
          <w:numId w:val="11"/>
        </w:numPr>
      </w:pPr>
      <w:r w:rsidRPr="00C952B9">
        <w:lastRenderedPageBreak/>
        <w:t>Östhammar</w:t>
      </w:r>
      <w:r w:rsidR="00BF052D" w:rsidRPr="00C952B9">
        <w:t>, Sweden</w:t>
      </w:r>
    </w:p>
    <w:p w14:paraId="09F1907B" w14:textId="79F275FF" w:rsidR="002859BA" w:rsidRPr="00612BD4" w:rsidRDefault="002859BA" w:rsidP="002859BA">
      <w:pPr>
        <w:pStyle w:val="Heading4"/>
        <w:ind w:left="0"/>
        <w:rPr>
          <w:lang w:val="en-GB"/>
        </w:rPr>
      </w:pPr>
      <w:r w:rsidRPr="00612BD4">
        <w:rPr>
          <w:lang w:val="en-GB"/>
        </w:rPr>
        <w:t xml:space="preserve">Preliminary study </w:t>
      </w:r>
      <w:r w:rsidR="00BF275D" w:rsidRPr="00612BD4">
        <w:rPr>
          <w:lang w:val="en-GB"/>
        </w:rPr>
        <w:t>and site investigation phase</w:t>
      </w:r>
      <w:r w:rsidR="00BD2261" w:rsidRPr="00612BD4">
        <w:rPr>
          <w:lang w:val="en-GB"/>
        </w:rPr>
        <w:t>s</w:t>
      </w:r>
    </w:p>
    <w:p w14:paraId="0DDA375E" w14:textId="3CB3DC35" w:rsidR="008F73E8" w:rsidRPr="00C952B9" w:rsidRDefault="004F3C98" w:rsidP="00BF052D">
      <w:pPr>
        <w:pStyle w:val="BodyText"/>
      </w:pPr>
      <w:r w:rsidRPr="00C952B9">
        <w:t>In Öst</w:t>
      </w:r>
      <w:r w:rsidRPr="00AC7F85">
        <w:t>hammar competence building started in 1995 with modest and stra</w:t>
      </w:r>
      <w:r w:rsidRPr="00FF4CD5">
        <w:t>ightforward organisation.</w:t>
      </w:r>
      <w:r w:rsidR="00BF275D" w:rsidRPr="009A6752">
        <w:t xml:space="preserve"> </w:t>
      </w:r>
      <w:r w:rsidR="00CB1457" w:rsidRPr="009A6752">
        <w:t xml:space="preserve">The </w:t>
      </w:r>
      <w:r w:rsidR="001B5928" w:rsidRPr="00825E3E">
        <w:t>R</w:t>
      </w:r>
      <w:r w:rsidR="00CB1457" w:rsidRPr="00C44243">
        <w:t>eference group, comprised of representatives of all political parties in the municipal council was created, in orde</w:t>
      </w:r>
      <w:r w:rsidR="00CB1457" w:rsidRPr="00995716">
        <w:t>r to follow, review and assess SKB</w:t>
      </w:r>
      <w:r w:rsidR="001D395E" w:rsidRPr="00CA148A">
        <w:t>’</w:t>
      </w:r>
      <w:r w:rsidR="00CB1457" w:rsidRPr="004045A0">
        <w:t xml:space="preserve">s preliminary study and provide information to citizens, as well as, receive information from citizens and forward it. To assist </w:t>
      </w:r>
      <w:r w:rsidR="001B5928" w:rsidRPr="0096592E">
        <w:t>R</w:t>
      </w:r>
      <w:r w:rsidR="00CB1457" w:rsidRPr="0096592E">
        <w:t xml:space="preserve">eference group, </w:t>
      </w:r>
      <w:r w:rsidR="00156629" w:rsidRPr="0097202B">
        <w:t>consisting</w:t>
      </w:r>
      <w:r w:rsidR="00CB1457" w:rsidRPr="004E2A49">
        <w:t xml:space="preserve"> </w:t>
      </w:r>
      <w:r w:rsidR="00BF052D" w:rsidRPr="00785550">
        <w:t>seven</w:t>
      </w:r>
      <w:r w:rsidR="00CB1457" w:rsidRPr="00CF2BEC">
        <w:t xml:space="preserve"> members and a secretary, a working group of four civil servants was also fo</w:t>
      </w:r>
      <w:r w:rsidR="00CB1457" w:rsidRPr="00C952B9">
        <w:t xml:space="preserve">rmed. Reference group participated </w:t>
      </w:r>
      <w:r w:rsidR="00F36AC0" w:rsidRPr="00C952B9">
        <w:t xml:space="preserve">in </w:t>
      </w:r>
      <w:r w:rsidR="00CB1457" w:rsidRPr="00C952B9">
        <w:t>various study visits and seminars and enlisted regional university to review SKB</w:t>
      </w:r>
      <w:r w:rsidR="001D395E" w:rsidRPr="00C952B9">
        <w:t>’</w:t>
      </w:r>
      <w:r w:rsidR="00CB1457" w:rsidRPr="00C952B9">
        <w:t>s work. Moreover, the reference group also participated in</w:t>
      </w:r>
      <w:r w:rsidR="00F36AC0" w:rsidRPr="00C952B9">
        <w:t xml:space="preserve"> county-led</w:t>
      </w:r>
      <w:r w:rsidR="00CB1457" w:rsidRPr="00C952B9">
        <w:t xml:space="preserve"> EIA</w:t>
      </w:r>
      <w:r w:rsidR="00F36AC0" w:rsidRPr="00C952B9">
        <w:t>-</w:t>
      </w:r>
      <w:r w:rsidR="00CB1457" w:rsidRPr="00C952B9">
        <w:t>group, in which</w:t>
      </w:r>
      <w:r w:rsidR="00F36AC0" w:rsidRPr="00C952B9">
        <w:t xml:space="preserve"> </w:t>
      </w:r>
      <w:r w:rsidR="00CB1457" w:rsidRPr="00C952B9">
        <w:t xml:space="preserve">communities in concern, SKB, the investigative authorities and National Coordinator on Nuclear Waste were represented. </w:t>
      </w:r>
      <w:r w:rsidR="004835C7" w:rsidRPr="00C952B9">
        <w:t>R</w:t>
      </w:r>
      <w:r w:rsidR="00CB1457" w:rsidRPr="00C952B9">
        <w:t>eference group</w:t>
      </w:r>
      <w:r w:rsidR="001D395E" w:rsidRPr="00C952B9">
        <w:t>’</w:t>
      </w:r>
      <w:r w:rsidR="00CB1457" w:rsidRPr="00C952B9">
        <w:t>s work resulted in a number of questions and proposals for additions and corrections, which were reported together with SKB</w:t>
      </w:r>
      <w:r w:rsidR="001D395E" w:rsidRPr="00C952B9">
        <w:t>’</w:t>
      </w:r>
      <w:r w:rsidR="00CB1457" w:rsidRPr="00C952B9">
        <w:t>s responses in the end report of Östhammar</w:t>
      </w:r>
      <w:r w:rsidR="001D395E" w:rsidRPr="00C952B9">
        <w:t>’</w:t>
      </w:r>
      <w:r w:rsidR="00CB1457" w:rsidRPr="00C952B9">
        <w:t>s preliminary study</w:t>
      </w:r>
      <w:r w:rsidR="00D40048" w:rsidRPr="00C952B9">
        <w:t>, in 2000</w:t>
      </w:r>
      <w:r w:rsidR="00CB1457" w:rsidRPr="00C952B9">
        <w:t xml:space="preserve">. </w:t>
      </w:r>
      <w:r w:rsidR="000058AC" w:rsidRPr="00C952B9">
        <w:t>[28]</w:t>
      </w:r>
      <w:r w:rsidR="00CB1457" w:rsidRPr="00C952B9">
        <w:t xml:space="preserve"> After SKB had supplemented its research accordingly, the </w:t>
      </w:r>
      <w:r w:rsidR="00BE7AC4" w:rsidRPr="00C952B9">
        <w:t>municipality a</w:t>
      </w:r>
      <w:r w:rsidR="004835C7" w:rsidRPr="00C952B9">
        <w:t>greed to</w:t>
      </w:r>
      <w:r w:rsidR="00CB1457" w:rsidRPr="00C952B9">
        <w:t xml:space="preserve"> the site investigations on certain conditions.</w:t>
      </w:r>
      <w:r w:rsidR="00EA5DB8" w:rsidRPr="00C952B9">
        <w:t xml:space="preserve"> </w:t>
      </w:r>
      <w:r w:rsidR="008F73E8" w:rsidRPr="00C952B9">
        <w:t xml:space="preserve">In </w:t>
      </w:r>
      <w:r w:rsidR="00EA5DB8" w:rsidRPr="00C952B9">
        <w:t xml:space="preserve">the </w:t>
      </w:r>
      <w:r w:rsidR="008F73E8" w:rsidRPr="00C952B9">
        <w:t>contract with SKB municipality stipulated e.g. unlimited access to investigation results, be</w:t>
      </w:r>
      <w:r w:rsidR="004835C7" w:rsidRPr="00C952B9">
        <w:t>ing</w:t>
      </w:r>
      <w:r w:rsidR="008F73E8" w:rsidRPr="00C952B9">
        <w:t xml:space="preserve"> kept well informed about the progress of the investigation and </w:t>
      </w:r>
      <w:r w:rsidR="001B5928" w:rsidRPr="00C952B9">
        <w:t>that R</w:t>
      </w:r>
      <w:r w:rsidR="00AA3C07" w:rsidRPr="00C952B9">
        <w:t>eference group</w:t>
      </w:r>
      <w:r w:rsidR="001D395E" w:rsidRPr="00C952B9">
        <w:t>’</w:t>
      </w:r>
      <w:r w:rsidR="00AA3C07" w:rsidRPr="00C952B9">
        <w:t>s</w:t>
      </w:r>
      <w:r w:rsidR="008F73E8" w:rsidRPr="00C952B9">
        <w:t xml:space="preserve"> ideas and </w:t>
      </w:r>
      <w:r w:rsidR="00EA5DB8" w:rsidRPr="00C952B9">
        <w:t xml:space="preserve">views </w:t>
      </w:r>
      <w:r w:rsidR="008F73E8" w:rsidRPr="00C952B9">
        <w:t xml:space="preserve">had to be given due attention. Additionally investigations had to be summarised, and progress information submitted, in fashion that is understandable, and passable, to the local residents. </w:t>
      </w:r>
      <w:r w:rsidR="002D2FF6" w:rsidRPr="00C952B9">
        <w:t>[18]</w:t>
      </w:r>
      <w:r w:rsidR="008F73E8" w:rsidRPr="00C952B9">
        <w:t xml:space="preserve"> </w:t>
      </w:r>
    </w:p>
    <w:p w14:paraId="0202D0C7" w14:textId="20FB8B0A" w:rsidR="000F1BC8" w:rsidRPr="00C952B9" w:rsidRDefault="00192382" w:rsidP="00F57533">
      <w:pPr>
        <w:pStyle w:val="BodyText"/>
      </w:pPr>
      <w:r w:rsidRPr="00C952B9">
        <w:t>The n</w:t>
      </w:r>
      <w:r w:rsidR="00F57533" w:rsidRPr="00C952B9">
        <w:t xml:space="preserve">ew </w:t>
      </w:r>
      <w:r w:rsidR="00EA5DB8" w:rsidRPr="00C952B9">
        <w:t xml:space="preserve">extended final disposal </w:t>
      </w:r>
      <w:r w:rsidR="00F57533" w:rsidRPr="00C952B9">
        <w:t xml:space="preserve">organisation </w:t>
      </w:r>
      <w:r w:rsidR="00C97F7E" w:rsidRPr="00C952B9">
        <w:t>worked</w:t>
      </w:r>
      <w:r w:rsidR="00F57533" w:rsidRPr="00C952B9">
        <w:t xml:space="preserve"> </w:t>
      </w:r>
      <w:r w:rsidR="00BF3D14" w:rsidRPr="00C952B9">
        <w:t xml:space="preserve">directly </w:t>
      </w:r>
      <w:r w:rsidR="00F57533" w:rsidRPr="00C952B9">
        <w:t>under the municipal board</w:t>
      </w:r>
      <w:r w:rsidR="0086408E" w:rsidRPr="00C952B9">
        <w:t>,</w:t>
      </w:r>
      <w:r w:rsidR="00F57533" w:rsidRPr="00C952B9">
        <w:t xml:space="preserve"> as it was considered essential </w:t>
      </w:r>
      <w:r w:rsidR="0086408E" w:rsidRPr="00C952B9">
        <w:t>to keep it</w:t>
      </w:r>
      <w:r w:rsidR="00BF3D14" w:rsidRPr="00C952B9">
        <w:t xml:space="preserve"> </w:t>
      </w:r>
      <w:r w:rsidR="00F57533" w:rsidRPr="00C952B9">
        <w:t xml:space="preserve">well informed at this stage. </w:t>
      </w:r>
      <w:r w:rsidR="001B5928" w:rsidRPr="00C952B9">
        <w:t>F</w:t>
      </w:r>
      <w:r w:rsidR="00F57533" w:rsidRPr="00C952B9">
        <w:t xml:space="preserve">ormer </w:t>
      </w:r>
      <w:r w:rsidR="001B5928" w:rsidRPr="00C952B9">
        <w:t>R</w:t>
      </w:r>
      <w:r w:rsidR="00F57533" w:rsidRPr="00C952B9">
        <w:t xml:space="preserve">eference group </w:t>
      </w:r>
      <w:r w:rsidR="00C97F7E" w:rsidRPr="00C952B9">
        <w:t>was</w:t>
      </w:r>
      <w:r w:rsidR="00F57533" w:rsidRPr="00C952B9">
        <w:t xml:space="preserve"> renamed as </w:t>
      </w:r>
      <w:r w:rsidR="001B5928" w:rsidRPr="00C952B9">
        <w:t>P</w:t>
      </w:r>
      <w:r w:rsidR="00F57533" w:rsidRPr="00C952B9">
        <w:t>reparatory group and appended with a representative from neighbo</w:t>
      </w:r>
      <w:r w:rsidR="00C97F7E" w:rsidRPr="00C952B9">
        <w:t>u</w:t>
      </w:r>
      <w:r w:rsidR="00F57533" w:rsidRPr="00C952B9">
        <w:t xml:space="preserve">ring municipality of Tierp. The new </w:t>
      </w:r>
      <w:r w:rsidR="001B5928" w:rsidRPr="00C952B9">
        <w:t>R</w:t>
      </w:r>
      <w:r w:rsidR="00F57533" w:rsidRPr="00C952B9">
        <w:t xml:space="preserve">eference group working under </w:t>
      </w:r>
      <w:r w:rsidR="001B5928" w:rsidRPr="00C952B9">
        <w:t>P</w:t>
      </w:r>
      <w:r w:rsidR="00F57533" w:rsidRPr="00C952B9">
        <w:t>reparatory group (in advisory capacity) w</w:t>
      </w:r>
      <w:r w:rsidR="00C97F7E" w:rsidRPr="00C952B9">
        <w:t>as</w:t>
      </w:r>
      <w:r w:rsidR="00F57533" w:rsidRPr="00C952B9">
        <w:t xml:space="preserve"> comprised of representatives of all political parties in the municipal council, two representatives per munic</w:t>
      </w:r>
      <w:r w:rsidR="00C97F7E" w:rsidRPr="00C952B9">
        <w:t>ipality from neighbouring Tierp</w:t>
      </w:r>
      <w:r w:rsidR="00F57533" w:rsidRPr="00C952B9">
        <w:t xml:space="preserve"> and Älvkarleby</w:t>
      </w:r>
      <w:r w:rsidR="001B5928" w:rsidRPr="00C952B9">
        <w:t>,</w:t>
      </w:r>
      <w:r w:rsidR="00F57533" w:rsidRPr="00C952B9">
        <w:t xml:space="preserve"> and representatives of local NGOs. Additionally, the local EIA</w:t>
      </w:r>
      <w:r w:rsidR="00454892" w:rsidRPr="00C952B9">
        <w:t>-</w:t>
      </w:r>
      <w:r w:rsidR="00F57533" w:rsidRPr="00C952B9">
        <w:t xml:space="preserve">group was created, </w:t>
      </w:r>
      <w:r w:rsidR="00366621" w:rsidRPr="00C952B9">
        <w:t xml:space="preserve">particularly </w:t>
      </w:r>
      <w:r w:rsidR="00F57533" w:rsidRPr="00C952B9">
        <w:t>for following SKB</w:t>
      </w:r>
      <w:r w:rsidR="001D395E" w:rsidRPr="00C952B9">
        <w:t>’</w:t>
      </w:r>
      <w:r w:rsidR="00F57533" w:rsidRPr="00C952B9">
        <w:t xml:space="preserve">s </w:t>
      </w:r>
      <w:r w:rsidR="00454892" w:rsidRPr="00C952B9">
        <w:t xml:space="preserve">EIA </w:t>
      </w:r>
      <w:r w:rsidR="00F57533" w:rsidRPr="00C952B9">
        <w:t>work.</w:t>
      </w:r>
      <w:r w:rsidR="000F1BC8" w:rsidRPr="00C952B9">
        <w:t xml:space="preserve"> </w:t>
      </w:r>
      <w:r w:rsidR="00F57533" w:rsidRPr="00C952B9">
        <w:t xml:space="preserve">The task of </w:t>
      </w:r>
      <w:r w:rsidR="001B5928" w:rsidRPr="00C952B9">
        <w:t>P</w:t>
      </w:r>
      <w:r w:rsidR="00F57533" w:rsidRPr="00C952B9">
        <w:t xml:space="preserve">reparatory and </w:t>
      </w:r>
      <w:r w:rsidR="001B5928" w:rsidRPr="00C952B9">
        <w:t>R</w:t>
      </w:r>
      <w:r w:rsidR="00F57533" w:rsidRPr="00C952B9">
        <w:t>eference group w</w:t>
      </w:r>
      <w:r w:rsidR="00B44F29" w:rsidRPr="00C952B9">
        <w:t>as</w:t>
      </w:r>
      <w:r w:rsidR="00F57533" w:rsidRPr="00C952B9">
        <w:t xml:space="preserve"> to spread knowledge of possible impacts of final disposal on people and the environment, follow developments from municipality</w:t>
      </w:r>
      <w:r w:rsidR="001D395E" w:rsidRPr="00C952B9">
        <w:t>’</w:t>
      </w:r>
      <w:r w:rsidR="00F57533" w:rsidRPr="00C952B9">
        <w:t>s point of view and</w:t>
      </w:r>
      <w:r w:rsidR="00022CDC" w:rsidRPr="00C952B9">
        <w:t>,</w:t>
      </w:r>
      <w:r w:rsidR="00F57533" w:rsidRPr="00C952B9">
        <w:t xml:space="preserve"> </w:t>
      </w:r>
      <w:r w:rsidR="00022CDC" w:rsidRPr="00C952B9">
        <w:t>on</w:t>
      </w:r>
      <w:r w:rsidR="00F57533" w:rsidRPr="00C952B9">
        <w:t xml:space="preserve"> the municipal board</w:t>
      </w:r>
      <w:r w:rsidR="001D395E" w:rsidRPr="00C952B9">
        <w:t>’</w:t>
      </w:r>
      <w:r w:rsidR="00022CDC" w:rsidRPr="00C952B9">
        <w:t>s discretion,</w:t>
      </w:r>
      <w:r w:rsidR="00F57533" w:rsidRPr="00C952B9">
        <w:t xml:space="preserve"> review and assess reports submitted.</w:t>
      </w:r>
    </w:p>
    <w:p w14:paraId="26FBEE05" w14:textId="3E7B2EF4" w:rsidR="00AC699D" w:rsidRPr="00C952B9" w:rsidRDefault="00FF4A95" w:rsidP="00D567BB">
      <w:pPr>
        <w:pStyle w:val="BodyText"/>
      </w:pPr>
      <w:r w:rsidRPr="00C952B9">
        <w:t xml:space="preserve">Later, in 2006, </w:t>
      </w:r>
      <w:r w:rsidR="00F57533" w:rsidRPr="00C952B9">
        <w:t>the municipality estimated that the need for information and dialogue would be increasing the closer the siting decision would get</w:t>
      </w:r>
      <w:r w:rsidR="00CC3D5A" w:rsidRPr="00C952B9">
        <w:t>,</w:t>
      </w:r>
      <w:r w:rsidR="00F57533" w:rsidRPr="00C952B9">
        <w:t xml:space="preserve"> </w:t>
      </w:r>
      <w:r w:rsidRPr="00C952B9">
        <w:t>and the</w:t>
      </w:r>
      <w:r w:rsidR="00F57533" w:rsidRPr="00C952B9">
        <w:t xml:space="preserve"> organisation were refined further.</w:t>
      </w:r>
      <w:r w:rsidR="0031297D" w:rsidRPr="00C952B9">
        <w:t xml:space="preserve"> </w:t>
      </w:r>
      <w:r w:rsidR="00985F90" w:rsidRPr="00C952B9">
        <w:t>P</w:t>
      </w:r>
      <w:r w:rsidR="00AC699D" w:rsidRPr="00C952B9">
        <w:t xml:space="preserve">reparatory and </w:t>
      </w:r>
      <w:r w:rsidR="00985F90" w:rsidRPr="00C952B9">
        <w:t>R</w:t>
      </w:r>
      <w:r w:rsidR="00AC699D" w:rsidRPr="00C952B9">
        <w:t>eference group</w:t>
      </w:r>
      <w:r w:rsidR="0031297D" w:rsidRPr="00C952B9">
        <w:t>s</w:t>
      </w:r>
      <w:r w:rsidR="001D395E" w:rsidRPr="00C952B9">
        <w:t>’</w:t>
      </w:r>
      <w:r w:rsidR="00AC699D" w:rsidRPr="00C952B9">
        <w:t xml:space="preserve"> main purpose was </w:t>
      </w:r>
      <w:r w:rsidR="00985F90" w:rsidRPr="00C952B9">
        <w:t xml:space="preserve">determined </w:t>
      </w:r>
      <w:r w:rsidR="00AC699D" w:rsidRPr="00C952B9">
        <w:t>as ensuring that the municipality</w:t>
      </w:r>
      <w:r w:rsidR="001D395E" w:rsidRPr="00C952B9">
        <w:t>’</w:t>
      </w:r>
      <w:r w:rsidR="00AC699D" w:rsidRPr="00C952B9">
        <w:t xml:space="preserve">s representatives receive sufficient training and knowledge regarding the work of the SKB and the authorities. </w:t>
      </w:r>
      <w:r w:rsidR="00985F90" w:rsidRPr="00C952B9">
        <w:t>R</w:t>
      </w:r>
      <w:r w:rsidR="00AC699D" w:rsidRPr="00C952B9">
        <w:t xml:space="preserve">eference group would also serve as a link to the public. </w:t>
      </w:r>
      <w:r w:rsidR="0040334A" w:rsidRPr="00C952B9">
        <w:t>The l</w:t>
      </w:r>
      <w:r w:rsidR="00AC699D" w:rsidRPr="00C952B9">
        <w:t>ocal EIA</w:t>
      </w:r>
      <w:r w:rsidR="0040334A" w:rsidRPr="00C952B9">
        <w:t>-</w:t>
      </w:r>
      <w:r w:rsidR="00AC699D" w:rsidRPr="00C952B9">
        <w:t xml:space="preserve">group was renamed as </w:t>
      </w:r>
      <w:r w:rsidR="00985F90" w:rsidRPr="00C952B9">
        <w:t>P</w:t>
      </w:r>
      <w:r w:rsidR="00AC699D" w:rsidRPr="00C952B9">
        <w:t>la</w:t>
      </w:r>
      <w:r w:rsidR="00366621" w:rsidRPr="00C952B9">
        <w:t>n</w:t>
      </w:r>
      <w:r w:rsidR="00AC699D" w:rsidRPr="00C952B9">
        <w:t xml:space="preserve">ning group to highlight the task of planning </w:t>
      </w:r>
      <w:r w:rsidR="00D567BB" w:rsidRPr="00C952B9">
        <w:t>ahead</w:t>
      </w:r>
      <w:r w:rsidR="00AC699D" w:rsidRPr="00C952B9">
        <w:t xml:space="preserve">, </w:t>
      </w:r>
      <w:r w:rsidR="00D567BB" w:rsidRPr="00C952B9">
        <w:t xml:space="preserve">in order to have </w:t>
      </w:r>
      <w:r w:rsidR="00AC699D" w:rsidRPr="00C952B9">
        <w:t>the opportunity to engage in affairs affecting the municipality at an early stage.</w:t>
      </w:r>
    </w:p>
    <w:p w14:paraId="29E6EB3E" w14:textId="1E621911" w:rsidR="00AC699D" w:rsidRPr="00C952B9" w:rsidRDefault="00AC699D" w:rsidP="00AC699D">
      <w:pPr>
        <w:pStyle w:val="BodyText"/>
      </w:pPr>
      <w:r w:rsidRPr="00C952B9">
        <w:t>In addition to reviewing and commenting increasing amount of reports (e.g. using specially appointed working groups) and attending to EIA consultations, the municipality participated in various seminars, projects and other competence increasing functions</w:t>
      </w:r>
      <w:r w:rsidR="00E45DF8" w:rsidRPr="00C952B9">
        <w:t>. Östhammar also still counted on regional university</w:t>
      </w:r>
      <w:r w:rsidR="001D395E" w:rsidRPr="00C952B9">
        <w:t>’</w:t>
      </w:r>
      <w:r w:rsidR="00E45DF8" w:rsidRPr="00C952B9">
        <w:t>s and experts</w:t>
      </w:r>
      <w:r w:rsidR="001D395E" w:rsidRPr="00C952B9">
        <w:t>’</w:t>
      </w:r>
      <w:r w:rsidR="00E45DF8" w:rsidRPr="00C952B9">
        <w:t xml:space="preserve"> help to review SKB</w:t>
      </w:r>
      <w:r w:rsidR="001D395E" w:rsidRPr="00C952B9">
        <w:t>’</w:t>
      </w:r>
      <w:r w:rsidR="00E45DF8" w:rsidRPr="00C952B9">
        <w:t xml:space="preserve">s work </w:t>
      </w:r>
      <w:r w:rsidR="000058AC" w:rsidRPr="00C952B9">
        <w:t>[29]</w:t>
      </w:r>
      <w:r w:rsidR="00E45DF8" w:rsidRPr="00C952B9">
        <w:t>.</w:t>
      </w:r>
      <w:r w:rsidRPr="00C952B9">
        <w:t xml:space="preserve"> While municipality communicated directly with SKB and authorities </w:t>
      </w:r>
      <w:r w:rsidR="000058AC" w:rsidRPr="00C952B9">
        <w:t>[29]</w:t>
      </w:r>
      <w:r w:rsidRPr="00C952B9">
        <w:t>, also EIA consultations resulted in a number of questions, which were reported together with SKB</w:t>
      </w:r>
      <w:r w:rsidR="001D395E" w:rsidRPr="00C952B9">
        <w:t>’</w:t>
      </w:r>
      <w:r w:rsidRPr="00C952B9">
        <w:t xml:space="preserve">s responses </w:t>
      </w:r>
      <w:r w:rsidR="000058AC" w:rsidRPr="00C952B9">
        <w:t>[30]</w:t>
      </w:r>
      <w:r w:rsidRPr="00C952B9">
        <w:t>. Local NGOs were given some financial support</w:t>
      </w:r>
      <w:r w:rsidR="00C2169F" w:rsidRPr="00C952B9">
        <w:t>,</w:t>
      </w:r>
      <w:r w:rsidRPr="00C952B9">
        <w:t xml:space="preserve"> </w:t>
      </w:r>
      <w:r w:rsidR="00C2169F" w:rsidRPr="00C952B9">
        <w:t>m</w:t>
      </w:r>
      <w:r w:rsidRPr="00C952B9">
        <w:t xml:space="preserve">unicipality discussed final disposal in its own information newspaper and </w:t>
      </w:r>
      <w:r w:rsidR="00C2169F" w:rsidRPr="00C952B9">
        <w:t xml:space="preserve">produced a </w:t>
      </w:r>
      <w:r w:rsidRPr="00C952B9">
        <w:t xml:space="preserve">newsletter regarding the issue. </w:t>
      </w:r>
      <w:r w:rsidR="00C2169F" w:rsidRPr="00C952B9">
        <w:t>Östhammar and Oskarshamn started regular cooperation to use resources more rationally and to deliberate common issues</w:t>
      </w:r>
      <w:r w:rsidR="00867F18" w:rsidRPr="00C952B9">
        <w:t>, in end of 2003</w:t>
      </w:r>
      <w:r w:rsidR="00C2169F" w:rsidRPr="00C952B9">
        <w:t xml:space="preserve">. </w:t>
      </w:r>
      <w:r w:rsidR="00187C19" w:rsidRPr="00C952B9">
        <w:t>This led to the</w:t>
      </w:r>
      <w:r w:rsidRPr="00C952B9">
        <w:t xml:space="preserve"> 2008 cooperation agreement</w:t>
      </w:r>
      <w:r w:rsidR="00187C19" w:rsidRPr="00C952B9">
        <w:t>,</w:t>
      </w:r>
      <w:r w:rsidRPr="00C952B9">
        <w:t xml:space="preserve"> </w:t>
      </w:r>
      <w:r w:rsidR="00445FBD" w:rsidRPr="00C952B9">
        <w:t xml:space="preserve">resulting in </w:t>
      </w:r>
      <w:r w:rsidRPr="00C952B9">
        <w:t xml:space="preserve">pact concerning </w:t>
      </w:r>
      <w:r w:rsidR="00192382" w:rsidRPr="00C952B9">
        <w:t xml:space="preserve">the </w:t>
      </w:r>
      <w:r w:rsidRPr="00C952B9">
        <w:t>Added Value Programme.</w:t>
      </w:r>
    </w:p>
    <w:p w14:paraId="1ADB708F" w14:textId="508AFFA4" w:rsidR="00C54253" w:rsidRPr="00612BD4" w:rsidRDefault="00604DFA" w:rsidP="00A8666E">
      <w:pPr>
        <w:pStyle w:val="Heading4"/>
        <w:ind w:left="0"/>
        <w:rPr>
          <w:lang w:val="en-GB"/>
        </w:rPr>
      </w:pPr>
      <w:r w:rsidRPr="00612BD4">
        <w:rPr>
          <w:lang w:val="en-GB"/>
        </w:rPr>
        <w:t>T</w:t>
      </w:r>
      <w:r w:rsidR="00C54253" w:rsidRPr="00612BD4">
        <w:rPr>
          <w:lang w:val="en-GB"/>
        </w:rPr>
        <w:t>he site selection</w:t>
      </w:r>
      <w:r w:rsidRPr="00612BD4">
        <w:rPr>
          <w:lang w:val="en-GB"/>
        </w:rPr>
        <w:t xml:space="preserve"> and onwards</w:t>
      </w:r>
    </w:p>
    <w:p w14:paraId="3DFABA67" w14:textId="6CFE4845" w:rsidR="00612BD4" w:rsidRPr="004045A0" w:rsidRDefault="00612BD4" w:rsidP="00612BD4">
      <w:pPr>
        <w:pStyle w:val="BodyText"/>
      </w:pPr>
      <w:r>
        <w:t xml:space="preserve">To ensure the </w:t>
      </w:r>
      <w:r w:rsidRPr="00C952B9">
        <w:t xml:space="preserve">quality </w:t>
      </w:r>
      <w:r w:rsidRPr="00FF4CD5">
        <w:t>informatio</w:t>
      </w:r>
      <w:r w:rsidRPr="009A6752">
        <w:t>n and decision</w:t>
      </w:r>
      <w:r>
        <w:t>-</w:t>
      </w:r>
      <w:r w:rsidRPr="009A6752">
        <w:t xml:space="preserve">making </w:t>
      </w:r>
      <w:r>
        <w:t>on</w:t>
      </w:r>
      <w:r w:rsidRPr="009A6752">
        <w:t xml:space="preserve"> SKB’</w:t>
      </w:r>
      <w:r w:rsidRPr="00825E3E">
        <w:t>s applications, the local fin</w:t>
      </w:r>
      <w:r w:rsidRPr="00995716">
        <w:t>al disposal organisation was once again renewed</w:t>
      </w:r>
      <w:r w:rsidRPr="004045A0">
        <w:t xml:space="preserve"> </w:t>
      </w:r>
      <w:r w:rsidRPr="00266F15">
        <w:t xml:space="preserve">in </w:t>
      </w:r>
      <w:r w:rsidR="006416A6" w:rsidRPr="00266F15">
        <w:t>2009</w:t>
      </w:r>
      <w:r w:rsidRPr="00266F15">
        <w:t>.</w:t>
      </w:r>
    </w:p>
    <w:p w14:paraId="56CDDCE8" w14:textId="224C6C85" w:rsidR="00612BD4" w:rsidRPr="00C952B9" w:rsidRDefault="00612BD4" w:rsidP="00612BD4">
      <w:pPr>
        <w:pStyle w:val="BodyText"/>
      </w:pPr>
      <w:r w:rsidRPr="0096592E">
        <w:t>Under the municipal board, and the new</w:t>
      </w:r>
      <w:r w:rsidRPr="0097202B">
        <w:t xml:space="preserve"> municipal board</w:t>
      </w:r>
      <w:r w:rsidRPr="004E2A49">
        <w:t>’</w:t>
      </w:r>
      <w:r w:rsidRPr="00785550">
        <w:t xml:space="preserve">s working group for the final disposal, the organisation </w:t>
      </w:r>
      <w:r w:rsidRPr="00CF2BEC">
        <w:t xml:space="preserve">was divided </w:t>
      </w:r>
      <w:r>
        <w:t>into</w:t>
      </w:r>
      <w:r w:rsidRPr="00CF2BEC">
        <w:t xml:space="preserve"> three parts</w:t>
      </w:r>
      <w:r>
        <w:t>:</w:t>
      </w:r>
      <w:r w:rsidRPr="00CF2BEC">
        <w:t xml:space="preserve"> </w:t>
      </w:r>
      <w:r w:rsidRPr="00C952B9">
        <w:t xml:space="preserve">two parts corresponding to two different applications under different legislations, i.e. Safety group and EIA group, with addition of Reference group and its working group. </w:t>
      </w:r>
      <w:r>
        <w:t xml:space="preserve">The assignment of the </w:t>
      </w:r>
      <w:r w:rsidRPr="00C952B9">
        <w:t xml:space="preserve">Safety and EIA groups’ was to review SKB’s research plans and reports and </w:t>
      </w:r>
      <w:r>
        <w:t xml:space="preserve">the work of the </w:t>
      </w:r>
      <w:r w:rsidRPr="00C952B9">
        <w:t xml:space="preserve">authorities, </w:t>
      </w:r>
      <w:r>
        <w:t xml:space="preserve">with a view to </w:t>
      </w:r>
      <w:r w:rsidRPr="00C952B9">
        <w:t>prepar</w:t>
      </w:r>
      <w:r>
        <w:t>ing</w:t>
      </w:r>
      <w:r w:rsidRPr="00C952B9">
        <w:t xml:space="preserve"> questions, statements and proposals. </w:t>
      </w:r>
      <w:r>
        <w:t xml:space="preserve">The </w:t>
      </w:r>
      <w:r w:rsidRPr="00C952B9">
        <w:t xml:space="preserve">Reference group was to keep itself </w:t>
      </w:r>
      <w:r w:rsidRPr="00C952B9">
        <w:lastRenderedPageBreak/>
        <w:t xml:space="preserve">informed regarding final disposal, </w:t>
      </w:r>
      <w:r>
        <w:t xml:space="preserve">inform and maintain dialogue with the public, </w:t>
      </w:r>
      <w:r w:rsidRPr="00C952B9">
        <w:t>and</w:t>
      </w:r>
      <w:r>
        <w:t xml:space="preserve">, together </w:t>
      </w:r>
      <w:r w:rsidRPr="00C952B9">
        <w:t xml:space="preserve">with </w:t>
      </w:r>
      <w:r>
        <w:t xml:space="preserve">the </w:t>
      </w:r>
      <w:r w:rsidRPr="00C952B9">
        <w:t xml:space="preserve">other groups, </w:t>
      </w:r>
      <w:r>
        <w:t>to maintain dialogue with the municipal council and to ensure adequate</w:t>
      </w:r>
      <w:r w:rsidRPr="00C952B9">
        <w:t xml:space="preserve"> training and knowledge</w:t>
      </w:r>
      <w:r>
        <w:t xml:space="preserve"> for </w:t>
      </w:r>
      <w:r w:rsidRPr="00C952B9">
        <w:t>the municipal representatives</w:t>
      </w:r>
    </w:p>
    <w:p w14:paraId="32A081CE" w14:textId="40BD482D" w:rsidR="00612BD4" w:rsidRPr="00C952B9" w:rsidRDefault="00612BD4" w:rsidP="00612BD4">
      <w:pPr>
        <w:pStyle w:val="BodyText"/>
      </w:pPr>
      <w:r w:rsidRPr="00C952B9">
        <w:t xml:space="preserve">Both </w:t>
      </w:r>
      <w:r>
        <w:t xml:space="preserve">the </w:t>
      </w:r>
      <w:r w:rsidRPr="00C952B9">
        <w:t xml:space="preserve">Safety and EIA group </w:t>
      </w:r>
      <w:r>
        <w:t>had</w:t>
      </w:r>
      <w:r w:rsidRPr="00C952B9">
        <w:t xml:space="preserve"> 11 </w:t>
      </w:r>
      <w:r>
        <w:t>members</w:t>
      </w:r>
      <w:r w:rsidRPr="00C952B9">
        <w:t xml:space="preserve">, whereas </w:t>
      </w:r>
      <w:r>
        <w:t xml:space="preserve">the </w:t>
      </w:r>
      <w:r w:rsidRPr="00C952B9">
        <w:t xml:space="preserve">Reference group grew </w:t>
      </w:r>
      <w:r w:rsidR="008A664F">
        <w:t xml:space="preserve">up </w:t>
      </w:r>
      <w:r>
        <w:t xml:space="preserve">to </w:t>
      </w:r>
      <w:r w:rsidR="008A664F">
        <w:t>27</w:t>
      </w:r>
      <w:r w:rsidRPr="00C952B9">
        <w:t xml:space="preserve"> </w:t>
      </w:r>
      <w:r w:rsidR="008A664F">
        <w:t xml:space="preserve">members, </w:t>
      </w:r>
      <w:r w:rsidRPr="00C952B9">
        <w:t xml:space="preserve">as </w:t>
      </w:r>
      <w:r>
        <w:t>further</w:t>
      </w:r>
      <w:r w:rsidRPr="00C952B9">
        <w:t xml:space="preserve"> neighbouring municipalities </w:t>
      </w:r>
      <w:r>
        <w:t xml:space="preserve">joined, </w:t>
      </w:r>
      <w:r w:rsidRPr="00C952B9">
        <w:t xml:space="preserve">including Åland (from Finland), </w:t>
      </w:r>
      <w:r>
        <w:t>as did the chairmen and vice-chairmen of</w:t>
      </w:r>
      <w:r w:rsidRPr="00C952B9">
        <w:t xml:space="preserve"> both Safety and EIA groups. The </w:t>
      </w:r>
      <w:r>
        <w:t xml:space="preserve">chairman of the Reference group chaired also the five-member </w:t>
      </w:r>
      <w:r w:rsidRPr="00C952B9">
        <w:t xml:space="preserve">working group. </w:t>
      </w:r>
      <w:r w:rsidR="008A664F">
        <w:t>Later,</w:t>
      </w:r>
      <w:r w:rsidR="008A664F" w:rsidRPr="008A664F">
        <w:t xml:space="preserve"> </w:t>
      </w:r>
      <w:r w:rsidR="008A664F">
        <w:t>in 2016, i</w:t>
      </w:r>
      <w:r w:rsidRPr="00C952B9">
        <w:t xml:space="preserve">n anticipation of </w:t>
      </w:r>
      <w:r>
        <w:t xml:space="preserve">the </w:t>
      </w:r>
      <w:r w:rsidRPr="00C952B9">
        <w:t>approaching licensing decision</w:t>
      </w:r>
      <w:r>
        <w:t>,</w:t>
      </w:r>
      <w:r w:rsidRPr="00C952B9">
        <w:t xml:space="preserve"> all members of the municipal council were incorporated into the </w:t>
      </w:r>
      <w:r>
        <w:t>R</w:t>
      </w:r>
      <w:r w:rsidRPr="00C952B9">
        <w:t>eference group.</w:t>
      </w:r>
    </w:p>
    <w:p w14:paraId="52A0874A" w14:textId="3886C249" w:rsidR="00612BD4" w:rsidRPr="00C952B9" w:rsidRDefault="00612BD4" w:rsidP="00612BD4">
      <w:pPr>
        <w:pStyle w:val="BodyText"/>
      </w:pPr>
      <w:r>
        <w:t xml:space="preserve">Expecting that </w:t>
      </w:r>
      <w:r w:rsidRPr="00C952B9">
        <w:t xml:space="preserve">the need for information and dialogue would grow </w:t>
      </w:r>
      <w:r>
        <w:t>once</w:t>
      </w:r>
      <w:r w:rsidRPr="00C952B9">
        <w:t xml:space="preserve"> SKB </w:t>
      </w:r>
      <w:r>
        <w:t xml:space="preserve">would </w:t>
      </w:r>
      <w:r w:rsidRPr="00C952B9">
        <w:t xml:space="preserve">submit its applications, the municipality significantly increased its </w:t>
      </w:r>
      <w:r>
        <w:t xml:space="preserve">efforts </w:t>
      </w:r>
      <w:r w:rsidRPr="00C952B9">
        <w:t>to strengthen its ability to understand, form opinions and inform</w:t>
      </w:r>
      <w:r>
        <w:t xml:space="preserve"> the</w:t>
      </w:r>
      <w:r w:rsidRPr="00C952B9">
        <w:t xml:space="preserve"> public </w:t>
      </w:r>
      <w:r>
        <w:t>about</w:t>
      </w:r>
      <w:r w:rsidRPr="00C952B9">
        <w:t xml:space="preserve"> the applications. The organisation </w:t>
      </w:r>
      <w:r>
        <w:t>would</w:t>
      </w:r>
      <w:r w:rsidRPr="00C952B9">
        <w:t xml:space="preserve"> </w:t>
      </w:r>
      <w:r>
        <w:t xml:space="preserve">review and </w:t>
      </w:r>
      <w:r w:rsidRPr="00C952B9">
        <w:t>revis</w:t>
      </w:r>
      <w:r>
        <w:t>e</w:t>
      </w:r>
      <w:r w:rsidRPr="00C952B9">
        <w:t xml:space="preserve"> SKB’s RD&amp;D reports, </w:t>
      </w:r>
      <w:r>
        <w:t xml:space="preserve">the </w:t>
      </w:r>
      <w:r w:rsidRPr="00C952B9">
        <w:t xml:space="preserve">preliminary EIA report, </w:t>
      </w:r>
      <w:r>
        <w:t xml:space="preserve">the </w:t>
      </w:r>
      <w:r w:rsidRPr="00C952B9">
        <w:t xml:space="preserve">actual applications, and </w:t>
      </w:r>
      <w:r w:rsidR="00FB04C5">
        <w:t>their</w:t>
      </w:r>
      <w:r w:rsidR="00FB04C5" w:rsidRPr="00C952B9">
        <w:t xml:space="preserve"> </w:t>
      </w:r>
      <w:r w:rsidRPr="00C952B9">
        <w:t xml:space="preserve">amendments. </w:t>
      </w:r>
      <w:r>
        <w:t xml:space="preserve">It would </w:t>
      </w:r>
      <w:r w:rsidRPr="00C952B9">
        <w:t xml:space="preserve">also </w:t>
      </w:r>
      <w:r>
        <w:t xml:space="preserve">follow </w:t>
      </w:r>
      <w:r w:rsidRPr="00C952B9">
        <w:t xml:space="preserve">the </w:t>
      </w:r>
      <w:r>
        <w:t xml:space="preserve">work and opinions of </w:t>
      </w:r>
      <w:r w:rsidR="00FB04C5">
        <w:t xml:space="preserve">the </w:t>
      </w:r>
      <w:r w:rsidRPr="00C952B9">
        <w:t xml:space="preserve">authorities </w:t>
      </w:r>
      <w:r>
        <w:t>and</w:t>
      </w:r>
      <w:r w:rsidRPr="00C952B9">
        <w:t xml:space="preserve"> </w:t>
      </w:r>
      <w:r w:rsidR="00FB04C5">
        <w:t xml:space="preserve">other </w:t>
      </w:r>
      <w:r w:rsidRPr="00C952B9">
        <w:t xml:space="preserve">stakeholders e.g. by reviewing </w:t>
      </w:r>
      <w:r>
        <w:t xml:space="preserve">the </w:t>
      </w:r>
      <w:r w:rsidRPr="00C952B9">
        <w:t>radiation authorit</w:t>
      </w:r>
      <w:r>
        <w:t>y’</w:t>
      </w:r>
      <w:r w:rsidRPr="00C952B9">
        <w:t xml:space="preserve">s (SSM) technical notes and preliminary reviews and </w:t>
      </w:r>
      <w:r>
        <w:t xml:space="preserve">by </w:t>
      </w:r>
      <w:r w:rsidRPr="00C952B9">
        <w:t xml:space="preserve">following </w:t>
      </w:r>
      <w:r>
        <w:t xml:space="preserve">the </w:t>
      </w:r>
      <w:r w:rsidRPr="00C952B9">
        <w:t>completion round initiated by the Land and Environmental Court, as well as SKB’s responses</w:t>
      </w:r>
      <w:r>
        <w:t xml:space="preserve"> in the process</w:t>
      </w:r>
      <w:r w:rsidRPr="00C952B9">
        <w:t xml:space="preserve">. </w:t>
      </w:r>
    </w:p>
    <w:p w14:paraId="7372F859" w14:textId="77777777" w:rsidR="00612BD4" w:rsidRPr="00C952B9" w:rsidRDefault="00612BD4" w:rsidP="00612BD4">
      <w:pPr>
        <w:pStyle w:val="BodyText"/>
      </w:pPr>
      <w:r>
        <w:t>T</w:t>
      </w:r>
      <w:r w:rsidRPr="00C952B9">
        <w:t xml:space="preserve">he final disposal organisation </w:t>
      </w:r>
      <w:r>
        <w:t xml:space="preserve">continued to </w:t>
      </w:r>
      <w:r w:rsidRPr="00C952B9">
        <w:t xml:space="preserve">attend study visits, workshops, seminars and conferences, </w:t>
      </w:r>
      <w:r>
        <w:t xml:space="preserve">but </w:t>
      </w:r>
      <w:r w:rsidRPr="00C952B9">
        <w:t xml:space="preserve">also </w:t>
      </w:r>
      <w:r>
        <w:t>organised</w:t>
      </w:r>
      <w:r w:rsidRPr="00C952B9">
        <w:t xml:space="preserve"> consultation</w:t>
      </w:r>
      <w:r>
        <w:t>s</w:t>
      </w:r>
      <w:r w:rsidRPr="00C952B9">
        <w:t xml:space="preserve"> with SKB, employed its own consultants, networked with other communities </w:t>
      </w:r>
      <w:r>
        <w:t>(</w:t>
      </w:r>
      <w:r w:rsidRPr="00C952B9">
        <w:t xml:space="preserve">e.g. </w:t>
      </w:r>
      <w:r>
        <w:t xml:space="preserve">by </w:t>
      </w:r>
      <w:r w:rsidRPr="00C952B9">
        <w:t xml:space="preserve">initiating </w:t>
      </w:r>
      <w:r>
        <w:t xml:space="preserve">the </w:t>
      </w:r>
      <w:r w:rsidRPr="00C952B9">
        <w:t>European local Network of radioactive Waste Dialogue</w:t>
      </w:r>
      <w:r>
        <w:t xml:space="preserve">, </w:t>
      </w:r>
      <w:r w:rsidRPr="00C952B9">
        <w:t>ENWD), followed international research program</w:t>
      </w:r>
      <w:r>
        <w:t>me</w:t>
      </w:r>
      <w:r w:rsidRPr="00C952B9">
        <w:t xml:space="preserve">s and participated in international reviews and discussions. </w:t>
      </w:r>
      <w:r>
        <w:t>T</w:t>
      </w:r>
      <w:r w:rsidRPr="00C952B9">
        <w:t xml:space="preserve">he organisation </w:t>
      </w:r>
      <w:r>
        <w:t>had its representatives at</w:t>
      </w:r>
      <w:r w:rsidRPr="00C952B9">
        <w:t xml:space="preserve"> SKB’s copper corrosion reference group and </w:t>
      </w:r>
      <w:r>
        <w:t xml:space="preserve">in </w:t>
      </w:r>
      <w:r w:rsidRPr="00C952B9">
        <w:t xml:space="preserve">the </w:t>
      </w:r>
      <w:r>
        <w:t>roundtable discussions of the N</w:t>
      </w:r>
      <w:r w:rsidRPr="00C952B9">
        <w:t>ational council for nuclear waste</w:t>
      </w:r>
      <w:r>
        <w:t>.</w:t>
      </w:r>
      <w:r w:rsidRPr="00C952B9">
        <w:t xml:space="preserve"> </w:t>
      </w:r>
      <w:r>
        <w:t>O</w:t>
      </w:r>
      <w:r w:rsidRPr="00C952B9">
        <w:t>n several occasions</w:t>
      </w:r>
      <w:r>
        <w:t>,</w:t>
      </w:r>
      <w:r w:rsidRPr="00C952B9">
        <w:t xml:space="preserve"> the municipal board </w:t>
      </w:r>
      <w:r>
        <w:t>requested</w:t>
      </w:r>
      <w:r w:rsidRPr="00C952B9">
        <w:t xml:space="preserve"> discussions with SKB </w:t>
      </w:r>
      <w:r>
        <w:t>and</w:t>
      </w:r>
      <w:r w:rsidRPr="00C952B9">
        <w:t xml:space="preserve"> SSM. The organisation also arranged number of seminars and lectures both for itself and </w:t>
      </w:r>
      <w:r>
        <w:t xml:space="preserve">for the </w:t>
      </w:r>
      <w:r w:rsidRPr="00C952B9">
        <w:t xml:space="preserve">general public. </w:t>
      </w:r>
    </w:p>
    <w:p w14:paraId="1CAE5FB3" w14:textId="630E72D2" w:rsidR="00612BD4" w:rsidRPr="00C952B9" w:rsidRDefault="00612BD4" w:rsidP="00612BD4">
      <w:pPr>
        <w:pStyle w:val="BodyText"/>
      </w:pPr>
      <w:r>
        <w:t>The s</w:t>
      </w:r>
      <w:r w:rsidRPr="00C952B9">
        <w:t>everal initiatives</w:t>
      </w:r>
      <w:r>
        <w:t xml:space="preserve"> of capacity building</w:t>
      </w:r>
      <w:r w:rsidRPr="00C952B9">
        <w:t xml:space="preserve"> includ</w:t>
      </w:r>
      <w:r>
        <w:t>ed</w:t>
      </w:r>
      <w:r w:rsidRPr="00C952B9">
        <w:t xml:space="preserve"> regular updates and them</w:t>
      </w:r>
      <w:r>
        <w:t>atic</w:t>
      </w:r>
      <w:r w:rsidRPr="00C952B9">
        <w:t xml:space="preserve"> training days. Especially in 2011</w:t>
      </w:r>
      <w:r>
        <w:t>–</w:t>
      </w:r>
      <w:r w:rsidRPr="00C952B9">
        <w:t>2013</w:t>
      </w:r>
      <w:r>
        <w:t>, a</w:t>
      </w:r>
      <w:r w:rsidRPr="00C952B9">
        <w:t xml:space="preserve"> series of intensive internal education, ranging from chemistry and thermodynamics to environmental ethics, took place. Around the same time, the municipality also conducted </w:t>
      </w:r>
      <w:r>
        <w:t xml:space="preserve">a so-called </w:t>
      </w:r>
      <w:r w:rsidRPr="00C952B9">
        <w:t xml:space="preserve">Dialogue tour consisting of 50 stops and </w:t>
      </w:r>
      <w:r>
        <w:t>resulting in</w:t>
      </w:r>
      <w:r w:rsidRPr="00C952B9">
        <w:t xml:space="preserve"> </w:t>
      </w:r>
      <w:r>
        <w:t>about</w:t>
      </w:r>
      <w:r w:rsidRPr="00C952B9">
        <w:t xml:space="preserve"> 300 comments from the public. </w:t>
      </w:r>
      <w:r>
        <w:t>W</w:t>
      </w:r>
      <w:r w:rsidRPr="00C952B9">
        <w:t>eb</w:t>
      </w:r>
      <w:r>
        <w:t>-</w:t>
      </w:r>
      <w:r w:rsidRPr="00C952B9">
        <w:t xml:space="preserve">based activities </w:t>
      </w:r>
      <w:r>
        <w:t xml:space="preserve">were given emphasis: the earlier active blog was complemented by a </w:t>
      </w:r>
      <w:r w:rsidRPr="00C952B9">
        <w:t xml:space="preserve">digital working room, </w:t>
      </w:r>
      <w:r>
        <w:t>and by an internet-based</w:t>
      </w:r>
      <w:r w:rsidRPr="00C952B9">
        <w:t xml:space="preserve"> portal</w:t>
      </w:r>
      <w:r w:rsidR="00097C91">
        <w:t xml:space="preserve"> with online</w:t>
      </w:r>
      <w:r w:rsidRPr="00C952B9">
        <w:t xml:space="preserve"> seminars</w:t>
      </w:r>
      <w:r>
        <w:t>,</w:t>
      </w:r>
      <w:r w:rsidRPr="00C952B9">
        <w:t xml:space="preserve"> meetings</w:t>
      </w:r>
      <w:r>
        <w:t>,</w:t>
      </w:r>
      <w:r w:rsidRPr="00C952B9">
        <w:t xml:space="preserve"> and reporting from EIA hearings. </w:t>
      </w:r>
    </w:p>
    <w:p w14:paraId="7BE537C0" w14:textId="3857397E" w:rsidR="000624BC" w:rsidRPr="00C952B9" w:rsidRDefault="000624BC" w:rsidP="000624BC">
      <w:pPr>
        <w:pStyle w:val="Heading3"/>
      </w:pPr>
      <w:r w:rsidRPr="00C952B9">
        <w:t>Eurajoki</w:t>
      </w:r>
      <w:r w:rsidR="00BF052D" w:rsidRPr="00C952B9">
        <w:t>, Finland</w:t>
      </w:r>
    </w:p>
    <w:p w14:paraId="53A792BB" w14:textId="37DBE58B" w:rsidR="00277F42" w:rsidRPr="003632DE" w:rsidRDefault="00FE3894" w:rsidP="000058AC">
      <w:pPr>
        <w:pStyle w:val="Heading4"/>
        <w:numPr>
          <w:ilvl w:val="3"/>
          <w:numId w:val="12"/>
        </w:numPr>
        <w:ind w:left="0"/>
        <w:rPr>
          <w:lang w:val="en-GB"/>
        </w:rPr>
      </w:pPr>
      <w:r w:rsidRPr="003632DE">
        <w:rPr>
          <w:lang w:val="en-GB"/>
        </w:rPr>
        <w:t>P</w:t>
      </w:r>
      <w:r w:rsidR="00277F42" w:rsidRPr="003632DE">
        <w:rPr>
          <w:lang w:val="en-GB"/>
        </w:rPr>
        <w:t xml:space="preserve">reliminary </w:t>
      </w:r>
      <w:r w:rsidR="00105168" w:rsidRPr="003632DE">
        <w:rPr>
          <w:lang w:val="en-GB"/>
        </w:rPr>
        <w:t xml:space="preserve">and </w:t>
      </w:r>
      <w:r w:rsidR="00A07C3D" w:rsidRPr="003632DE">
        <w:rPr>
          <w:lang w:val="en-GB"/>
        </w:rPr>
        <w:t>detailed site characterization</w:t>
      </w:r>
      <w:r w:rsidR="00105168" w:rsidRPr="003632DE">
        <w:rPr>
          <w:lang w:val="en-GB"/>
        </w:rPr>
        <w:t xml:space="preserve"> phases</w:t>
      </w:r>
    </w:p>
    <w:p w14:paraId="625D5BFD" w14:textId="77777777" w:rsidR="003632DE" w:rsidRPr="00C952B9" w:rsidRDefault="003632DE" w:rsidP="003632DE">
      <w:pPr>
        <w:pStyle w:val="BodyText"/>
      </w:pPr>
      <w:r w:rsidRPr="00C952B9">
        <w:t>In 1987</w:t>
      </w:r>
      <w:r>
        <w:t>,</w:t>
      </w:r>
      <w:r w:rsidRPr="00C952B9">
        <w:t xml:space="preserve"> TVO informed Eurajoki</w:t>
      </w:r>
      <w:r>
        <w:t xml:space="preserve"> and</w:t>
      </w:r>
      <w:r w:rsidRPr="00FF4CD5">
        <w:t xml:space="preserve"> that </w:t>
      </w:r>
      <w:r>
        <w:t xml:space="preserve">the company had chosen Olkiluoto as </w:t>
      </w:r>
      <w:r w:rsidRPr="00FF4CD5">
        <w:t>one of the alternative investigation sites for final d</w:t>
      </w:r>
      <w:r w:rsidRPr="00825E3E">
        <w:t>isposal of SNF</w:t>
      </w:r>
      <w:r>
        <w:t>, in addition to sites in four</w:t>
      </w:r>
      <w:r w:rsidRPr="00FF4CD5">
        <w:t xml:space="preserve"> other municipalities</w:t>
      </w:r>
      <w:r w:rsidRPr="00130573">
        <w:t xml:space="preserve">. The municipal board took note of the announcement, but did </w:t>
      </w:r>
      <w:r>
        <w:t>neither</w:t>
      </w:r>
      <w:r w:rsidRPr="00130573">
        <w:t xml:space="preserve"> decide</w:t>
      </w:r>
      <w:r>
        <w:t>d</w:t>
      </w:r>
      <w:r w:rsidRPr="00130573">
        <w:t xml:space="preserve"> on any organizational </w:t>
      </w:r>
      <w:r>
        <w:t>measures, nor</w:t>
      </w:r>
      <w:r w:rsidRPr="004045A0">
        <w:t xml:space="preserve"> </w:t>
      </w:r>
      <w:r>
        <w:t xml:space="preserve">asked </w:t>
      </w:r>
      <w:r w:rsidRPr="004045A0">
        <w:t xml:space="preserve">the </w:t>
      </w:r>
      <w:r w:rsidRPr="0096592E">
        <w:t>municipal board</w:t>
      </w:r>
      <w:r>
        <w:t>’s consent</w:t>
      </w:r>
      <w:r w:rsidRPr="0096592E">
        <w:t xml:space="preserve">. </w:t>
      </w:r>
      <w:r>
        <w:t>In 1980, as part of the Olkiluoto planning process,</w:t>
      </w:r>
      <w:r w:rsidRPr="0097202B">
        <w:t xml:space="preserve"> </w:t>
      </w:r>
      <w:r>
        <w:t xml:space="preserve">the municipality had asked for a commitment from </w:t>
      </w:r>
      <w:r w:rsidRPr="004E2A49">
        <w:t xml:space="preserve">TVO that no </w:t>
      </w:r>
      <w:r>
        <w:t xml:space="preserve">a repository of </w:t>
      </w:r>
      <w:r w:rsidRPr="004E2A49">
        <w:t>final disposal of high</w:t>
      </w:r>
      <w:r>
        <w:t xml:space="preserve">-level </w:t>
      </w:r>
      <w:r w:rsidRPr="004E2A49">
        <w:t xml:space="preserve">nuclear waste would </w:t>
      </w:r>
      <w:r>
        <w:t>not be located</w:t>
      </w:r>
      <w:r w:rsidRPr="004E2A49">
        <w:t xml:space="preserve"> in</w:t>
      </w:r>
      <w:r w:rsidRPr="00785550">
        <w:t xml:space="preserve"> </w:t>
      </w:r>
      <w:r>
        <w:t xml:space="preserve">the </w:t>
      </w:r>
      <w:r w:rsidRPr="00785550">
        <w:t>Ka</w:t>
      </w:r>
      <w:r w:rsidRPr="00CF2BEC">
        <w:t xml:space="preserve">alo area </w:t>
      </w:r>
      <w:r>
        <w:t>in</w:t>
      </w:r>
      <w:r w:rsidRPr="00C952B9">
        <w:t xml:space="preserve"> Olkiluoto site in 1980. </w:t>
      </w:r>
      <w:r>
        <w:t>T</w:t>
      </w:r>
      <w:r w:rsidRPr="00C952B9">
        <w:t xml:space="preserve">he municipality </w:t>
      </w:r>
      <w:r>
        <w:t>was opposed to the idea of</w:t>
      </w:r>
      <w:r w:rsidRPr="00C952B9">
        <w:t xml:space="preserve"> </w:t>
      </w:r>
      <w:r>
        <w:t>siting an SNF repository</w:t>
      </w:r>
      <w:r w:rsidRPr="00C952B9">
        <w:t xml:space="preserve"> in Eurajoki</w:t>
      </w:r>
      <w:r>
        <w:t xml:space="preserve"> – a position documented in </w:t>
      </w:r>
      <w:r w:rsidRPr="00C952B9">
        <w:t xml:space="preserve">the municipality plan in 1982 and </w:t>
      </w:r>
      <w:r>
        <w:t>rehearsed in</w:t>
      </w:r>
      <w:r w:rsidRPr="00C952B9">
        <w:t xml:space="preserve"> several </w:t>
      </w:r>
      <w:r>
        <w:t>documents</w:t>
      </w:r>
      <w:r w:rsidRPr="00C952B9">
        <w:t xml:space="preserve"> in the 1980s and 1990s. [16] Therefore it was </w:t>
      </w:r>
      <w:r>
        <w:t>un</w:t>
      </w:r>
      <w:r w:rsidRPr="00C952B9">
        <w:t>surpris</w:t>
      </w:r>
      <w:r>
        <w:t>ing</w:t>
      </w:r>
      <w:r w:rsidRPr="00C952B9">
        <w:t xml:space="preserve"> that the municipality did</w:t>
      </w:r>
      <w:r>
        <w:t xml:space="preserve"> </w:t>
      </w:r>
      <w:r w:rsidRPr="00C952B9">
        <w:t>n</w:t>
      </w:r>
      <w:r>
        <w:t>o</w:t>
      </w:r>
      <w:r w:rsidRPr="00C952B9">
        <w:t xml:space="preserve">t prepare </w:t>
      </w:r>
      <w:r>
        <w:t xml:space="preserve">for </w:t>
      </w:r>
      <w:r w:rsidRPr="00C952B9">
        <w:t xml:space="preserve">any </w:t>
      </w:r>
      <w:r>
        <w:t>kind</w:t>
      </w:r>
      <w:r w:rsidRPr="00C952B9">
        <w:t xml:space="preserve"> of partnering activities. However, later in 1987 the first liaison committee between TVO and Eurajoki</w:t>
      </w:r>
      <w:r>
        <w:t>,</w:t>
      </w:r>
      <w:r w:rsidRPr="00C952B9">
        <w:t xml:space="preserve"> focused on bedrock investigations</w:t>
      </w:r>
      <w:r>
        <w:t>,</w:t>
      </w:r>
      <w:r w:rsidRPr="00C952B9">
        <w:t xml:space="preserve"> </w:t>
      </w:r>
      <w:r>
        <w:t>as</w:t>
      </w:r>
      <w:r w:rsidRPr="00C952B9">
        <w:t xml:space="preserve"> the Ministry of Trade and Industry request</w:t>
      </w:r>
      <w:r>
        <w:t>ed</w:t>
      </w:r>
      <w:r w:rsidRPr="00C952B9">
        <w:t xml:space="preserve"> that information </w:t>
      </w:r>
      <w:r>
        <w:t xml:space="preserve">or liaison </w:t>
      </w:r>
      <w:r w:rsidRPr="00C952B9">
        <w:t xml:space="preserve">committees be established in the municipalities </w:t>
      </w:r>
      <w:r>
        <w:t>on TVO’s list of candidates</w:t>
      </w:r>
      <w:r w:rsidRPr="00C952B9">
        <w:t xml:space="preserve"> [23]</w:t>
      </w:r>
      <w:r>
        <w:t>.</w:t>
      </w:r>
    </w:p>
    <w:p w14:paraId="329EF392" w14:textId="77777777" w:rsidR="003632DE" w:rsidRPr="00C952B9" w:rsidRDefault="003632DE" w:rsidP="003632DE">
      <w:pPr>
        <w:pStyle w:val="BodyText"/>
      </w:pPr>
      <w:r>
        <w:t xml:space="preserve">Despite this negative position, and the controversial nature of both </w:t>
      </w:r>
      <w:r w:rsidRPr="00C952B9">
        <w:t>nuclear power</w:t>
      </w:r>
      <w:r>
        <w:t xml:space="preserve"> and</w:t>
      </w:r>
      <w:r w:rsidRPr="00C952B9">
        <w:t xml:space="preserve"> nuclear waste</w:t>
      </w:r>
      <w:r>
        <w:t xml:space="preserve"> </w:t>
      </w:r>
      <w:r w:rsidRPr="00C952B9">
        <w:t xml:space="preserve">in Eurajoki </w:t>
      </w:r>
      <w:r>
        <w:t>in the 1980s,</w:t>
      </w:r>
      <w:r w:rsidRPr="00C952B9">
        <w:t xml:space="preserve"> the municipality was attracted by </w:t>
      </w:r>
      <w:r>
        <w:t xml:space="preserve">the </w:t>
      </w:r>
      <w:r w:rsidRPr="00C952B9">
        <w:t xml:space="preserve">economic benefits from </w:t>
      </w:r>
      <w:r>
        <w:t>an</w:t>
      </w:r>
      <w:r w:rsidRPr="00C952B9">
        <w:t xml:space="preserve"> NPP. </w:t>
      </w:r>
      <w:r>
        <w:t xml:space="preserve">Both </w:t>
      </w:r>
      <w:r w:rsidRPr="00C952B9">
        <w:t xml:space="preserve">TVO as a company and the construction and operation of </w:t>
      </w:r>
      <w:r>
        <w:t>an</w:t>
      </w:r>
      <w:r w:rsidRPr="00C952B9">
        <w:t xml:space="preserve"> NPP as a project were very different </w:t>
      </w:r>
      <w:r>
        <w:t>from</w:t>
      </w:r>
      <w:r w:rsidRPr="00C952B9">
        <w:t xml:space="preserve"> </w:t>
      </w:r>
      <w:r>
        <w:t>the</w:t>
      </w:r>
      <w:r w:rsidRPr="00C952B9">
        <w:t xml:space="preserve"> business the municipality was </w:t>
      </w:r>
      <w:r>
        <w:t>used to</w:t>
      </w:r>
      <w:r w:rsidRPr="00C952B9">
        <w:t>. TVO was economically independent from the municipality and did</w:t>
      </w:r>
      <w:r>
        <w:t xml:space="preserve"> </w:t>
      </w:r>
      <w:r w:rsidRPr="00C952B9">
        <w:t>n</w:t>
      </w:r>
      <w:r>
        <w:t>o</w:t>
      </w:r>
      <w:r w:rsidRPr="00C952B9">
        <w:t xml:space="preserve">t require any economic support. On the contrary, the NPP was seen as the opportunity to </w:t>
      </w:r>
      <w:r>
        <w:t>boost economic</w:t>
      </w:r>
      <w:r w:rsidRPr="00C952B9">
        <w:t xml:space="preserve"> development </w:t>
      </w:r>
      <w:r>
        <w:t>in</w:t>
      </w:r>
      <w:r w:rsidRPr="00C952B9">
        <w:t xml:space="preserve"> the municipality. As described by one of the municipal directors</w:t>
      </w:r>
      <w:r>
        <w:t xml:space="preserve"> of the time</w:t>
      </w:r>
      <w:r w:rsidRPr="00C952B9">
        <w:t>, it was important for the municipality to take things forward and deci</w:t>
      </w:r>
      <w:r>
        <w:t>de quickly,</w:t>
      </w:r>
      <w:r w:rsidRPr="00C952B9">
        <w:t xml:space="preserve"> to </w:t>
      </w:r>
      <w:r>
        <w:t>avoid</w:t>
      </w:r>
      <w:r w:rsidRPr="00C952B9">
        <w:t xml:space="preserve"> any unnecessary delays [31].</w:t>
      </w:r>
    </w:p>
    <w:p w14:paraId="16F2E8C8" w14:textId="77777777" w:rsidR="003632DE" w:rsidRPr="00C952B9" w:rsidRDefault="003632DE" w:rsidP="003632DE">
      <w:pPr>
        <w:pStyle w:val="BodyText"/>
      </w:pPr>
      <w:r w:rsidRPr="00C952B9">
        <w:t>According to Äikäs [32]</w:t>
      </w:r>
      <w:r>
        <w:t>,</w:t>
      </w:r>
      <w:r w:rsidRPr="00C952B9">
        <w:t xml:space="preserve"> </w:t>
      </w:r>
      <w:r>
        <w:t xml:space="preserve">a retired Executive Vice President of Posiva, </w:t>
      </w:r>
      <w:r w:rsidRPr="00C952B9">
        <w:t xml:space="preserve">the liaison committee </w:t>
      </w:r>
      <w:r>
        <w:t>would have</w:t>
      </w:r>
      <w:r w:rsidRPr="00C952B9">
        <w:t xml:space="preserve"> “to act as a forum for discussion at the local level” and as “the main information channel to members of the </w:t>
      </w:r>
      <w:r w:rsidRPr="00C952B9">
        <w:lastRenderedPageBreak/>
        <w:t xml:space="preserve">community and a vehicle for TVO to gain feedback and advice”. Thus, TVO </w:t>
      </w:r>
      <w:r>
        <w:t xml:space="preserve">primarily aimed at </w:t>
      </w:r>
      <w:r w:rsidRPr="00C952B9">
        <w:t xml:space="preserve">exchange of information and </w:t>
      </w:r>
      <w:r>
        <w:t>improving</w:t>
      </w:r>
      <w:r w:rsidRPr="00C952B9">
        <w:t xml:space="preserve"> knowledge </w:t>
      </w:r>
      <w:r>
        <w:t>on</w:t>
      </w:r>
      <w:r w:rsidRPr="00C952B9">
        <w:t xml:space="preserve"> final disposal in </w:t>
      </w:r>
      <w:r>
        <w:t>the</w:t>
      </w:r>
      <w:r w:rsidRPr="00C952B9">
        <w:t xml:space="preserve"> host municipality</w:t>
      </w:r>
      <w:r>
        <w:t>, but not the kind of extensive</w:t>
      </w:r>
      <w:r w:rsidRPr="00C952B9">
        <w:t xml:space="preserve"> competence building and independent reviewing as in Sweden. The </w:t>
      </w:r>
      <w:r>
        <w:t xml:space="preserve">municipal board appointed to the committee </w:t>
      </w:r>
      <w:r w:rsidRPr="00C952B9">
        <w:t xml:space="preserve">local elected politicians and civil servants. </w:t>
      </w:r>
      <w:r>
        <w:t xml:space="preserve">The tasks of the committee </w:t>
      </w:r>
      <w:r w:rsidRPr="00C952B9">
        <w:t>included follow-up of the investigations, use of local services and workforce, communication</w:t>
      </w:r>
      <w:r>
        <w:t>,</w:t>
      </w:r>
      <w:r w:rsidRPr="00C952B9">
        <w:t xml:space="preserve"> and other </w:t>
      </w:r>
      <w:r>
        <w:t xml:space="preserve">relevant </w:t>
      </w:r>
      <w:r w:rsidRPr="00C952B9">
        <w:t>issues related to the investigations.</w:t>
      </w:r>
    </w:p>
    <w:p w14:paraId="7FD8F1BB" w14:textId="77777777" w:rsidR="003632DE" w:rsidRPr="00C952B9" w:rsidRDefault="003632DE" w:rsidP="003632DE">
      <w:pPr>
        <w:pStyle w:val="BodyText"/>
      </w:pPr>
      <w:r w:rsidRPr="00C952B9">
        <w:t>By the mid</w:t>
      </w:r>
      <w:r>
        <w:t>-</w:t>
      </w:r>
      <w:r w:rsidRPr="00C952B9">
        <w:t>1990s</w:t>
      </w:r>
      <w:r>
        <w:t>,</w:t>
      </w:r>
      <w:r w:rsidRPr="00C952B9">
        <w:t xml:space="preserve"> Eurajoki </w:t>
      </w:r>
      <w:r>
        <w:t xml:space="preserve">had changed its position </w:t>
      </w:r>
      <w:r w:rsidRPr="00C952B9">
        <w:t>on final disposal. In 1995</w:t>
      </w:r>
      <w:r>
        <w:t>,</w:t>
      </w:r>
      <w:r w:rsidRPr="00C952B9">
        <w:t xml:space="preserve"> </w:t>
      </w:r>
      <w:r>
        <w:t xml:space="preserve">it </w:t>
      </w:r>
      <w:r w:rsidRPr="00C952B9">
        <w:t xml:space="preserve">signed </w:t>
      </w:r>
      <w:r>
        <w:t>a</w:t>
      </w:r>
      <w:r w:rsidRPr="00C952B9">
        <w:t xml:space="preserve"> cooperation agreement</w:t>
      </w:r>
      <w:r>
        <w:t xml:space="preserve"> with TVO</w:t>
      </w:r>
      <w:r w:rsidRPr="00C952B9">
        <w:t>, both parties</w:t>
      </w:r>
      <w:r>
        <w:t xml:space="preserve"> committing themselves to taking into account</w:t>
      </w:r>
      <w:r w:rsidRPr="00C952B9">
        <w:t xml:space="preserve"> </w:t>
      </w:r>
      <w:r>
        <w:t>the</w:t>
      </w:r>
      <w:r w:rsidRPr="00C952B9">
        <w:t xml:space="preserve"> interests of the other party. [16] </w:t>
      </w:r>
      <w:r>
        <w:t>N</w:t>
      </w:r>
      <w:r w:rsidRPr="00C952B9">
        <w:t>o new liaison committee w</w:t>
      </w:r>
      <w:r>
        <w:t>as</w:t>
      </w:r>
      <w:r w:rsidRPr="00C952B9">
        <w:t xml:space="preserve"> established but the two permanent </w:t>
      </w:r>
      <w:r>
        <w:t xml:space="preserve">Eurajoki-TVO joint </w:t>
      </w:r>
      <w:r w:rsidRPr="00C952B9">
        <w:t xml:space="preserve">committees continued their work (see Section 3). </w:t>
      </w:r>
      <w:r>
        <w:t>O</w:t>
      </w:r>
      <w:r w:rsidRPr="00C952B9">
        <w:t xml:space="preserve">ne covered a wide range of issues such as </w:t>
      </w:r>
      <w:r>
        <w:t xml:space="preserve">the </w:t>
      </w:r>
      <w:r w:rsidRPr="00C952B9">
        <w:t>operation of the NPP, taxation, tourism</w:t>
      </w:r>
      <w:r>
        <w:t>,</w:t>
      </w:r>
      <w:r w:rsidRPr="00C952B9">
        <w:t xml:space="preserve"> and NWM, </w:t>
      </w:r>
      <w:r>
        <w:t>while</w:t>
      </w:r>
      <w:r w:rsidRPr="00C952B9">
        <w:t xml:space="preserve"> the other focused on bedrock investigations only. </w:t>
      </w:r>
      <w:r>
        <w:t>In</w:t>
      </w:r>
      <w:r w:rsidRPr="00C952B9">
        <w:t xml:space="preserve"> 1997</w:t>
      </w:r>
      <w:r>
        <w:t>,</w:t>
      </w:r>
      <w:r w:rsidRPr="00C952B9">
        <w:t xml:space="preserve"> the lat</w:t>
      </w:r>
      <w:r>
        <w:t>t</w:t>
      </w:r>
      <w:r w:rsidRPr="00C952B9">
        <w:t xml:space="preserve">er committee </w:t>
      </w:r>
      <w:r>
        <w:t>was transformed into an Eurajoki-Posiva</w:t>
      </w:r>
      <w:r w:rsidRPr="00C952B9">
        <w:t xml:space="preserve"> follow-up and steering committee concerning EIA process. </w:t>
      </w:r>
    </w:p>
    <w:p w14:paraId="40BE922A" w14:textId="77777777" w:rsidR="003632DE" w:rsidRPr="00C952B9" w:rsidRDefault="003632DE" w:rsidP="003632DE">
      <w:pPr>
        <w:pStyle w:val="BodyText"/>
      </w:pPr>
      <w:r w:rsidRPr="00C952B9">
        <w:t xml:space="preserve">The liaison committees formed the backbone of </w:t>
      </w:r>
      <w:r>
        <w:t xml:space="preserve">the </w:t>
      </w:r>
      <w:r w:rsidRPr="00C952B9">
        <w:t xml:space="preserve">partnership in Eurajoki. </w:t>
      </w:r>
      <w:r>
        <w:t>T</w:t>
      </w:r>
      <w:r w:rsidRPr="00C952B9">
        <w:t>he committees established new ad hoc sub</w:t>
      </w:r>
      <w:r>
        <w:t>-</w:t>
      </w:r>
      <w:r w:rsidRPr="00C952B9">
        <w:t>committees as seen necessary</w:t>
      </w:r>
      <w:r>
        <w:t>, to</w:t>
      </w:r>
      <w:r w:rsidRPr="00C952B9">
        <w:t xml:space="preserve"> </w:t>
      </w:r>
      <w:r>
        <w:t>complement</w:t>
      </w:r>
      <w:r w:rsidRPr="00C952B9">
        <w:t xml:space="preserve"> the partnership network.</w:t>
      </w:r>
    </w:p>
    <w:p w14:paraId="69FA1937" w14:textId="77777777" w:rsidR="003632DE" w:rsidRPr="00C952B9" w:rsidRDefault="003632DE" w:rsidP="003632DE">
      <w:pPr>
        <w:pStyle w:val="BodyText"/>
      </w:pPr>
      <w:r w:rsidRPr="00C952B9">
        <w:t xml:space="preserve">In </w:t>
      </w:r>
      <w:r>
        <w:t xml:space="preserve">the </w:t>
      </w:r>
      <w:r w:rsidRPr="00C952B9">
        <w:t>partnership</w:t>
      </w:r>
      <w:r>
        <w:t>,</w:t>
      </w:r>
      <w:r w:rsidRPr="00C952B9">
        <w:t xml:space="preserve"> issues related to municipal economy were </w:t>
      </w:r>
      <w:r>
        <w:t>primary concerns</w:t>
      </w:r>
      <w:r w:rsidRPr="00C952B9">
        <w:t xml:space="preserve"> for Eurajoki. </w:t>
      </w:r>
      <w:r>
        <w:t>T</w:t>
      </w:r>
      <w:r w:rsidRPr="00C952B9">
        <w:t xml:space="preserve">his </w:t>
      </w:r>
      <w:r>
        <w:t>wa</w:t>
      </w:r>
      <w:r w:rsidRPr="00C952B9">
        <w:t xml:space="preserve">s </w:t>
      </w:r>
      <w:r>
        <w:t xml:space="preserve">partly </w:t>
      </w:r>
      <w:r w:rsidRPr="00C952B9">
        <w:t xml:space="preserve">due to </w:t>
      </w:r>
      <w:r>
        <w:t xml:space="preserve">the </w:t>
      </w:r>
      <w:r w:rsidRPr="00C952B9">
        <w:t>property tax as an incentive for locating a nuclear facility. In March 1999</w:t>
      </w:r>
      <w:r>
        <w:t>,</w:t>
      </w:r>
      <w:r w:rsidRPr="00C952B9">
        <w:t xml:space="preserve"> Eurajoki drafted a </w:t>
      </w:r>
      <w:r>
        <w:t>‘</w:t>
      </w:r>
      <w:r w:rsidRPr="00C952B9">
        <w:t>wish list</w:t>
      </w:r>
      <w:r>
        <w:t>’</w:t>
      </w:r>
      <w:r w:rsidRPr="00C952B9">
        <w:t xml:space="preserve"> for the government concerning the final disposal project. The municipality </w:t>
      </w:r>
      <w:r>
        <w:t>argued</w:t>
      </w:r>
      <w:r w:rsidRPr="00C952B9">
        <w:t xml:space="preserve"> that the real estate tax </w:t>
      </w:r>
      <w:r>
        <w:t>rate</w:t>
      </w:r>
      <w:r w:rsidRPr="00C952B9">
        <w:t xml:space="preserve"> should be considerably higher </w:t>
      </w:r>
      <w:r>
        <w:t>for</w:t>
      </w:r>
      <w:r w:rsidRPr="00C952B9">
        <w:t xml:space="preserve"> a repository than for a</w:t>
      </w:r>
      <w:r>
        <w:t>n</w:t>
      </w:r>
      <w:r w:rsidRPr="00C952B9">
        <w:t xml:space="preserve"> NPP</w:t>
      </w:r>
      <w:r>
        <w:t>, and that</w:t>
      </w:r>
      <w:r w:rsidRPr="00C952B9">
        <w:t xml:space="preserve"> </w:t>
      </w:r>
      <w:r>
        <w:t>t</w:t>
      </w:r>
      <w:r w:rsidRPr="00C952B9">
        <w:t xml:space="preserve">he </w:t>
      </w:r>
      <w:r>
        <w:t>rate</w:t>
      </w:r>
      <w:r w:rsidRPr="00C952B9">
        <w:t xml:space="preserve"> should be </w:t>
      </w:r>
      <w:r>
        <w:t>specified</w:t>
      </w:r>
      <w:r w:rsidRPr="00C952B9">
        <w:t xml:space="preserve"> in the real estate tax legislation. [16] </w:t>
      </w:r>
      <w:r>
        <w:t>Only six months later,</w:t>
      </w:r>
      <w:r w:rsidRPr="00C952B9">
        <w:t xml:space="preserve"> the government </w:t>
      </w:r>
      <w:r>
        <w:t>proposed</w:t>
      </w:r>
      <w:r w:rsidRPr="00C952B9">
        <w:t xml:space="preserve"> that the higher </w:t>
      </w:r>
      <w:r>
        <w:t>tax rate</w:t>
      </w:r>
      <w:r w:rsidRPr="00C952B9">
        <w:t xml:space="preserve"> for nuclear facilities would also appl</w:t>
      </w:r>
      <w:r>
        <w:t>y</w:t>
      </w:r>
      <w:r w:rsidRPr="00C952B9">
        <w:t xml:space="preserve"> </w:t>
      </w:r>
      <w:r>
        <w:t>to</w:t>
      </w:r>
      <w:r w:rsidRPr="00C952B9">
        <w:t xml:space="preserve"> a repository for SNF. The government wanted to reduce ambiguity and thus support the progress of final disposal project. </w:t>
      </w:r>
    </w:p>
    <w:p w14:paraId="4356BF2B" w14:textId="41456B1A" w:rsidR="002D3463" w:rsidRPr="00C952B9" w:rsidRDefault="003632DE" w:rsidP="002D3463">
      <w:pPr>
        <w:pStyle w:val="BodyText"/>
      </w:pPr>
      <w:r w:rsidRPr="00C952B9">
        <w:t xml:space="preserve">The compensation negotiations with Eurajoki are an example of </w:t>
      </w:r>
      <w:r>
        <w:t xml:space="preserve">the </w:t>
      </w:r>
      <w:r w:rsidRPr="00C952B9">
        <w:t xml:space="preserve">leverage </w:t>
      </w:r>
      <w:r>
        <w:t>that the</w:t>
      </w:r>
      <w:r w:rsidRPr="00C952B9">
        <w:t xml:space="preserve"> host community </w:t>
      </w:r>
      <w:r>
        <w:t xml:space="preserve">can exert </w:t>
      </w:r>
      <w:r w:rsidRPr="00C952B9">
        <w:t xml:space="preserve">in the Finnish context. The power of Eurajoki was based on the right of veto and </w:t>
      </w:r>
      <w:r>
        <w:t>its</w:t>
      </w:r>
      <w:r w:rsidRPr="00C952B9">
        <w:t xml:space="preserve"> “</w:t>
      </w:r>
      <w:r>
        <w:t>comparative</w:t>
      </w:r>
      <w:r w:rsidRPr="00C952B9">
        <w:t xml:space="preserve"> advantage” as the location of the NPP, the SNF storage, and supportive local opinion. On the other hand, Posiva wanted to keep the site selection </w:t>
      </w:r>
      <w:r>
        <w:t>i</w:t>
      </w:r>
      <w:r w:rsidRPr="00C952B9">
        <w:t xml:space="preserve">n its own hands and, at the same time, </w:t>
      </w:r>
      <w:r>
        <w:t xml:space="preserve">to </w:t>
      </w:r>
      <w:r w:rsidRPr="00C952B9">
        <w:t>ensure the commitment of the host municipality by naming only one site</w:t>
      </w:r>
      <w:r>
        <w:t xml:space="preserve"> </w:t>
      </w:r>
      <w:r w:rsidRPr="00C952B9">
        <w:t xml:space="preserve">in </w:t>
      </w:r>
      <w:r>
        <w:t>its application for a</w:t>
      </w:r>
      <w:r w:rsidRPr="00C952B9">
        <w:t xml:space="preserve"> Decision-in-Principle (DiP)</w:t>
      </w:r>
      <w:r>
        <w:t>.</w:t>
      </w:r>
      <w:r w:rsidRPr="00C952B9">
        <w:t xml:space="preserve"> [23]</w:t>
      </w:r>
    </w:p>
    <w:p w14:paraId="4CD8F9C9" w14:textId="7E057217" w:rsidR="004B28AE" w:rsidRPr="003632DE" w:rsidRDefault="009764DD" w:rsidP="00B44D43">
      <w:pPr>
        <w:pStyle w:val="Heading4"/>
        <w:numPr>
          <w:ilvl w:val="3"/>
          <w:numId w:val="12"/>
        </w:numPr>
        <w:ind w:left="0"/>
        <w:rPr>
          <w:lang w:val="en-GB"/>
        </w:rPr>
      </w:pPr>
      <w:r w:rsidRPr="003632DE">
        <w:rPr>
          <w:lang w:val="en-GB"/>
        </w:rPr>
        <w:t>T</w:t>
      </w:r>
      <w:r w:rsidR="004B28AE" w:rsidRPr="003632DE">
        <w:rPr>
          <w:lang w:val="en-GB"/>
        </w:rPr>
        <w:t>he site selection</w:t>
      </w:r>
      <w:r w:rsidRPr="003632DE">
        <w:rPr>
          <w:lang w:val="en-GB"/>
        </w:rPr>
        <w:t xml:space="preserve"> and onwards</w:t>
      </w:r>
    </w:p>
    <w:p w14:paraId="03CDCB8B" w14:textId="77777777" w:rsidR="003632DE" w:rsidRPr="00C952B9" w:rsidRDefault="003632DE" w:rsidP="003632DE">
      <w:pPr>
        <w:pStyle w:val="BodyText"/>
      </w:pPr>
      <w:r>
        <w:t>Eurajoki</w:t>
      </w:r>
      <w:r w:rsidRPr="00C952B9">
        <w:t xml:space="preserve"> local council </w:t>
      </w:r>
      <w:r w:rsidRPr="00AC7F85">
        <w:t>accepted the location of the repository in 2000</w:t>
      </w:r>
      <w:r>
        <w:t>, on the condition</w:t>
      </w:r>
      <w:r w:rsidRPr="00FF4CD5">
        <w:t xml:space="preserve"> that only SNF produced in Finland would be disposed of</w:t>
      </w:r>
      <w:r>
        <w:t xml:space="preserve"> in the facility</w:t>
      </w:r>
      <w:r w:rsidRPr="00825E3E">
        <w:t xml:space="preserve">. The statement </w:t>
      </w:r>
      <w:r w:rsidRPr="00C44243">
        <w:t xml:space="preserve">on </w:t>
      </w:r>
      <w:r w:rsidRPr="00130573">
        <w:t>Posiva</w:t>
      </w:r>
      <w:r>
        <w:t>’s</w:t>
      </w:r>
      <w:r w:rsidRPr="00130573">
        <w:t xml:space="preserve"> DiP application was prepared by the Vuojoki</w:t>
      </w:r>
      <w:r w:rsidRPr="00995716">
        <w:t xml:space="preserve"> </w:t>
      </w:r>
      <w:r w:rsidRPr="00CA148A">
        <w:t>working group</w:t>
      </w:r>
      <w:r>
        <w:t>,</w:t>
      </w:r>
      <w:r w:rsidRPr="004045A0">
        <w:t xml:space="preserve"> </w:t>
      </w:r>
      <w:r>
        <w:t xml:space="preserve">which </w:t>
      </w:r>
      <w:r w:rsidRPr="004045A0">
        <w:t>indicat</w:t>
      </w:r>
      <w:r>
        <w:t>es</w:t>
      </w:r>
      <w:r w:rsidRPr="004045A0">
        <w:t xml:space="preserve"> </w:t>
      </w:r>
      <w:r w:rsidRPr="0096592E">
        <w:t>close partnership</w:t>
      </w:r>
      <w:r>
        <w:t xml:space="preserve"> between the municipality, TVO and Posiva</w:t>
      </w:r>
      <w:r w:rsidRPr="0096592E">
        <w:t>. Since then</w:t>
      </w:r>
      <w:r>
        <w:t>,</w:t>
      </w:r>
      <w:r w:rsidRPr="0096592E">
        <w:t xml:space="preserve"> </w:t>
      </w:r>
      <w:r>
        <w:t>several</w:t>
      </w:r>
      <w:r w:rsidRPr="0096592E">
        <w:t xml:space="preserve"> decisions </w:t>
      </w:r>
      <w:r>
        <w:t>concerning</w:t>
      </w:r>
      <w:r w:rsidRPr="0096592E">
        <w:t xml:space="preserve"> nuclear energy and NWM</w:t>
      </w:r>
      <w:r w:rsidRPr="0097202B">
        <w:t xml:space="preserve"> at Olkiluoto has been taken. </w:t>
      </w:r>
      <w:r>
        <w:t>The p</w:t>
      </w:r>
      <w:r w:rsidRPr="004E2A49">
        <w:t xml:space="preserve">artnership </w:t>
      </w:r>
      <w:r>
        <w:t xml:space="preserve">has greatly benefited </w:t>
      </w:r>
      <w:r w:rsidRPr="00785550">
        <w:t>the municipal</w:t>
      </w:r>
      <w:r>
        <w:t xml:space="preserve"> economy,</w:t>
      </w:r>
      <w:r w:rsidRPr="00785550">
        <w:t xml:space="preserve"> </w:t>
      </w:r>
      <w:r>
        <w:t>and has helped</w:t>
      </w:r>
      <w:r w:rsidRPr="00785550">
        <w:t xml:space="preserve"> the companies </w:t>
      </w:r>
      <w:r>
        <w:t>to promote their projects</w:t>
      </w:r>
      <w:r w:rsidRPr="00C952B9">
        <w:t>. For example, in March 2008</w:t>
      </w:r>
      <w:r>
        <w:t>,</w:t>
      </w:r>
      <w:r w:rsidRPr="00C952B9">
        <w:t xml:space="preserve"> Eurajoki announced</w:t>
      </w:r>
      <w:r>
        <w:t xml:space="preserve">, already </w:t>
      </w:r>
      <w:r w:rsidRPr="00C952B9">
        <w:t>before the DiP phase</w:t>
      </w:r>
      <w:r>
        <w:t>,</w:t>
      </w:r>
      <w:r w:rsidRPr="00C952B9">
        <w:t xml:space="preserve"> </w:t>
      </w:r>
      <w:r>
        <w:t>the</w:t>
      </w:r>
      <w:r w:rsidRPr="00C952B9">
        <w:t xml:space="preserve"> community’s willingness to </w:t>
      </w:r>
      <w:r>
        <w:t xml:space="preserve">host at Olkiluoto both </w:t>
      </w:r>
      <w:r w:rsidRPr="00C952B9">
        <w:t xml:space="preserve">the </w:t>
      </w:r>
      <w:r>
        <w:t xml:space="preserve">planned </w:t>
      </w:r>
      <w:r w:rsidRPr="00C952B9">
        <w:t xml:space="preserve">new NPP unit and </w:t>
      </w:r>
      <w:r>
        <w:t>the SNF it would produce</w:t>
      </w:r>
      <w:r w:rsidRPr="00C952B9">
        <w:t xml:space="preserve">. </w:t>
      </w:r>
      <w:r>
        <w:t>It justified t</w:t>
      </w:r>
      <w:r w:rsidRPr="00C952B9">
        <w:t xml:space="preserve">his message to TVO openly </w:t>
      </w:r>
      <w:r>
        <w:t xml:space="preserve">and purely </w:t>
      </w:r>
      <w:r w:rsidRPr="00C952B9">
        <w:t>on</w:t>
      </w:r>
      <w:r>
        <w:t xml:space="preserve"> the grounds of</w:t>
      </w:r>
      <w:r w:rsidRPr="00C952B9">
        <w:t xml:space="preserve"> municipal econom</w:t>
      </w:r>
      <w:r>
        <w:t>y</w:t>
      </w:r>
      <w:r w:rsidRPr="00C952B9">
        <w:t xml:space="preserve">. Until now Eurajoki has accepted the extension of the repository twice, in 2008 for TVO and 2009 for Fortum Power and Heat, although the </w:t>
      </w:r>
      <w:r>
        <w:t>latter</w:t>
      </w:r>
      <w:r w:rsidRPr="00C952B9">
        <w:t xml:space="preserve"> only after a vote. In </w:t>
      </w:r>
      <w:r>
        <w:t>its</w:t>
      </w:r>
      <w:r w:rsidRPr="00C952B9">
        <w:t xml:space="preserve"> statement on the construction license application for the Posiva SNF facility in 2013 Eurajoki relied totally on STUK’s expertise in safety assessment and did not </w:t>
      </w:r>
      <w:r>
        <w:t>establish</w:t>
      </w:r>
      <w:r w:rsidRPr="00C952B9">
        <w:t xml:space="preserve"> any </w:t>
      </w:r>
      <w:r>
        <w:t>additional conditions</w:t>
      </w:r>
      <w:r w:rsidRPr="00C952B9">
        <w:t xml:space="preserve"> for approval. </w:t>
      </w:r>
      <w:r>
        <w:t>The</w:t>
      </w:r>
      <w:r w:rsidRPr="00C952B9">
        <w:t xml:space="preserve"> econom</w:t>
      </w:r>
      <w:r>
        <w:t>ic</w:t>
      </w:r>
      <w:r w:rsidRPr="00C952B9">
        <w:t xml:space="preserve"> stakes are high</w:t>
      </w:r>
      <w:r>
        <w:t>:</w:t>
      </w:r>
      <w:r w:rsidRPr="00C952B9">
        <w:t xml:space="preserve"> in 2010, TVO and Posiva provided about 90% of the municipality’s real estate tax revenue, i.e. almost a third of Eurajoki’s total annual tax revenue.</w:t>
      </w:r>
    </w:p>
    <w:p w14:paraId="09065669" w14:textId="44C835E3" w:rsidR="003632DE" w:rsidRPr="00C952B9" w:rsidRDefault="003632DE" w:rsidP="003632DE">
      <w:pPr>
        <w:pStyle w:val="BodyText"/>
      </w:pPr>
      <w:r>
        <w:t>P</w:t>
      </w:r>
      <w:r w:rsidRPr="00C952B9">
        <w:t xml:space="preserve">artnering </w:t>
      </w:r>
      <w:r>
        <w:t xml:space="preserve">arrangements </w:t>
      </w:r>
      <w:r w:rsidRPr="00C952B9">
        <w:t xml:space="preserve">between Eurajoki and </w:t>
      </w:r>
      <w:r>
        <w:t xml:space="preserve">the </w:t>
      </w:r>
      <w:r w:rsidRPr="00C952B9">
        <w:t>nuclear industry w</w:t>
      </w:r>
      <w:r>
        <w:t>ere</w:t>
      </w:r>
      <w:r w:rsidRPr="00C952B9">
        <w:t xml:space="preserve"> rearranged in 2013 as the two liaison committees </w:t>
      </w:r>
      <w:r>
        <w:t>(</w:t>
      </w:r>
      <w:r w:rsidRPr="00C952B9">
        <w:t>Eurajoki</w:t>
      </w:r>
      <w:r>
        <w:t>-</w:t>
      </w:r>
      <w:r w:rsidRPr="00C952B9">
        <w:t>TVO and Eurajoki</w:t>
      </w:r>
      <w:r>
        <w:t>-</w:t>
      </w:r>
      <w:r w:rsidRPr="00C952B9">
        <w:t>Posiva</w:t>
      </w:r>
      <w:r>
        <w:t>)</w:t>
      </w:r>
      <w:r w:rsidRPr="00C952B9">
        <w:t xml:space="preserve"> were merged. NWM is </w:t>
      </w:r>
      <w:r>
        <w:t xml:space="preserve">therefore </w:t>
      </w:r>
      <w:r w:rsidRPr="00C952B9">
        <w:t xml:space="preserve">again only one among </w:t>
      </w:r>
      <w:r>
        <w:t>many</w:t>
      </w:r>
      <w:r w:rsidRPr="00C952B9">
        <w:t xml:space="preserve"> nuclear</w:t>
      </w:r>
      <w:r>
        <w:t>-</w:t>
      </w:r>
      <w:r w:rsidRPr="00C952B9">
        <w:t>related issues on the local agenda, as it used to be when Eurajoki and TVO beg</w:t>
      </w:r>
      <w:r>
        <w:t>a</w:t>
      </w:r>
      <w:r w:rsidRPr="00C952B9">
        <w:t>n partnering.</w:t>
      </w:r>
    </w:p>
    <w:p w14:paraId="532DB57D" w14:textId="3C57D142" w:rsidR="003632DE" w:rsidRPr="00C952B9" w:rsidRDefault="003632DE" w:rsidP="003632DE">
      <w:pPr>
        <w:pStyle w:val="BodyText"/>
      </w:pPr>
      <w:r>
        <w:t>Eurajoki improved its i</w:t>
      </w:r>
      <w:r w:rsidRPr="00C952B9">
        <w:t>nternational connections in 2013</w:t>
      </w:r>
      <w:r>
        <w:t>, when the municipality</w:t>
      </w:r>
      <w:r w:rsidRPr="00C952B9">
        <w:t xml:space="preserve"> decided to join the European </w:t>
      </w:r>
      <w:r w:rsidR="00D85F3E">
        <w:t xml:space="preserve">local Network of radioactive Waste Dialogue </w:t>
      </w:r>
      <w:r w:rsidRPr="00C952B9">
        <w:t xml:space="preserve">initiated by Östhammar. </w:t>
      </w:r>
      <w:r>
        <w:t>It considered e</w:t>
      </w:r>
      <w:r w:rsidRPr="00C952B9">
        <w:t xml:space="preserve">xchange of information and experience with other nuclear communities </w:t>
      </w:r>
      <w:r>
        <w:t>as</w:t>
      </w:r>
      <w:r w:rsidRPr="00C952B9">
        <w:t xml:space="preserve"> important</w:t>
      </w:r>
      <w:r>
        <w:t>,</w:t>
      </w:r>
      <w:r w:rsidRPr="00C952B9">
        <w:t xml:space="preserve"> because </w:t>
      </w:r>
      <w:r>
        <w:t xml:space="preserve">nuclear </w:t>
      </w:r>
      <w:r w:rsidRPr="00C952B9">
        <w:t xml:space="preserve">companies </w:t>
      </w:r>
      <w:r>
        <w:t>were</w:t>
      </w:r>
      <w:r w:rsidRPr="00C952B9">
        <w:t xml:space="preserve"> already collaborating cross the borders. </w:t>
      </w:r>
      <w:r>
        <w:t>Amongst themselves</w:t>
      </w:r>
      <w:r w:rsidRPr="00C952B9">
        <w:t xml:space="preserve">, </w:t>
      </w:r>
      <w:r w:rsidRPr="00C952B9" w:rsidDel="00B83E9D">
        <w:t xml:space="preserve">the </w:t>
      </w:r>
      <w:r w:rsidRPr="00C952B9">
        <w:t xml:space="preserve">three Finnish </w:t>
      </w:r>
      <w:r w:rsidRPr="00C952B9" w:rsidDel="00B83E9D">
        <w:t xml:space="preserve">nuclear communities </w:t>
      </w:r>
      <w:r w:rsidRPr="00C952B9">
        <w:t>(</w:t>
      </w:r>
      <w:r w:rsidRPr="00C952B9" w:rsidDel="00B83E9D">
        <w:t>Eurajoki, Loviisa and Pyhäjoki</w:t>
      </w:r>
      <w:r w:rsidRPr="00C952B9">
        <w:t xml:space="preserve">) </w:t>
      </w:r>
      <w:r w:rsidRPr="00C952B9" w:rsidDel="00B83E9D">
        <w:t xml:space="preserve">met </w:t>
      </w:r>
      <w:r w:rsidRPr="00C952B9">
        <w:t xml:space="preserve">only </w:t>
      </w:r>
      <w:r w:rsidRPr="00C952B9" w:rsidDel="00B83E9D">
        <w:t>occasionally, without any permanent discussion forum</w:t>
      </w:r>
      <w:r>
        <w:t xml:space="preserve"> until 2017, when</w:t>
      </w:r>
      <w:r w:rsidRPr="00C952B9" w:rsidDel="00B83E9D">
        <w:t xml:space="preserve"> a new liaison </w:t>
      </w:r>
      <w:r w:rsidRPr="00C952B9">
        <w:t>committee</w:t>
      </w:r>
      <w:r w:rsidRPr="00C952B9" w:rsidDel="00B83E9D">
        <w:t xml:space="preserve"> </w:t>
      </w:r>
      <w:r>
        <w:t>was</w:t>
      </w:r>
      <w:r w:rsidRPr="00C952B9" w:rsidDel="00B83E9D">
        <w:t xml:space="preserve"> established </w:t>
      </w:r>
      <w:r>
        <w:t>between</w:t>
      </w:r>
      <w:r w:rsidRPr="00C952B9" w:rsidDel="00B83E9D">
        <w:t xml:space="preserve"> the power companies</w:t>
      </w:r>
      <w:r w:rsidRPr="00C952B9">
        <w:t xml:space="preserve"> (i.e. </w:t>
      </w:r>
      <w:r w:rsidRPr="00C952B9" w:rsidDel="00B83E9D">
        <w:t>TVO, Fortum Power and Heat and Fennovoima</w:t>
      </w:r>
      <w:r w:rsidRPr="00C952B9">
        <w:t>)</w:t>
      </w:r>
      <w:r w:rsidRPr="00C952B9" w:rsidDel="00B83E9D">
        <w:t xml:space="preserve"> and </w:t>
      </w:r>
      <w:r w:rsidRPr="00C952B9">
        <w:t xml:space="preserve">the </w:t>
      </w:r>
      <w:r w:rsidRPr="00C952B9" w:rsidDel="00B83E9D">
        <w:t xml:space="preserve">nuclear communities. The agenda </w:t>
      </w:r>
      <w:r>
        <w:t xml:space="preserve">and details </w:t>
      </w:r>
      <w:r w:rsidRPr="00C952B9" w:rsidDel="00B83E9D">
        <w:t xml:space="preserve">of this </w:t>
      </w:r>
      <w:r w:rsidRPr="00C952B9">
        <w:t>committee</w:t>
      </w:r>
      <w:r w:rsidRPr="00C952B9" w:rsidDel="00B83E9D">
        <w:t xml:space="preserve"> </w:t>
      </w:r>
      <w:r>
        <w:t>are</w:t>
      </w:r>
      <w:r w:rsidRPr="00C952B9">
        <w:t xml:space="preserve"> only </w:t>
      </w:r>
      <w:r>
        <w:t>slowly being made public</w:t>
      </w:r>
      <w:r w:rsidRPr="00C952B9" w:rsidDel="00B83E9D">
        <w:t>.</w:t>
      </w:r>
      <w:r w:rsidRPr="00C952B9">
        <w:t xml:space="preserve"> Up to </w:t>
      </w:r>
      <w:r>
        <w:t>now</w:t>
      </w:r>
      <w:r w:rsidRPr="00C952B9">
        <w:t>, the relationship</w:t>
      </w:r>
      <w:r>
        <w:t>s</w:t>
      </w:r>
      <w:r w:rsidRPr="00C952B9">
        <w:t xml:space="preserve"> between the Finnish nuclear communities ha</w:t>
      </w:r>
      <w:r>
        <w:t>ve</w:t>
      </w:r>
      <w:r w:rsidRPr="00C952B9">
        <w:t xml:space="preserve"> been characteri</w:t>
      </w:r>
      <w:r>
        <w:t>s</w:t>
      </w:r>
      <w:r w:rsidRPr="00C952B9">
        <w:t xml:space="preserve">ed </w:t>
      </w:r>
      <w:r>
        <w:t>more</w:t>
      </w:r>
      <w:r w:rsidRPr="00C952B9">
        <w:t xml:space="preserve"> by rivalry </w:t>
      </w:r>
      <w:r>
        <w:t>than</w:t>
      </w:r>
      <w:r w:rsidRPr="00C952B9">
        <w:t xml:space="preserve"> collaboration</w:t>
      </w:r>
      <w:r>
        <w:t>, largely because of the</w:t>
      </w:r>
      <w:r w:rsidRPr="00C952B9">
        <w:t xml:space="preserve"> property tax revenue </w:t>
      </w:r>
      <w:r>
        <w:t xml:space="preserve">that an NPP generates </w:t>
      </w:r>
      <w:r w:rsidRPr="00C952B9">
        <w:t xml:space="preserve">for </w:t>
      </w:r>
      <w:r>
        <w:t xml:space="preserve">its </w:t>
      </w:r>
      <w:r w:rsidRPr="00C952B9">
        <w:t>host municipalit</w:t>
      </w:r>
      <w:r>
        <w:t>y</w:t>
      </w:r>
      <w:r w:rsidRPr="00C952B9">
        <w:t xml:space="preserve">. Eurajoki </w:t>
      </w:r>
      <w:r w:rsidRPr="00C952B9">
        <w:lastRenderedPageBreak/>
        <w:t xml:space="preserve">also saw Loviisa as a rival for </w:t>
      </w:r>
      <w:r>
        <w:t>hosting</w:t>
      </w:r>
      <w:r w:rsidRPr="00C952B9">
        <w:t xml:space="preserve"> the repository [16]. The latest issue </w:t>
      </w:r>
      <w:r>
        <w:t>concerns</w:t>
      </w:r>
      <w:r w:rsidRPr="00C952B9">
        <w:t xml:space="preserve"> the site for Fennovoima</w:t>
      </w:r>
      <w:r>
        <w:t>’s</w:t>
      </w:r>
      <w:r w:rsidRPr="00C952B9">
        <w:t xml:space="preserve"> SNF repository. In 2016 Fennovoima named Eurajoki and Pyhäjoki as alternative host communities without any prior consultations.</w:t>
      </w:r>
    </w:p>
    <w:p w14:paraId="5C500FDA" w14:textId="363A42FA" w:rsidR="003632DE" w:rsidRDefault="003632DE" w:rsidP="003632DE">
      <w:pPr>
        <w:pStyle w:val="BodyText"/>
      </w:pPr>
      <w:r>
        <w:t xml:space="preserve">While Eurajoki citizens strongly </w:t>
      </w:r>
      <w:r w:rsidRPr="00C952B9">
        <w:t xml:space="preserve">trust </w:t>
      </w:r>
      <w:r>
        <w:t xml:space="preserve">the </w:t>
      </w:r>
      <w:r w:rsidRPr="00C952B9">
        <w:t>safety authority, the</w:t>
      </w:r>
      <w:r>
        <w:t>y see the</w:t>
      </w:r>
      <w:r w:rsidRPr="00C952B9">
        <w:t xml:space="preserve"> government </w:t>
      </w:r>
      <w:r>
        <w:t>as far</w:t>
      </w:r>
      <w:r w:rsidRPr="00C952B9">
        <w:t xml:space="preserve"> less </w:t>
      </w:r>
      <w:r>
        <w:t>trustworthy</w:t>
      </w:r>
      <w:r w:rsidR="00BB006A">
        <w:t xml:space="preserve"> </w:t>
      </w:r>
      <w:r w:rsidR="00BB006A">
        <w:t>[27, 33]</w:t>
      </w:r>
      <w:r w:rsidRPr="00C952B9">
        <w:t>. Already in the late 1990s the</w:t>
      </w:r>
      <w:bookmarkStart w:id="0" w:name="_GoBack"/>
      <w:bookmarkEnd w:id="0"/>
      <w:r w:rsidRPr="00C952B9">
        <w:t xml:space="preserve">re were some suspicions that government could interfere with siting, and, </w:t>
      </w:r>
      <w:r>
        <w:t>that</w:t>
      </w:r>
      <w:r w:rsidRPr="00C952B9">
        <w:t xml:space="preserve"> Eurajoki </w:t>
      </w:r>
      <w:r>
        <w:t>might hence</w:t>
      </w:r>
      <w:r w:rsidRPr="00C952B9">
        <w:t xml:space="preserve"> lose </w:t>
      </w:r>
      <w:r>
        <w:t>the</w:t>
      </w:r>
      <w:r w:rsidRPr="00C952B9">
        <w:t xml:space="preserve"> possibility to negotiate with the power companies [16]. Concerns were r</w:t>
      </w:r>
      <w:r>
        <w:t>aised</w:t>
      </w:r>
      <w:r w:rsidRPr="00C952B9">
        <w:t xml:space="preserve"> also in 2010 in connection with discussions regarding SNF of Fennovoima [</w:t>
      </w:r>
      <w:r w:rsidR="00864A98" w:rsidRPr="00C952B9">
        <w:t>3</w:t>
      </w:r>
      <w:r w:rsidR="00864A98">
        <w:t>4</w:t>
      </w:r>
      <w:r w:rsidRPr="00C952B9">
        <w:t xml:space="preserve">]. In 2010 the </w:t>
      </w:r>
      <w:r>
        <w:t xml:space="preserve">Eurajoki </w:t>
      </w:r>
      <w:r w:rsidRPr="00C952B9">
        <w:t xml:space="preserve">municipal board reminded that the right of the municipality and </w:t>
      </w:r>
      <w:r>
        <w:t>its</w:t>
      </w:r>
      <w:r w:rsidRPr="00C952B9">
        <w:t xml:space="preserve"> residents to </w:t>
      </w:r>
      <w:r>
        <w:t>decide on whether a facility should be</w:t>
      </w:r>
      <w:r w:rsidRPr="00C952B9">
        <w:t xml:space="preserve"> sit</w:t>
      </w:r>
      <w:r>
        <w:t>ed</w:t>
      </w:r>
      <w:r w:rsidRPr="00C952B9">
        <w:t xml:space="preserve"> in its territory, particularly </w:t>
      </w:r>
      <w:r>
        <w:t>given the responsible manner that Eurajoki had applied this right in the past</w:t>
      </w:r>
      <w:r w:rsidRPr="00C952B9">
        <w:t xml:space="preserve">. The municipality </w:t>
      </w:r>
      <w:r>
        <w:t>further highlighted</w:t>
      </w:r>
      <w:r w:rsidRPr="00C952B9">
        <w:t xml:space="preserve"> </w:t>
      </w:r>
      <w:r>
        <w:t>reciprocal</w:t>
      </w:r>
      <w:r w:rsidRPr="00C952B9">
        <w:t xml:space="preserve"> openness, confidence and accountability </w:t>
      </w:r>
      <w:r>
        <w:t xml:space="preserve">as features that make the conditions for </w:t>
      </w:r>
      <w:r w:rsidRPr="00C952B9">
        <w:t>build</w:t>
      </w:r>
      <w:r>
        <w:t>ing</w:t>
      </w:r>
      <w:r w:rsidRPr="00C952B9">
        <w:t xml:space="preserve"> and operat</w:t>
      </w:r>
      <w:r>
        <w:t>ing</w:t>
      </w:r>
      <w:r w:rsidRPr="00C952B9">
        <w:t xml:space="preserve"> nuclear facilities </w:t>
      </w:r>
      <w:r>
        <w:t>in Eurajoki decisively</w:t>
      </w:r>
      <w:r w:rsidRPr="00C952B9">
        <w:t xml:space="preserve"> better than in rest of EU.</w:t>
      </w:r>
    </w:p>
    <w:p w14:paraId="13587373" w14:textId="0E86372F" w:rsidR="00306A42" w:rsidRPr="00C952B9" w:rsidRDefault="00306A42" w:rsidP="00D153DF">
      <w:pPr>
        <w:pStyle w:val="Heading2"/>
      </w:pPr>
      <w:r w:rsidRPr="00C952B9">
        <w:t xml:space="preserve">CONCLUSIONS </w:t>
      </w:r>
    </w:p>
    <w:p w14:paraId="3ED72294" w14:textId="59B86BBC" w:rsidR="00F2386E" w:rsidRPr="00C952B9" w:rsidRDefault="003632DE" w:rsidP="00EA3032">
      <w:pPr>
        <w:spacing w:line="260" w:lineRule="atLeast"/>
        <w:ind w:firstLine="567"/>
        <w:jc w:val="both"/>
        <w:rPr>
          <w:sz w:val="20"/>
        </w:rPr>
      </w:pPr>
      <w:r w:rsidRPr="00C952B9">
        <w:rPr>
          <w:sz w:val="20"/>
        </w:rPr>
        <w:t>Th</w:t>
      </w:r>
      <w:r>
        <w:rPr>
          <w:sz w:val="20"/>
        </w:rPr>
        <w:t>is</w:t>
      </w:r>
      <w:r w:rsidRPr="00C952B9">
        <w:rPr>
          <w:sz w:val="20"/>
        </w:rPr>
        <w:t xml:space="preserve"> </w:t>
      </w:r>
      <w:r>
        <w:rPr>
          <w:sz w:val="20"/>
        </w:rPr>
        <w:t>article</w:t>
      </w:r>
      <w:r w:rsidRPr="00C952B9">
        <w:rPr>
          <w:sz w:val="20"/>
        </w:rPr>
        <w:t xml:space="preserve"> compare</w:t>
      </w:r>
      <w:r>
        <w:rPr>
          <w:sz w:val="20"/>
        </w:rPr>
        <w:t>d</w:t>
      </w:r>
      <w:r w:rsidRPr="00C952B9">
        <w:rPr>
          <w:sz w:val="20"/>
        </w:rPr>
        <w:t xml:space="preserve"> </w:t>
      </w:r>
      <w:r>
        <w:rPr>
          <w:sz w:val="20"/>
        </w:rPr>
        <w:t xml:space="preserve">the long-term evolution of </w:t>
      </w:r>
      <w:r w:rsidRPr="00C952B9">
        <w:rPr>
          <w:sz w:val="20"/>
        </w:rPr>
        <w:t xml:space="preserve">host municipality approaches to final disposal of SNF in Eurajoki and Östhammar. The results indicate </w:t>
      </w:r>
      <w:r>
        <w:rPr>
          <w:sz w:val="20"/>
        </w:rPr>
        <w:t>that</w:t>
      </w:r>
      <w:r w:rsidRPr="00C952B9">
        <w:rPr>
          <w:sz w:val="20"/>
        </w:rPr>
        <w:t xml:space="preserve"> the main components of partnering have </w:t>
      </w:r>
      <w:r w:rsidRPr="00275CDC">
        <w:rPr>
          <w:sz w:val="20"/>
        </w:rPr>
        <w:t>been applied differently in the Nordic context.</w:t>
      </w:r>
      <w:r w:rsidRPr="00C952B9">
        <w:rPr>
          <w:sz w:val="20"/>
        </w:rPr>
        <w:t xml:space="preserve"> </w:t>
      </w:r>
      <w:r>
        <w:rPr>
          <w:sz w:val="20"/>
        </w:rPr>
        <w:t>This is partly due to</w:t>
      </w:r>
      <w:r w:rsidRPr="00AC7F85">
        <w:rPr>
          <w:sz w:val="20"/>
        </w:rPr>
        <w:t xml:space="preserve"> differences in </w:t>
      </w:r>
      <w:r>
        <w:rPr>
          <w:sz w:val="20"/>
        </w:rPr>
        <w:t xml:space="preserve">the </w:t>
      </w:r>
      <w:r w:rsidRPr="00825E3E">
        <w:rPr>
          <w:sz w:val="20"/>
        </w:rPr>
        <w:t>evolution of the site selection strategies</w:t>
      </w:r>
      <w:r w:rsidRPr="00C44243">
        <w:rPr>
          <w:sz w:val="20"/>
        </w:rPr>
        <w:t xml:space="preserve"> and subsequent institutional arrangement</w:t>
      </w:r>
      <w:r w:rsidRPr="00130573">
        <w:rPr>
          <w:sz w:val="20"/>
        </w:rPr>
        <w:t xml:space="preserve">s. For instance, in Sweden the municipalities can apply for </w:t>
      </w:r>
      <w:r w:rsidRPr="00995716">
        <w:rPr>
          <w:sz w:val="20"/>
        </w:rPr>
        <w:t xml:space="preserve">funding for </w:t>
      </w:r>
      <w:r w:rsidRPr="00CA148A">
        <w:rPr>
          <w:sz w:val="20"/>
        </w:rPr>
        <w:t>review and information activities</w:t>
      </w:r>
      <w:r>
        <w:rPr>
          <w:sz w:val="20"/>
        </w:rPr>
        <w:t>,</w:t>
      </w:r>
      <w:r w:rsidRPr="00CA148A">
        <w:rPr>
          <w:sz w:val="20"/>
        </w:rPr>
        <w:t xml:space="preserve"> whereas in Finland, institutional arrangements </w:t>
      </w:r>
      <w:r>
        <w:rPr>
          <w:sz w:val="20"/>
        </w:rPr>
        <w:t>do not empower and encourage</w:t>
      </w:r>
      <w:r w:rsidRPr="0096592E">
        <w:rPr>
          <w:sz w:val="20"/>
        </w:rPr>
        <w:t xml:space="preserve"> potential host communities </w:t>
      </w:r>
      <w:r>
        <w:rPr>
          <w:sz w:val="20"/>
        </w:rPr>
        <w:t>to undertake</w:t>
      </w:r>
      <w:r w:rsidRPr="0096592E">
        <w:rPr>
          <w:sz w:val="20"/>
        </w:rPr>
        <w:t xml:space="preserve"> </w:t>
      </w:r>
      <w:r>
        <w:rPr>
          <w:sz w:val="20"/>
        </w:rPr>
        <w:t xml:space="preserve">such </w:t>
      </w:r>
      <w:r w:rsidRPr="0096592E">
        <w:rPr>
          <w:sz w:val="20"/>
        </w:rPr>
        <w:t>activities</w:t>
      </w:r>
      <w:r>
        <w:rPr>
          <w:sz w:val="20"/>
        </w:rPr>
        <w:t>, but instead</w:t>
      </w:r>
      <w:r w:rsidRPr="0096592E">
        <w:rPr>
          <w:sz w:val="20"/>
        </w:rPr>
        <w:t xml:space="preserve"> </w:t>
      </w:r>
      <w:r w:rsidRPr="00CA148A">
        <w:rPr>
          <w:sz w:val="20"/>
        </w:rPr>
        <w:t xml:space="preserve">ensure </w:t>
      </w:r>
      <w:r>
        <w:rPr>
          <w:sz w:val="20"/>
        </w:rPr>
        <w:t>that</w:t>
      </w:r>
      <w:r w:rsidRPr="00CA148A">
        <w:rPr>
          <w:sz w:val="20"/>
        </w:rPr>
        <w:t xml:space="preserve"> a host community</w:t>
      </w:r>
      <w:r w:rsidRPr="004045A0">
        <w:rPr>
          <w:sz w:val="20"/>
        </w:rPr>
        <w:t xml:space="preserve"> </w:t>
      </w:r>
      <w:r>
        <w:rPr>
          <w:sz w:val="20"/>
        </w:rPr>
        <w:t xml:space="preserve">has an </w:t>
      </w:r>
      <w:r w:rsidRPr="00CA148A">
        <w:rPr>
          <w:sz w:val="20"/>
        </w:rPr>
        <w:t>economic incentive</w:t>
      </w:r>
      <w:r>
        <w:rPr>
          <w:sz w:val="20"/>
        </w:rPr>
        <w:t xml:space="preserve"> to host a facility</w:t>
      </w:r>
      <w:r w:rsidRPr="0097202B">
        <w:rPr>
          <w:sz w:val="20"/>
        </w:rPr>
        <w:t xml:space="preserve">. </w:t>
      </w:r>
      <w:r w:rsidRPr="004E2A49">
        <w:rPr>
          <w:sz w:val="20"/>
        </w:rPr>
        <w:t>In Sweden,</w:t>
      </w:r>
      <w:r w:rsidRPr="00785550">
        <w:rPr>
          <w:sz w:val="20"/>
        </w:rPr>
        <w:t xml:space="preserve"> </w:t>
      </w:r>
      <w:r w:rsidRPr="00CF2BEC">
        <w:rPr>
          <w:sz w:val="20"/>
        </w:rPr>
        <w:t xml:space="preserve">Östhammar </w:t>
      </w:r>
      <w:r w:rsidRPr="00C952B9">
        <w:rPr>
          <w:sz w:val="20"/>
        </w:rPr>
        <w:t>has adopted a</w:t>
      </w:r>
      <w:r>
        <w:rPr>
          <w:sz w:val="20"/>
        </w:rPr>
        <w:t>n</w:t>
      </w:r>
      <w:r w:rsidRPr="00C952B9">
        <w:rPr>
          <w:sz w:val="20"/>
        </w:rPr>
        <w:t xml:space="preserve"> active role as a</w:t>
      </w:r>
      <w:r>
        <w:rPr>
          <w:sz w:val="20"/>
        </w:rPr>
        <w:t>n involved</w:t>
      </w:r>
      <w:r w:rsidRPr="00C952B9">
        <w:rPr>
          <w:sz w:val="20"/>
        </w:rPr>
        <w:t xml:space="preserve"> host community</w:t>
      </w:r>
      <w:r>
        <w:rPr>
          <w:sz w:val="20"/>
        </w:rPr>
        <w:t xml:space="preserve">, </w:t>
      </w:r>
      <w:r w:rsidRPr="00C952B9">
        <w:rPr>
          <w:sz w:val="20"/>
        </w:rPr>
        <w:t>s</w:t>
      </w:r>
      <w:r>
        <w:rPr>
          <w:sz w:val="20"/>
        </w:rPr>
        <w:t>eeking</w:t>
      </w:r>
      <w:r w:rsidRPr="00C952B9">
        <w:rPr>
          <w:sz w:val="20"/>
        </w:rPr>
        <w:t xml:space="preserve"> to increase its competence and </w:t>
      </w:r>
      <w:r>
        <w:rPr>
          <w:sz w:val="20"/>
        </w:rPr>
        <w:t>posing</w:t>
      </w:r>
      <w:r w:rsidRPr="00C952B9">
        <w:rPr>
          <w:sz w:val="20"/>
        </w:rPr>
        <w:t xml:space="preserve"> demands </w:t>
      </w:r>
      <w:r>
        <w:rPr>
          <w:sz w:val="20"/>
        </w:rPr>
        <w:t>on</w:t>
      </w:r>
      <w:r w:rsidRPr="00C952B9">
        <w:rPr>
          <w:sz w:val="20"/>
        </w:rPr>
        <w:t xml:space="preserve"> the implementer and the authorities, challenging policies and actions, and </w:t>
      </w:r>
      <w:r>
        <w:rPr>
          <w:sz w:val="20"/>
        </w:rPr>
        <w:t xml:space="preserve">actively </w:t>
      </w:r>
      <w:r w:rsidRPr="00C952B9">
        <w:rPr>
          <w:sz w:val="20"/>
        </w:rPr>
        <w:t>engag</w:t>
      </w:r>
      <w:r>
        <w:rPr>
          <w:sz w:val="20"/>
        </w:rPr>
        <w:t>ing</w:t>
      </w:r>
      <w:r w:rsidRPr="00C952B9">
        <w:rPr>
          <w:sz w:val="20"/>
        </w:rPr>
        <w:t xml:space="preserve"> public and local actors in </w:t>
      </w:r>
      <w:r>
        <w:rPr>
          <w:sz w:val="20"/>
        </w:rPr>
        <w:t>project</w:t>
      </w:r>
      <w:r w:rsidRPr="00C952B9">
        <w:rPr>
          <w:sz w:val="20"/>
        </w:rPr>
        <w:t xml:space="preserve"> planning</w:t>
      </w:r>
      <w:r>
        <w:rPr>
          <w:sz w:val="20"/>
        </w:rPr>
        <w:t>.</w:t>
      </w:r>
      <w:r w:rsidRPr="00C952B9">
        <w:rPr>
          <w:sz w:val="20"/>
        </w:rPr>
        <w:t xml:space="preserve"> </w:t>
      </w:r>
      <w:r>
        <w:rPr>
          <w:sz w:val="20"/>
        </w:rPr>
        <w:t xml:space="preserve">In this manner, </w:t>
      </w:r>
      <w:r w:rsidRPr="00C952B9">
        <w:rPr>
          <w:sz w:val="20"/>
        </w:rPr>
        <w:t>the host community</w:t>
      </w:r>
      <w:r>
        <w:rPr>
          <w:sz w:val="20"/>
        </w:rPr>
        <w:t xml:space="preserve"> has gained</w:t>
      </w:r>
      <w:r w:rsidRPr="00C952B9">
        <w:rPr>
          <w:sz w:val="20"/>
        </w:rPr>
        <w:t xml:space="preserve"> </w:t>
      </w:r>
      <w:r w:rsidR="004B37C1">
        <w:rPr>
          <w:sz w:val="20"/>
        </w:rPr>
        <w:t>more</w:t>
      </w:r>
      <w:r>
        <w:rPr>
          <w:sz w:val="20"/>
        </w:rPr>
        <w:t xml:space="preserve"> </w:t>
      </w:r>
      <w:r w:rsidRPr="00C952B9">
        <w:rPr>
          <w:sz w:val="20"/>
        </w:rPr>
        <w:t xml:space="preserve">independence in </w:t>
      </w:r>
      <w:r>
        <w:rPr>
          <w:sz w:val="20"/>
        </w:rPr>
        <w:t>relation to the NWM company</w:t>
      </w:r>
      <w:r w:rsidRPr="00C952B9">
        <w:rPr>
          <w:sz w:val="20"/>
        </w:rPr>
        <w:t xml:space="preserve">. </w:t>
      </w:r>
      <w:r>
        <w:rPr>
          <w:sz w:val="20"/>
        </w:rPr>
        <w:t>The Finnish</w:t>
      </w:r>
      <w:r w:rsidRPr="00C952B9">
        <w:rPr>
          <w:sz w:val="20"/>
        </w:rPr>
        <w:t xml:space="preserve"> Eurajoki has</w:t>
      </w:r>
      <w:r>
        <w:rPr>
          <w:sz w:val="20"/>
        </w:rPr>
        <w:t xml:space="preserve"> </w:t>
      </w:r>
      <w:r w:rsidRPr="00C952B9">
        <w:rPr>
          <w:sz w:val="20"/>
        </w:rPr>
        <w:t xml:space="preserve">taken </w:t>
      </w:r>
      <w:r>
        <w:rPr>
          <w:sz w:val="20"/>
        </w:rPr>
        <w:t xml:space="preserve">somewhat of a </w:t>
      </w:r>
      <w:r w:rsidRPr="00C952B9">
        <w:rPr>
          <w:sz w:val="20"/>
        </w:rPr>
        <w:t>role of a bystander</w:t>
      </w:r>
      <w:r>
        <w:rPr>
          <w:sz w:val="20"/>
        </w:rPr>
        <w:t>,</w:t>
      </w:r>
      <w:r w:rsidRPr="00C952B9">
        <w:rPr>
          <w:sz w:val="20"/>
        </w:rPr>
        <w:t xml:space="preserve"> hold</w:t>
      </w:r>
      <w:r>
        <w:rPr>
          <w:sz w:val="20"/>
        </w:rPr>
        <w:t>ing</w:t>
      </w:r>
      <w:r w:rsidRPr="00C952B9">
        <w:rPr>
          <w:sz w:val="20"/>
        </w:rPr>
        <w:t xml:space="preserve"> a high level of trust in </w:t>
      </w:r>
      <w:r>
        <w:rPr>
          <w:sz w:val="20"/>
        </w:rPr>
        <w:t xml:space="preserve">the </w:t>
      </w:r>
      <w:r w:rsidRPr="00C952B9">
        <w:rPr>
          <w:sz w:val="20"/>
        </w:rPr>
        <w:t>safety regulator</w:t>
      </w:r>
      <w:r>
        <w:rPr>
          <w:sz w:val="20"/>
        </w:rPr>
        <w:t>,</w:t>
      </w:r>
      <w:r w:rsidRPr="00C952B9">
        <w:rPr>
          <w:sz w:val="20"/>
        </w:rPr>
        <w:t xml:space="preserve"> and tend</w:t>
      </w:r>
      <w:r>
        <w:rPr>
          <w:sz w:val="20"/>
        </w:rPr>
        <w:t>ing</w:t>
      </w:r>
      <w:r w:rsidRPr="00C952B9">
        <w:rPr>
          <w:sz w:val="20"/>
        </w:rPr>
        <w:t xml:space="preserve"> primarily to municipal economic interests. The structure of </w:t>
      </w:r>
      <w:r>
        <w:rPr>
          <w:sz w:val="20"/>
        </w:rPr>
        <w:t xml:space="preserve">the </w:t>
      </w:r>
      <w:r w:rsidRPr="00C952B9">
        <w:rPr>
          <w:sz w:val="20"/>
        </w:rPr>
        <w:t xml:space="preserve">partnership </w:t>
      </w:r>
      <w:r>
        <w:rPr>
          <w:sz w:val="20"/>
        </w:rPr>
        <w:t>reflects</w:t>
      </w:r>
      <w:r w:rsidRPr="00C952B9">
        <w:rPr>
          <w:sz w:val="20"/>
        </w:rPr>
        <w:t xml:space="preserve"> </w:t>
      </w:r>
      <w:r>
        <w:rPr>
          <w:sz w:val="20"/>
        </w:rPr>
        <w:t>a</w:t>
      </w:r>
      <w:r w:rsidRPr="00C952B9">
        <w:rPr>
          <w:sz w:val="20"/>
        </w:rPr>
        <w:t xml:space="preserve"> close relationship with the implementer and the nuclear utility</w:t>
      </w:r>
      <w:r>
        <w:rPr>
          <w:sz w:val="20"/>
        </w:rPr>
        <w:t xml:space="preserve">, and delegation of </w:t>
      </w:r>
      <w:r w:rsidRPr="00C952B9">
        <w:rPr>
          <w:sz w:val="20"/>
        </w:rPr>
        <w:t xml:space="preserve">safety issues to </w:t>
      </w:r>
      <w:r>
        <w:rPr>
          <w:sz w:val="20"/>
        </w:rPr>
        <w:t xml:space="preserve">the </w:t>
      </w:r>
      <w:r w:rsidRPr="00C952B9">
        <w:rPr>
          <w:sz w:val="20"/>
        </w:rPr>
        <w:t xml:space="preserve">regulator. </w:t>
      </w:r>
      <w:r>
        <w:rPr>
          <w:color w:val="000000"/>
          <w:sz w:val="20"/>
        </w:rPr>
        <w:t>T</w:t>
      </w:r>
      <w:r w:rsidRPr="00C952B9">
        <w:rPr>
          <w:color w:val="000000"/>
          <w:sz w:val="20"/>
        </w:rPr>
        <w:t xml:space="preserve">he cases illustrate how </w:t>
      </w:r>
      <w:r w:rsidR="004B359C">
        <w:rPr>
          <w:color w:val="000000"/>
          <w:sz w:val="20"/>
        </w:rPr>
        <w:t>apparently</w:t>
      </w:r>
      <w:r w:rsidRPr="00C952B9">
        <w:rPr>
          <w:color w:val="000000"/>
          <w:sz w:val="20"/>
        </w:rPr>
        <w:t xml:space="preserve"> similar Nordic high-trust contexts </w:t>
      </w:r>
      <w:r>
        <w:rPr>
          <w:color w:val="000000"/>
          <w:sz w:val="20"/>
        </w:rPr>
        <w:t xml:space="preserve">nevertheless produce distinct </w:t>
      </w:r>
      <w:r w:rsidRPr="00C952B9">
        <w:rPr>
          <w:color w:val="000000"/>
          <w:sz w:val="20"/>
        </w:rPr>
        <w:t>partnership approaches</w:t>
      </w:r>
      <w:r>
        <w:rPr>
          <w:color w:val="000000"/>
          <w:sz w:val="20"/>
        </w:rPr>
        <w:t>,</w:t>
      </w:r>
      <w:r w:rsidRPr="00C952B9">
        <w:rPr>
          <w:color w:val="000000"/>
          <w:sz w:val="20"/>
        </w:rPr>
        <w:t xml:space="preserve"> </w:t>
      </w:r>
      <w:r w:rsidR="006E5859">
        <w:rPr>
          <w:color w:val="000000"/>
          <w:sz w:val="20"/>
        </w:rPr>
        <w:t>following from</w:t>
      </w:r>
      <w:r w:rsidR="006E5859" w:rsidRPr="00C952B9">
        <w:rPr>
          <w:color w:val="000000"/>
          <w:sz w:val="20"/>
        </w:rPr>
        <w:t xml:space="preserve"> </w:t>
      </w:r>
      <w:r w:rsidRPr="00C952B9">
        <w:rPr>
          <w:color w:val="000000"/>
          <w:sz w:val="20"/>
        </w:rPr>
        <w:t xml:space="preserve">choices made </w:t>
      </w:r>
      <w:r w:rsidR="006E5859">
        <w:rPr>
          <w:color w:val="000000"/>
          <w:sz w:val="20"/>
        </w:rPr>
        <w:t>throughout the entire process</w:t>
      </w:r>
      <w:r w:rsidRPr="00C952B9">
        <w:rPr>
          <w:color w:val="000000"/>
          <w:sz w:val="20"/>
        </w:rPr>
        <w:t>.</w:t>
      </w:r>
    </w:p>
    <w:p w14:paraId="31E1B720" w14:textId="77777777" w:rsidR="0013493A" w:rsidRPr="00C952B9" w:rsidRDefault="0013493A" w:rsidP="0013493A">
      <w:pPr>
        <w:pStyle w:val="Otherunnumberedheadings"/>
      </w:pPr>
      <w:r w:rsidRPr="00C952B9">
        <w:t>ACKNOWLEDGEMENTS</w:t>
      </w:r>
    </w:p>
    <w:p w14:paraId="3B3B0C3C" w14:textId="5FC6F482" w:rsidR="0013493A" w:rsidRPr="00C952B9" w:rsidRDefault="0013493A" w:rsidP="0013493A">
      <w:pPr>
        <w:pStyle w:val="BodyText"/>
      </w:pPr>
      <w:r w:rsidRPr="00C952B9">
        <w:t xml:space="preserve">This work was </w:t>
      </w:r>
      <w:r w:rsidR="000B582D" w:rsidRPr="00C952B9">
        <w:t xml:space="preserve">funded </w:t>
      </w:r>
      <w:r w:rsidRPr="00C952B9">
        <w:t>by the Finnish Research Programme on Nuclear Waste Management</w:t>
      </w:r>
      <w:r w:rsidR="00C0665C" w:rsidRPr="00C952B9">
        <w:t xml:space="preserve"> (KYT2018)</w:t>
      </w:r>
      <w:r w:rsidRPr="00C952B9">
        <w:t>.</w:t>
      </w:r>
    </w:p>
    <w:p w14:paraId="635129D2" w14:textId="77777777" w:rsidR="0013493A" w:rsidRPr="00C952B9" w:rsidRDefault="0013493A" w:rsidP="003F0DD9">
      <w:pPr>
        <w:pStyle w:val="Heading2"/>
        <w:numPr>
          <w:ilvl w:val="0"/>
          <w:numId w:val="0"/>
        </w:numPr>
        <w:jc w:val="center"/>
        <w:rPr>
          <w:b/>
        </w:rPr>
      </w:pPr>
      <w:r w:rsidRPr="00C952B9">
        <w:rPr>
          <w:b/>
        </w:rPr>
        <w:t>References</w:t>
      </w:r>
    </w:p>
    <w:p w14:paraId="3BBE36D4" w14:textId="70243287" w:rsidR="00A33F0F" w:rsidRPr="004E2A49" w:rsidRDefault="00A8385B" w:rsidP="0052745E">
      <w:pPr>
        <w:pStyle w:val="Referencelist"/>
      </w:pPr>
      <w:r w:rsidRPr="003632DE">
        <w:t>B</w:t>
      </w:r>
      <w:r w:rsidR="00194ADB" w:rsidRPr="003632DE">
        <w:t>LOWERS</w:t>
      </w:r>
      <w:r w:rsidRPr="003632DE">
        <w:t>, A</w:t>
      </w:r>
      <w:r w:rsidR="00194ADB" w:rsidRPr="003632DE">
        <w:t>.</w:t>
      </w:r>
      <w:r w:rsidRPr="003632DE">
        <w:t>, S</w:t>
      </w:r>
      <w:r w:rsidR="00194ADB" w:rsidRPr="003632DE">
        <w:t>UNDQVIST, G.</w:t>
      </w:r>
      <w:r w:rsidR="0052745E" w:rsidRPr="003632DE">
        <w:t>,</w:t>
      </w:r>
      <w:r w:rsidRPr="003632DE">
        <w:t xml:space="preserve"> </w:t>
      </w:r>
      <w:r w:rsidRPr="00C952B9">
        <w:t>Radioactive Waste Management - Technocratic Domina</w:t>
      </w:r>
      <w:r w:rsidRPr="00AC7F85">
        <w:t>nce in an Age of Participation</w:t>
      </w:r>
      <w:r w:rsidR="0052745E" w:rsidRPr="00825E3E">
        <w:t xml:space="preserve">, </w:t>
      </w:r>
      <w:r w:rsidRPr="00995716">
        <w:t>J Integrative Environmental Sciences</w:t>
      </w:r>
      <w:r w:rsidR="0052745E" w:rsidRPr="00CA148A">
        <w:t xml:space="preserve">, </w:t>
      </w:r>
      <w:r w:rsidRPr="004045A0">
        <w:rPr>
          <w:b/>
        </w:rPr>
        <w:t>7</w:t>
      </w:r>
      <w:r w:rsidR="0052745E" w:rsidRPr="0096592E">
        <w:t xml:space="preserve"> </w:t>
      </w:r>
      <w:r w:rsidRPr="0096592E">
        <w:t>3 (2010) 149</w:t>
      </w:r>
      <w:r w:rsidR="0052745E" w:rsidRPr="0096592E">
        <w:t>–</w:t>
      </w:r>
      <w:r w:rsidRPr="0097202B">
        <w:t>155.</w:t>
      </w:r>
    </w:p>
    <w:p w14:paraId="0B4A3F2E" w14:textId="06F711EE" w:rsidR="00A33F0F" w:rsidRPr="00C952B9" w:rsidRDefault="00A8385B" w:rsidP="00A33F0F">
      <w:pPr>
        <w:pStyle w:val="Referencelist"/>
      </w:pPr>
      <w:r w:rsidRPr="00785550">
        <w:t>NEA</w:t>
      </w:r>
      <w:r w:rsidR="0052745E" w:rsidRPr="00CF2BEC">
        <w:t>,</w:t>
      </w:r>
      <w:r w:rsidRPr="00C952B9">
        <w:t xml:space="preserve"> Learning and </w:t>
      </w:r>
      <w:r w:rsidR="0052745E" w:rsidRPr="00C952B9">
        <w:t xml:space="preserve">Adapting </w:t>
      </w:r>
      <w:r w:rsidRPr="00C952B9">
        <w:t xml:space="preserve">to </w:t>
      </w:r>
      <w:r w:rsidR="0052745E" w:rsidRPr="00C952B9">
        <w:t xml:space="preserve">Societal Requirements </w:t>
      </w:r>
      <w:r w:rsidRPr="00C952B9">
        <w:t xml:space="preserve">for </w:t>
      </w:r>
      <w:r w:rsidR="0052745E" w:rsidRPr="00C952B9">
        <w:t>Radioactive Waste Management</w:t>
      </w:r>
      <w:r w:rsidRPr="00C952B9">
        <w:t xml:space="preserve">: Key </w:t>
      </w:r>
      <w:r w:rsidR="0052745E" w:rsidRPr="00C952B9">
        <w:t xml:space="preserve">Findings </w:t>
      </w:r>
      <w:r w:rsidRPr="00C952B9">
        <w:t xml:space="preserve">and </w:t>
      </w:r>
      <w:r w:rsidR="0052745E" w:rsidRPr="00C952B9">
        <w:t xml:space="preserve">Experience </w:t>
      </w:r>
      <w:r w:rsidRPr="00C952B9">
        <w:t>of the Forum on Stakeholder Confidence</w:t>
      </w:r>
      <w:r w:rsidR="0052745E" w:rsidRPr="00C952B9">
        <w:t xml:space="preserve">, </w:t>
      </w:r>
      <w:r w:rsidRPr="00C952B9">
        <w:t>Nuclear Energy Agency, O</w:t>
      </w:r>
      <w:r w:rsidR="0052745E" w:rsidRPr="00C952B9">
        <w:t>ECD (2004)</w:t>
      </w:r>
      <w:r w:rsidRPr="00C952B9">
        <w:t>.</w:t>
      </w:r>
    </w:p>
    <w:p w14:paraId="3A668B39" w14:textId="0CD4E603" w:rsidR="00A33F0F" w:rsidRPr="0096592E" w:rsidRDefault="00A8385B" w:rsidP="00A33F0F">
      <w:pPr>
        <w:pStyle w:val="Referencelist"/>
      </w:pPr>
      <w:r w:rsidRPr="003632DE">
        <w:t>B</w:t>
      </w:r>
      <w:r w:rsidR="00194ADB" w:rsidRPr="003632DE">
        <w:t>ERGMANS</w:t>
      </w:r>
      <w:r w:rsidRPr="003632DE">
        <w:t>, A., et al.</w:t>
      </w:r>
      <w:r w:rsidR="0052745E" w:rsidRPr="003632DE">
        <w:t>,</w:t>
      </w:r>
      <w:r w:rsidRPr="003632DE">
        <w:t xml:space="preserve"> </w:t>
      </w:r>
      <w:r w:rsidRPr="00C952B9">
        <w:t>Wanting the Unwanted: Effects of Public and Stakeholder Involvement in the Long-Term Management of Radioactive Waste and the Siting of Repository Facilities</w:t>
      </w:r>
      <w:r w:rsidR="00A33F0F" w:rsidRPr="00825E3E">
        <w:t>.</w:t>
      </w:r>
      <w:r w:rsidR="009A7937" w:rsidRPr="00995716">
        <w:t xml:space="preserve"> CARL Report</w:t>
      </w:r>
      <w:r w:rsidR="0052745E" w:rsidRPr="00CA148A">
        <w:t xml:space="preserve"> </w:t>
      </w:r>
      <w:r w:rsidR="0052745E" w:rsidRPr="004045A0">
        <w:t>(2008).</w:t>
      </w:r>
    </w:p>
    <w:p w14:paraId="0AF7D670" w14:textId="58CE6FA3" w:rsidR="00A33F0F" w:rsidRPr="00C952B9" w:rsidRDefault="00A8385B" w:rsidP="00A33F0F">
      <w:pPr>
        <w:pStyle w:val="Referencelist"/>
      </w:pPr>
      <w:r w:rsidRPr="0096592E">
        <w:t>NEA</w:t>
      </w:r>
      <w:r w:rsidR="0052745E" w:rsidRPr="0096592E">
        <w:t>,</w:t>
      </w:r>
      <w:r w:rsidRPr="0097202B">
        <w:t xml:space="preserve"> </w:t>
      </w:r>
      <w:r w:rsidRPr="004E2A49">
        <w:t xml:space="preserve">Partnering for </w:t>
      </w:r>
      <w:r w:rsidR="0052745E" w:rsidRPr="00785550">
        <w:t>Long</w:t>
      </w:r>
      <w:r w:rsidRPr="00CF2BEC">
        <w:t>-</w:t>
      </w:r>
      <w:r w:rsidR="0052745E" w:rsidRPr="00C952B9">
        <w:t xml:space="preserve">Term Management </w:t>
      </w:r>
      <w:r w:rsidRPr="00C952B9">
        <w:t xml:space="preserve">of </w:t>
      </w:r>
      <w:r w:rsidR="0052745E" w:rsidRPr="00C952B9">
        <w:t>Radioactive Waste</w:t>
      </w:r>
      <w:r w:rsidRPr="00C952B9">
        <w:t xml:space="preserve">: </w:t>
      </w:r>
      <w:r w:rsidR="0052745E" w:rsidRPr="00C952B9">
        <w:t xml:space="preserve">Evolution </w:t>
      </w:r>
      <w:r w:rsidRPr="00C952B9">
        <w:t xml:space="preserve">and </w:t>
      </w:r>
      <w:r w:rsidR="0052745E" w:rsidRPr="00C952B9">
        <w:t xml:space="preserve">Current Practice </w:t>
      </w:r>
      <w:r w:rsidRPr="00C952B9">
        <w:t xml:space="preserve">in </w:t>
      </w:r>
      <w:r w:rsidR="0052745E" w:rsidRPr="00C952B9">
        <w:t>Thirteen Countries</w:t>
      </w:r>
      <w:r w:rsidRPr="00C952B9">
        <w:t>. NEA No. 6823</w:t>
      </w:r>
      <w:r w:rsidR="0052745E" w:rsidRPr="00C952B9">
        <w:t xml:space="preserve">, </w:t>
      </w:r>
      <w:r w:rsidRPr="00C952B9">
        <w:t>Nuclear Energy Agency, O</w:t>
      </w:r>
      <w:r w:rsidR="0052745E" w:rsidRPr="00C952B9">
        <w:t>ECD, Paris (2010)</w:t>
      </w:r>
      <w:r w:rsidRPr="00C952B9">
        <w:t>.</w:t>
      </w:r>
    </w:p>
    <w:p w14:paraId="60EA3A29" w14:textId="26A1D68F" w:rsidR="00A33F0F" w:rsidRPr="00C952B9" w:rsidRDefault="00F41425" w:rsidP="00A33F0F">
      <w:pPr>
        <w:pStyle w:val="Referencelist"/>
      </w:pPr>
      <w:r w:rsidRPr="00C952B9">
        <w:t>Swedish Government Official Reports</w:t>
      </w:r>
      <w:r w:rsidR="005C4B9E" w:rsidRPr="00C952B9">
        <w:t>,</w:t>
      </w:r>
      <w:r w:rsidRPr="00C952B9">
        <w:t xml:space="preserve"> Nuclear waste: state-of-the-art reports 2004: A National Council for Nuclear Waste (KASAM) report. SOU 2004:67</w:t>
      </w:r>
      <w:r w:rsidR="005C4B9E" w:rsidRPr="00C952B9">
        <w:t xml:space="preserve"> (2004)</w:t>
      </w:r>
      <w:r w:rsidRPr="00C952B9">
        <w:t>.</w:t>
      </w:r>
    </w:p>
    <w:p w14:paraId="366F27F5" w14:textId="6862AAF8" w:rsidR="000062B3" w:rsidRPr="00C952B9" w:rsidRDefault="000062B3" w:rsidP="000062B3">
      <w:pPr>
        <w:pStyle w:val="Referencelist"/>
      </w:pPr>
      <w:r w:rsidRPr="00C952B9">
        <w:rPr>
          <w:rStyle w:val="cls-response"/>
        </w:rPr>
        <w:t>L</w:t>
      </w:r>
      <w:r w:rsidR="00194ADB" w:rsidRPr="00C952B9">
        <w:rPr>
          <w:rStyle w:val="cls-response"/>
        </w:rPr>
        <w:t>IDSKOG</w:t>
      </w:r>
      <w:r w:rsidRPr="00C952B9">
        <w:rPr>
          <w:rStyle w:val="cls-response"/>
        </w:rPr>
        <w:t>, R.</w:t>
      </w:r>
      <w:r w:rsidR="0052745E" w:rsidRPr="00C952B9">
        <w:rPr>
          <w:rStyle w:val="cls-response"/>
        </w:rPr>
        <w:t>,</w:t>
      </w:r>
      <w:r w:rsidRPr="00C952B9">
        <w:rPr>
          <w:rStyle w:val="cls-response"/>
        </w:rPr>
        <w:t xml:space="preserve"> The Politics of Radwaste Management in Sweden: Civil Society, the Economy and the State</w:t>
      </w:r>
      <w:r w:rsidR="000C5AD3" w:rsidRPr="00C952B9">
        <w:rPr>
          <w:rStyle w:val="cls-response"/>
        </w:rPr>
        <w:t xml:space="preserve">, </w:t>
      </w:r>
      <w:r w:rsidRPr="00C952B9">
        <w:rPr>
          <w:rStyle w:val="cls-response"/>
          <w:iCs/>
        </w:rPr>
        <w:t>Acta Sociologica</w:t>
      </w:r>
      <w:r w:rsidRPr="00C952B9">
        <w:rPr>
          <w:rStyle w:val="cls-response"/>
        </w:rPr>
        <w:t xml:space="preserve">, </w:t>
      </w:r>
      <w:r w:rsidRPr="00C952B9">
        <w:rPr>
          <w:rStyle w:val="cls-response"/>
          <w:b/>
          <w:iCs/>
        </w:rPr>
        <w:t>37</w:t>
      </w:r>
      <w:r w:rsidR="000C5AD3" w:rsidRPr="00C952B9">
        <w:rPr>
          <w:rStyle w:val="cls-response"/>
        </w:rPr>
        <w:t xml:space="preserve"> </w:t>
      </w:r>
      <w:r w:rsidRPr="00C952B9">
        <w:rPr>
          <w:rStyle w:val="cls-response"/>
        </w:rPr>
        <w:t>1</w:t>
      </w:r>
      <w:r w:rsidR="0052745E" w:rsidRPr="00C952B9">
        <w:rPr>
          <w:rStyle w:val="cls-response"/>
        </w:rPr>
        <w:t xml:space="preserve"> </w:t>
      </w:r>
      <w:r w:rsidR="000C5AD3" w:rsidRPr="00C952B9">
        <w:rPr>
          <w:rStyle w:val="cls-response"/>
        </w:rPr>
        <w:t xml:space="preserve">(1994) </w:t>
      </w:r>
      <w:r w:rsidRPr="00C952B9">
        <w:rPr>
          <w:rStyle w:val="cls-response"/>
        </w:rPr>
        <w:t>55–73.</w:t>
      </w:r>
    </w:p>
    <w:p w14:paraId="5C704209" w14:textId="1F6329C7" w:rsidR="000062B3" w:rsidRPr="003632DE" w:rsidRDefault="000062B3" w:rsidP="00194ADB">
      <w:pPr>
        <w:pStyle w:val="Referencelist"/>
        <w:rPr>
          <w:lang w:eastAsia="en-GB"/>
        </w:rPr>
      </w:pPr>
      <w:r w:rsidRPr="00C952B9">
        <w:t>V</w:t>
      </w:r>
      <w:r w:rsidR="00194ADB" w:rsidRPr="00C952B9">
        <w:t>ARJORANTA</w:t>
      </w:r>
      <w:r w:rsidRPr="00C952B9">
        <w:t>, T.</w:t>
      </w:r>
      <w:r w:rsidR="00194ADB" w:rsidRPr="00C952B9">
        <w:t>,</w:t>
      </w:r>
      <w:r w:rsidRPr="00C952B9">
        <w:t xml:space="preserve"> P</w:t>
      </w:r>
      <w:r w:rsidR="00194ADB" w:rsidRPr="00C952B9">
        <w:t>ALTEMAA</w:t>
      </w:r>
      <w:r w:rsidRPr="00C952B9">
        <w:t xml:space="preserve">, R. </w:t>
      </w:r>
      <w:r w:rsidRPr="003632DE">
        <w:rPr>
          <w:lang w:eastAsia="en-GB"/>
        </w:rPr>
        <w:t>C</w:t>
      </w:r>
      <w:r w:rsidR="009A7937" w:rsidRPr="003632DE">
        <w:rPr>
          <w:lang w:eastAsia="en-GB"/>
        </w:rPr>
        <w:t>onstruction of First Phase of Spent Fuel Repository in Finland</w:t>
      </w:r>
      <w:r w:rsidRPr="003632DE">
        <w:rPr>
          <w:lang w:eastAsia="en-GB"/>
        </w:rPr>
        <w:t>: L</w:t>
      </w:r>
      <w:r w:rsidR="009A7937" w:rsidRPr="003632DE">
        <w:rPr>
          <w:lang w:eastAsia="en-GB"/>
        </w:rPr>
        <w:t>essons Learned and Success Factors</w:t>
      </w:r>
      <w:r w:rsidR="003D0628" w:rsidRPr="003632DE">
        <w:rPr>
          <w:lang w:eastAsia="en-GB"/>
        </w:rPr>
        <w:t xml:space="preserve">, Proceedings of an International Conference on the Management of Spent Fuel from Nuclear Power Reactors, Vienna, Austria, 31 May – 4 June </w:t>
      </w:r>
      <w:r w:rsidR="000C5AD3" w:rsidRPr="003632DE">
        <w:rPr>
          <w:lang w:eastAsia="en-GB"/>
        </w:rPr>
        <w:t>(</w:t>
      </w:r>
      <w:r w:rsidR="009A7937" w:rsidRPr="003632DE">
        <w:rPr>
          <w:lang w:eastAsia="en-GB"/>
        </w:rPr>
        <w:t>2010</w:t>
      </w:r>
      <w:r w:rsidR="000C5AD3" w:rsidRPr="003632DE">
        <w:rPr>
          <w:lang w:eastAsia="en-GB"/>
        </w:rPr>
        <w:t>)</w:t>
      </w:r>
      <w:r w:rsidR="009A7937" w:rsidRPr="003632DE">
        <w:rPr>
          <w:lang w:eastAsia="en-GB"/>
        </w:rPr>
        <w:t>.</w:t>
      </w:r>
    </w:p>
    <w:p w14:paraId="08AC3678" w14:textId="0BA9B4C7" w:rsidR="0029196C" w:rsidRPr="003632DE" w:rsidRDefault="00854A14" w:rsidP="0029196C">
      <w:pPr>
        <w:pStyle w:val="Referencelist"/>
      </w:pPr>
      <w:r w:rsidRPr="00C952B9">
        <w:lastRenderedPageBreak/>
        <w:t>NDA</w:t>
      </w:r>
      <w:r w:rsidR="000C5AD3" w:rsidRPr="00AC7F85">
        <w:t>,</w:t>
      </w:r>
      <w:r w:rsidRPr="00FF4CD5">
        <w:t xml:space="preserve"> Managing radioactive waste safely: Literature review of international experiences of community partnerships. Nuclear Decommissioning Authority</w:t>
      </w:r>
      <w:r w:rsidR="000C5AD3" w:rsidRPr="009A6752">
        <w:t xml:space="preserve"> (</w:t>
      </w:r>
      <w:r w:rsidR="000C5AD3" w:rsidRPr="003632DE">
        <w:t>2007).</w:t>
      </w:r>
    </w:p>
    <w:p w14:paraId="5C9E9CAC" w14:textId="0D825C85" w:rsidR="00854A14" w:rsidRPr="003632DE" w:rsidRDefault="005C4B9E" w:rsidP="0029196C">
      <w:pPr>
        <w:pStyle w:val="Referencelist"/>
      </w:pPr>
      <w:r w:rsidRPr="003632DE">
        <w:t>Implementing geological disposal – working with communities: long term management of higher activity radioactive waste,</w:t>
      </w:r>
      <w:r w:rsidRPr="00C952B9">
        <w:t xml:space="preserve"> </w:t>
      </w:r>
      <w:r w:rsidR="00854A14" w:rsidRPr="00AC7F85">
        <w:t xml:space="preserve">Policy </w:t>
      </w:r>
      <w:r w:rsidR="003D0628" w:rsidRPr="00FF4CD5">
        <w:t>paper</w:t>
      </w:r>
      <w:r w:rsidR="00854A14" w:rsidRPr="009A6752">
        <w:t xml:space="preserve">, </w:t>
      </w:r>
      <w:r w:rsidRPr="009A6752">
        <w:t>19 D</w:t>
      </w:r>
      <w:r w:rsidRPr="00825E3E">
        <w:t>ecember, Department of Business, Energy and Industrial Strategy, UK (2018).</w:t>
      </w:r>
    </w:p>
    <w:p w14:paraId="120339DB" w14:textId="49C178BF" w:rsidR="00A33F0F" w:rsidRPr="00CA148A" w:rsidRDefault="00854A14" w:rsidP="00A33F0F">
      <w:pPr>
        <w:pStyle w:val="Referencelist"/>
      </w:pPr>
      <w:r w:rsidRPr="00C952B9">
        <w:t>RESET</w:t>
      </w:r>
      <w:r w:rsidR="005C4B9E" w:rsidRPr="00AC7F85">
        <w:t xml:space="preserve"> OF AMERICA’S NUCLEAR WASTE M</w:t>
      </w:r>
      <w:r w:rsidR="005C4B9E" w:rsidRPr="00FF4CD5">
        <w:t>ANAGEMENT, Strategy and Policy, Final</w:t>
      </w:r>
      <w:r w:rsidRPr="009A6752">
        <w:t xml:space="preserve"> </w:t>
      </w:r>
      <w:r w:rsidR="005C4B9E" w:rsidRPr="009A6752">
        <w:t xml:space="preserve">Report, Standford University, Georg Washington University </w:t>
      </w:r>
      <w:r w:rsidR="002D4F04" w:rsidRPr="00825E3E">
        <w:t>(2018)</w:t>
      </w:r>
      <w:r w:rsidR="005C4B9E" w:rsidRPr="00995716">
        <w:t>.</w:t>
      </w:r>
    </w:p>
    <w:p w14:paraId="20CF2E6C" w14:textId="74B5BDA1" w:rsidR="00A33F0F" w:rsidRPr="00C952B9" w:rsidRDefault="0029196C" w:rsidP="00A33F0F">
      <w:pPr>
        <w:pStyle w:val="Referencelist"/>
      </w:pPr>
      <w:r w:rsidRPr="004045A0">
        <w:t>B</w:t>
      </w:r>
      <w:r w:rsidR="000C5AD3" w:rsidRPr="0096592E">
        <w:t>ERGMANS</w:t>
      </w:r>
      <w:r w:rsidRPr="0096592E">
        <w:t xml:space="preserve">, A., </w:t>
      </w:r>
      <w:r w:rsidR="000C5AD3" w:rsidRPr="0096592E">
        <w:t xml:space="preserve">VAN </w:t>
      </w:r>
      <w:r w:rsidRPr="0097202B">
        <w:t>S</w:t>
      </w:r>
      <w:r w:rsidR="000C5AD3" w:rsidRPr="004E2A49">
        <w:t>TEENBERGE</w:t>
      </w:r>
      <w:r w:rsidRPr="00785550">
        <w:t>, A.</w:t>
      </w:r>
      <w:r w:rsidRPr="00CF2BEC">
        <w:t>, V</w:t>
      </w:r>
      <w:r w:rsidR="000C5AD3" w:rsidRPr="00C952B9">
        <w:t>ERJANS</w:t>
      </w:r>
      <w:r w:rsidRPr="00C952B9">
        <w:t>, G.</w:t>
      </w:r>
      <w:r w:rsidR="00B67092" w:rsidRPr="00C952B9">
        <w:t>,</w:t>
      </w:r>
      <w:r w:rsidRPr="00C952B9">
        <w:t xml:space="preserve"> CARL </w:t>
      </w:r>
      <w:r w:rsidR="00B67092" w:rsidRPr="00C952B9">
        <w:t xml:space="preserve">Country Report </w:t>
      </w:r>
      <w:r w:rsidRPr="00C952B9">
        <w:t xml:space="preserve">- Belgium. </w:t>
      </w:r>
      <w:r w:rsidR="0052745E" w:rsidRPr="00C952B9">
        <w:t>(</w:t>
      </w:r>
      <w:r w:rsidR="008926AD" w:rsidRPr="00C952B9">
        <w:t>2006</w:t>
      </w:r>
      <w:r w:rsidR="0052745E" w:rsidRPr="00C952B9">
        <w:t>).</w:t>
      </w:r>
    </w:p>
    <w:p w14:paraId="017A8DEA" w14:textId="2A9FCB58" w:rsidR="0029196C" w:rsidRPr="00C952B9" w:rsidRDefault="0029196C" w:rsidP="00A33F0F">
      <w:pPr>
        <w:pStyle w:val="Referencelist"/>
      </w:pPr>
      <w:r w:rsidRPr="00C952B9">
        <w:t>BERGMANS, A.</w:t>
      </w:r>
      <w:r w:rsidR="00B67092" w:rsidRPr="00C952B9">
        <w:t xml:space="preserve"> </w:t>
      </w:r>
      <w:r w:rsidRPr="00C952B9">
        <w:t xml:space="preserve">Stakeholder </w:t>
      </w:r>
      <w:r w:rsidR="00B67092" w:rsidRPr="00C952B9">
        <w:t xml:space="preserve">Participation </w:t>
      </w:r>
      <w:r w:rsidRPr="00C952B9">
        <w:t xml:space="preserve">and </w:t>
      </w:r>
      <w:r w:rsidR="00B67092" w:rsidRPr="00C952B9">
        <w:t xml:space="preserve">Voluntary Siting </w:t>
      </w:r>
      <w:r w:rsidRPr="00C952B9">
        <w:t xml:space="preserve">in </w:t>
      </w:r>
      <w:r w:rsidR="00B67092" w:rsidRPr="00C952B9">
        <w:t xml:space="preserve">Radioactive Waste Disposal </w:t>
      </w:r>
      <w:r w:rsidRPr="00C952B9">
        <w:t>in Belgium. NWMO SR-2008-29. Ontario: Nuclear Waste Management</w:t>
      </w:r>
      <w:r w:rsidR="00B67092" w:rsidRPr="00C952B9">
        <w:t xml:space="preserve"> (2008).</w:t>
      </w:r>
    </w:p>
    <w:p w14:paraId="308E591F" w14:textId="5EAE2D0A" w:rsidR="004C0DA9" w:rsidRPr="00C952B9" w:rsidRDefault="00427516" w:rsidP="0013493A">
      <w:pPr>
        <w:pStyle w:val="Referencelist"/>
      </w:pPr>
      <w:r w:rsidRPr="00C952B9">
        <w:t>NEA</w:t>
      </w:r>
      <w:r w:rsidR="003D0628" w:rsidRPr="00C952B9">
        <w:t>,</w:t>
      </w:r>
      <w:r w:rsidRPr="00C952B9">
        <w:t xml:space="preserve"> 2013. Stakeholder Confidence in Radioactive Waste Management: An Annotated Glossary of Key Terms. NEA No. 6988. Paris: Nuclear Energy Agency, Organisation for Economic Co-operation and Development</w:t>
      </w:r>
    </w:p>
    <w:p w14:paraId="7A530864" w14:textId="3B2C10AB" w:rsidR="00427516" w:rsidRPr="003632DE" w:rsidRDefault="00BB237F" w:rsidP="0013493A">
      <w:pPr>
        <w:pStyle w:val="Referencelist"/>
      </w:pPr>
      <w:r w:rsidRPr="00C952B9">
        <w:t>NEA</w:t>
      </w:r>
      <w:r w:rsidR="003D0628" w:rsidRPr="00C952B9">
        <w:t>,</w:t>
      </w:r>
      <w:r w:rsidRPr="00C952B9">
        <w:t xml:space="preserve"> How can stakeholder involvement be improved? </w:t>
      </w:r>
      <w:r w:rsidR="00723B7B" w:rsidRPr="00C952B9">
        <w:t xml:space="preserve">December 2015. </w:t>
      </w:r>
      <w:r w:rsidRPr="003632DE">
        <w:t>[flyer]</w:t>
      </w:r>
    </w:p>
    <w:p w14:paraId="2F24E88E" w14:textId="50FA3F26" w:rsidR="00BB237F" w:rsidRPr="00FC5D92" w:rsidRDefault="00442482" w:rsidP="0013493A">
      <w:pPr>
        <w:pStyle w:val="Referencelist"/>
        <w:rPr>
          <w:lang w:val="fi-FI"/>
        </w:rPr>
      </w:pPr>
      <w:r w:rsidRPr="0016126A">
        <w:rPr>
          <w:lang w:val="fi-FI"/>
        </w:rPr>
        <w:t>L</w:t>
      </w:r>
      <w:r w:rsidR="00510FE4" w:rsidRPr="0016126A">
        <w:rPr>
          <w:lang w:val="fi-FI"/>
        </w:rPr>
        <w:t>AINE</w:t>
      </w:r>
      <w:r w:rsidRPr="0016126A">
        <w:rPr>
          <w:lang w:val="fi-FI"/>
        </w:rPr>
        <w:t xml:space="preserve">, M., </w:t>
      </w:r>
      <w:r w:rsidR="00510FE4" w:rsidRPr="0016126A">
        <w:rPr>
          <w:lang w:val="fi-FI"/>
        </w:rPr>
        <w:t>BAMBERG</w:t>
      </w:r>
      <w:r w:rsidRPr="003D0149">
        <w:rPr>
          <w:lang w:val="fi-FI"/>
        </w:rPr>
        <w:t>, J.</w:t>
      </w:r>
      <w:r w:rsidR="00510FE4" w:rsidRPr="003D0149">
        <w:rPr>
          <w:lang w:val="fi-FI"/>
        </w:rPr>
        <w:t>,</w:t>
      </w:r>
      <w:r w:rsidRPr="003D0149">
        <w:rPr>
          <w:lang w:val="fi-FI"/>
        </w:rPr>
        <w:t xml:space="preserve"> </w:t>
      </w:r>
      <w:r w:rsidR="00510FE4" w:rsidRPr="003F3189">
        <w:rPr>
          <w:lang w:val="fi-FI"/>
        </w:rPr>
        <w:t>JOKINEN</w:t>
      </w:r>
      <w:r w:rsidRPr="003F3189">
        <w:rPr>
          <w:lang w:val="fi-FI"/>
        </w:rPr>
        <w:t>, P.</w:t>
      </w:r>
      <w:r w:rsidR="00030E45" w:rsidRPr="00291AC6">
        <w:rPr>
          <w:lang w:val="fi-FI"/>
        </w:rPr>
        <w:t>,</w:t>
      </w:r>
      <w:r w:rsidRPr="0078361C">
        <w:rPr>
          <w:lang w:val="fi-FI"/>
        </w:rPr>
        <w:t xml:space="preserve"> </w:t>
      </w:r>
      <w:r w:rsidR="00030E45" w:rsidRPr="0078361C">
        <w:rPr>
          <w:lang w:val="fi-FI"/>
        </w:rPr>
        <w:t>”</w:t>
      </w:r>
      <w:r w:rsidRPr="0078361C">
        <w:rPr>
          <w:lang w:val="fi-FI"/>
        </w:rPr>
        <w:t>Tapaustutkimuksen käytäntö ja teoria</w:t>
      </w:r>
      <w:r w:rsidR="00030E45" w:rsidRPr="00814947">
        <w:rPr>
          <w:lang w:val="fi-FI"/>
        </w:rPr>
        <w:t>”,</w:t>
      </w:r>
      <w:r w:rsidRPr="00814947">
        <w:rPr>
          <w:lang w:val="fi-FI"/>
        </w:rPr>
        <w:t xml:space="preserve"> Tapaustutkimuksen taito Gaudeamus, Helsinki University Press</w:t>
      </w:r>
      <w:r w:rsidR="00030E45" w:rsidRPr="00814947">
        <w:rPr>
          <w:lang w:val="fi-FI"/>
        </w:rPr>
        <w:t>,</w:t>
      </w:r>
      <w:r w:rsidRPr="00814947">
        <w:rPr>
          <w:lang w:val="fi-FI"/>
        </w:rPr>
        <w:t xml:space="preserve"> Helsinki </w:t>
      </w:r>
      <w:r w:rsidR="00030E45" w:rsidRPr="00814947">
        <w:rPr>
          <w:lang w:val="fi-FI"/>
        </w:rPr>
        <w:t>(2007)</w:t>
      </w:r>
      <w:r w:rsidRPr="001662F7">
        <w:rPr>
          <w:lang w:val="fi-FI"/>
        </w:rPr>
        <w:t>.</w:t>
      </w:r>
    </w:p>
    <w:p w14:paraId="27272056" w14:textId="62203F27" w:rsidR="00442482" w:rsidRPr="00CF2BEC" w:rsidRDefault="00442482" w:rsidP="0013493A">
      <w:pPr>
        <w:pStyle w:val="Referencelist"/>
      </w:pPr>
      <w:r w:rsidRPr="00C952B9">
        <w:t>KOJO, M.</w:t>
      </w:r>
      <w:r w:rsidR="00030E45" w:rsidRPr="00AC7F85">
        <w:t>,</w:t>
      </w:r>
      <w:r w:rsidRPr="00FF4CD5">
        <w:t xml:space="preserve"> </w:t>
      </w:r>
      <w:r w:rsidR="00030E45" w:rsidRPr="009A6752">
        <w:t>“</w:t>
      </w:r>
      <w:r w:rsidR="00510FE4" w:rsidRPr="009A6752">
        <w:t>The strategy of site selection for the spent nuclear fuel repository in Finland</w:t>
      </w:r>
      <w:r w:rsidR="00030E45" w:rsidRPr="00825E3E">
        <w:t>”,</w:t>
      </w:r>
      <w:r w:rsidR="00510FE4" w:rsidRPr="00995716">
        <w:t xml:space="preserve"> The </w:t>
      </w:r>
      <w:r w:rsidR="00030E45" w:rsidRPr="00CA148A">
        <w:t xml:space="preserve">Renewal </w:t>
      </w:r>
      <w:r w:rsidR="00510FE4" w:rsidRPr="004045A0">
        <w:t xml:space="preserve">of </w:t>
      </w:r>
      <w:r w:rsidR="00030E45" w:rsidRPr="0096592E">
        <w:t xml:space="preserve">Nuclear Power </w:t>
      </w:r>
      <w:r w:rsidR="00510FE4" w:rsidRPr="0096592E">
        <w:t>in Finland</w:t>
      </w:r>
      <w:r w:rsidR="00030E45" w:rsidRPr="0097202B">
        <w:t>,</w:t>
      </w:r>
      <w:r w:rsidR="00510FE4" w:rsidRPr="004E2A49">
        <w:t xml:space="preserve"> Palgrave Macmillan, </w:t>
      </w:r>
      <w:r w:rsidR="00030E45" w:rsidRPr="00785550">
        <w:t>New York (2009).</w:t>
      </w:r>
    </w:p>
    <w:p w14:paraId="163C7A53" w14:textId="45FC2915" w:rsidR="003308B3" w:rsidRPr="00C952B9" w:rsidRDefault="003308B3" w:rsidP="0013493A">
      <w:pPr>
        <w:pStyle w:val="Referencelist"/>
      </w:pPr>
      <w:r w:rsidRPr="00C952B9">
        <w:t>Swedish Government Official Reports</w:t>
      </w:r>
      <w:r w:rsidR="0052745E" w:rsidRPr="00C952B9">
        <w:t>,</w:t>
      </w:r>
      <w:r w:rsidRPr="00C952B9">
        <w:t xml:space="preserve"> Time for final disposal of nuclear waste – society, technology and nature. An in-depth report supplementing KASAM’s Nuclear Waste State-of-the-Art Report 2007. SOU 2007:38</w:t>
      </w:r>
      <w:r w:rsidR="003E100F" w:rsidRPr="00C952B9">
        <w:t>.</w:t>
      </w:r>
    </w:p>
    <w:p w14:paraId="1AF0CD2E" w14:textId="77CB44F3" w:rsidR="003308B3" w:rsidRPr="00AC7F85" w:rsidRDefault="006B2589" w:rsidP="0013493A">
      <w:pPr>
        <w:pStyle w:val="Referencelist"/>
      </w:pPr>
      <w:r>
        <w:t>ELAM</w:t>
      </w:r>
      <w:r w:rsidR="003308B3" w:rsidRPr="003632DE">
        <w:t xml:space="preserve">, </w:t>
      </w:r>
      <w:r>
        <w:t>M</w:t>
      </w:r>
      <w:r w:rsidR="003308B3" w:rsidRPr="003632DE">
        <w:t xml:space="preserve">., SUNDQVIST, G. </w:t>
      </w:r>
      <w:r w:rsidR="003308B3" w:rsidRPr="00C952B9">
        <w:t>Stakeholder involvement in Swe</w:t>
      </w:r>
      <w:r w:rsidR="003308B3" w:rsidRPr="00AC7F85">
        <w:t>dish nuclear waste management. SKI Report 2007:02. 2007.</w:t>
      </w:r>
    </w:p>
    <w:p w14:paraId="31320302" w14:textId="2FB11232" w:rsidR="003308B3" w:rsidRPr="00AC7F85" w:rsidRDefault="003308B3" w:rsidP="0013493A">
      <w:pPr>
        <w:pStyle w:val="Referencelist"/>
      </w:pPr>
      <w:r w:rsidRPr="00825E3E">
        <w:t>SUNDQVIST, G.</w:t>
      </w:r>
      <w:r w:rsidR="00030E45" w:rsidRPr="00995716">
        <w:t>,</w:t>
      </w:r>
      <w:r w:rsidRPr="00CA148A">
        <w:t xml:space="preserve"> The Bedrock of Opinion: Science, Technology and Society in the Siting of High-Level Nuclear Waste</w:t>
      </w:r>
      <w:r w:rsidR="00030E45" w:rsidRPr="004045A0">
        <w:t>,</w:t>
      </w:r>
      <w:r w:rsidRPr="003632DE">
        <w:t xml:space="preserve"> Kluwer Academic Publishers</w:t>
      </w:r>
      <w:r w:rsidR="00030E45" w:rsidRPr="003632DE">
        <w:t xml:space="preserve">, Dordrecht </w:t>
      </w:r>
      <w:r w:rsidR="00030E45" w:rsidRPr="00C952B9">
        <w:t>(2002).</w:t>
      </w:r>
    </w:p>
    <w:p w14:paraId="3A337862" w14:textId="459630E5" w:rsidR="003308B3" w:rsidRPr="003632DE" w:rsidRDefault="003308B3" w:rsidP="0013493A">
      <w:pPr>
        <w:pStyle w:val="Referencelist"/>
      </w:pPr>
      <w:r w:rsidRPr="0016126A">
        <w:rPr>
          <w:lang w:val="sv-SE"/>
        </w:rPr>
        <w:t>VEDUNG, E., OLOFSSON, P.</w:t>
      </w:r>
      <w:r w:rsidR="003D0628" w:rsidRPr="0016126A">
        <w:rPr>
          <w:lang w:val="sv-SE"/>
        </w:rPr>
        <w:t>,</w:t>
      </w:r>
      <w:r w:rsidRPr="0016126A">
        <w:rPr>
          <w:lang w:val="sv-SE"/>
        </w:rPr>
        <w:t xml:space="preserve"> Lokalsamhällets beslutsfattande om kärnavfallet. </w:t>
      </w:r>
      <w:r w:rsidRPr="003632DE">
        <w:t xml:space="preserve">Tre kommuner i norr. SKI Rapport 97:38 </w:t>
      </w:r>
      <w:r w:rsidR="003D0628" w:rsidRPr="003632DE">
        <w:t>(</w:t>
      </w:r>
      <w:r w:rsidRPr="003632DE">
        <w:t>1997</w:t>
      </w:r>
      <w:r w:rsidR="003D0628" w:rsidRPr="003632DE">
        <w:t>)</w:t>
      </w:r>
      <w:r w:rsidRPr="003632DE">
        <w:t>.</w:t>
      </w:r>
    </w:p>
    <w:p w14:paraId="39DEE396" w14:textId="22A31EDA" w:rsidR="003308B3" w:rsidRPr="0078361C" w:rsidRDefault="002651F3" w:rsidP="0013493A">
      <w:pPr>
        <w:pStyle w:val="Referencelist"/>
        <w:rPr>
          <w:lang w:val="sv-SE"/>
        </w:rPr>
      </w:pPr>
      <w:r w:rsidRPr="0016126A">
        <w:rPr>
          <w:lang w:val="sv-SE"/>
        </w:rPr>
        <w:t>SKB</w:t>
      </w:r>
      <w:r w:rsidR="00030E45" w:rsidRPr="0016126A">
        <w:rPr>
          <w:lang w:val="sv-SE"/>
        </w:rPr>
        <w:t xml:space="preserve">, </w:t>
      </w:r>
      <w:r w:rsidRPr="0016126A">
        <w:rPr>
          <w:lang w:val="sv-SE"/>
        </w:rPr>
        <w:t xml:space="preserve">FUD-PROGRAM 92 </w:t>
      </w:r>
      <w:r w:rsidR="00030E45" w:rsidRPr="003D0149">
        <w:rPr>
          <w:lang w:val="sv-SE"/>
        </w:rPr>
        <w:t>–</w:t>
      </w:r>
      <w:r w:rsidRPr="003D0149">
        <w:rPr>
          <w:lang w:val="sv-SE"/>
        </w:rPr>
        <w:t xml:space="preserve"> Kompletterande redovisning. Kärnkraftavfallets behandling och slutförvaring. Komplettering till 1992 års program sammanställd med anledni</w:t>
      </w:r>
      <w:r w:rsidRPr="003F3189">
        <w:rPr>
          <w:lang w:val="sv-SE"/>
        </w:rPr>
        <w:t>ng av regeringsbeslut 1993-12-16</w:t>
      </w:r>
      <w:r w:rsidR="00030E45" w:rsidRPr="00291AC6">
        <w:rPr>
          <w:lang w:val="sv-SE"/>
        </w:rPr>
        <w:t xml:space="preserve"> (1994)</w:t>
      </w:r>
      <w:r w:rsidRPr="0078361C">
        <w:rPr>
          <w:lang w:val="sv-SE"/>
        </w:rPr>
        <w:t>.</w:t>
      </w:r>
    </w:p>
    <w:p w14:paraId="1A93D6C2" w14:textId="6FAE282A" w:rsidR="002651F3" w:rsidRPr="003632DE" w:rsidRDefault="00510FE4" w:rsidP="0013493A">
      <w:pPr>
        <w:pStyle w:val="Referencelist"/>
      </w:pPr>
      <w:r w:rsidRPr="003632DE">
        <w:t>SKB</w:t>
      </w:r>
      <w:r w:rsidR="00030E45" w:rsidRPr="003632DE">
        <w:t>,</w:t>
      </w:r>
      <w:r w:rsidRPr="003632DE">
        <w:t xml:space="preserve"> </w:t>
      </w:r>
      <w:r w:rsidRPr="00C952B9">
        <w:t>General Siting Study 95</w:t>
      </w:r>
      <w:r w:rsidR="000C5AD3" w:rsidRPr="00AC7F85">
        <w:t xml:space="preserve">, </w:t>
      </w:r>
      <w:r w:rsidRPr="00FF4CD5">
        <w:t>Siting</w:t>
      </w:r>
      <w:r w:rsidRPr="009A6752">
        <w:t xml:space="preserve"> of a deep repository</w:t>
      </w:r>
      <w:r w:rsidR="00030E45" w:rsidRPr="009A6752">
        <w:t xml:space="preserve"> </w:t>
      </w:r>
      <w:r w:rsidRPr="00825E3E">
        <w:t>for spent nuclear fuel, SKB TR-95-34, Swedish Nuclear Fuel and Waste Management Co, Stockholm</w:t>
      </w:r>
      <w:r w:rsidR="00030E45" w:rsidRPr="00995716">
        <w:t xml:space="preserve"> (1995)</w:t>
      </w:r>
      <w:r w:rsidRPr="00CA148A">
        <w:t>.</w:t>
      </w:r>
    </w:p>
    <w:p w14:paraId="2CC0A5A8" w14:textId="2D12A384" w:rsidR="002651F3" w:rsidRPr="00814947" w:rsidRDefault="002651F3" w:rsidP="0013493A">
      <w:pPr>
        <w:pStyle w:val="Referencelist"/>
        <w:rPr>
          <w:lang w:val="fi-FI"/>
        </w:rPr>
      </w:pPr>
      <w:r w:rsidRPr="0016126A">
        <w:rPr>
          <w:lang w:val="fi-FI"/>
        </w:rPr>
        <w:t>NIKULA, A. et al. Kohti turvallista loppusijoitusta - Y</w:t>
      </w:r>
      <w:r w:rsidRPr="003D0149">
        <w:rPr>
          <w:lang w:val="fi-FI"/>
        </w:rPr>
        <w:t>dinjätehuollon neljä vuosikymmentä</w:t>
      </w:r>
      <w:r w:rsidR="00030E45" w:rsidRPr="003D0149">
        <w:rPr>
          <w:lang w:val="fi-FI"/>
        </w:rPr>
        <w:t xml:space="preserve">, </w:t>
      </w:r>
      <w:r w:rsidR="00BF0A13" w:rsidRPr="003D0149">
        <w:rPr>
          <w:lang w:val="fi-FI"/>
        </w:rPr>
        <w:t>Posiva Oy</w:t>
      </w:r>
      <w:r w:rsidRPr="003F3189">
        <w:rPr>
          <w:lang w:val="fi-FI"/>
        </w:rPr>
        <w:t xml:space="preserve"> </w:t>
      </w:r>
      <w:r w:rsidR="00030E45" w:rsidRPr="003F3189">
        <w:rPr>
          <w:lang w:val="fi-FI"/>
        </w:rPr>
        <w:t>(</w:t>
      </w:r>
      <w:r w:rsidRPr="00291AC6">
        <w:rPr>
          <w:lang w:val="fi-FI"/>
        </w:rPr>
        <w:t>2012</w:t>
      </w:r>
      <w:r w:rsidR="00030E45" w:rsidRPr="0078361C">
        <w:rPr>
          <w:lang w:val="fi-FI"/>
        </w:rPr>
        <w:t>)</w:t>
      </w:r>
      <w:r w:rsidRPr="0078361C">
        <w:rPr>
          <w:lang w:val="fi-FI"/>
        </w:rPr>
        <w:t>.</w:t>
      </w:r>
    </w:p>
    <w:p w14:paraId="0C5779B5" w14:textId="2E8CBBAD" w:rsidR="002651F3" w:rsidRPr="003632DE" w:rsidRDefault="002651F3" w:rsidP="0013493A">
      <w:pPr>
        <w:pStyle w:val="Referencelist"/>
      </w:pPr>
      <w:r w:rsidRPr="003632DE">
        <w:t>P</w:t>
      </w:r>
      <w:r w:rsidR="000C5AD3" w:rsidRPr="003632DE">
        <w:t>OSIVA,</w:t>
      </w:r>
      <w:r w:rsidRPr="003632DE">
        <w:t xml:space="preserve"> </w:t>
      </w:r>
      <w:r w:rsidRPr="00C952B9">
        <w:t xml:space="preserve">The final disposal for spent nuclear fuel. </w:t>
      </w:r>
      <w:r w:rsidRPr="003632DE">
        <w:t xml:space="preserve">Environmental impact assessment report. </w:t>
      </w:r>
      <w:r w:rsidR="000C5AD3" w:rsidRPr="003632DE">
        <w:t>Posiva Oy (1999)</w:t>
      </w:r>
      <w:r w:rsidRPr="003632DE">
        <w:t>.</w:t>
      </w:r>
    </w:p>
    <w:p w14:paraId="75EAF698" w14:textId="3D77969D" w:rsidR="00D87D61" w:rsidRPr="003D0149" w:rsidRDefault="00D87D61" w:rsidP="006D02B8">
      <w:pPr>
        <w:pStyle w:val="Referencelist"/>
        <w:rPr>
          <w:lang w:val="sv-SE"/>
        </w:rPr>
      </w:pPr>
      <w:r w:rsidRPr="0016126A">
        <w:rPr>
          <w:lang w:val="sv-SE"/>
        </w:rPr>
        <w:t xml:space="preserve">Swedish Government Official Reports, </w:t>
      </w:r>
      <w:r w:rsidR="006D02B8" w:rsidRPr="0016126A">
        <w:rPr>
          <w:lang w:val="sv-SE"/>
        </w:rPr>
        <w:t>Slutförvaring av kärnavfall - Kommunerna och platsvalsprocessen, SOU 1999:45</w:t>
      </w:r>
      <w:r w:rsidR="00BF0A13" w:rsidRPr="003D0149">
        <w:rPr>
          <w:lang w:val="sv-SE"/>
        </w:rPr>
        <w:t xml:space="preserve"> (1999).</w:t>
      </w:r>
    </w:p>
    <w:p w14:paraId="5C1EE101" w14:textId="577D6863" w:rsidR="0089084F" w:rsidRPr="003632DE" w:rsidRDefault="00815AEE" w:rsidP="003D0628">
      <w:pPr>
        <w:pStyle w:val="Referencelist"/>
      </w:pPr>
      <w:r w:rsidRPr="003D0149">
        <w:rPr>
          <w:lang w:val="sv-SE"/>
        </w:rPr>
        <w:t>FROSTENSON,</w:t>
      </w:r>
      <w:r w:rsidR="003D0628" w:rsidRPr="003F3189">
        <w:rPr>
          <w:lang w:val="sv-SE"/>
        </w:rPr>
        <w:t xml:space="preserve"> M., Slutförvarets industriella organisering: Fallgrop eller följdriktighet? </w:t>
      </w:r>
      <w:r w:rsidR="003D0628" w:rsidRPr="003632DE">
        <w:t xml:space="preserve">SKB R-10-55. Swedish Nuclear Fuel and Waste Management Co, Stockholm </w:t>
      </w:r>
      <w:r w:rsidR="003D0628" w:rsidRPr="00C952B9">
        <w:t>(</w:t>
      </w:r>
      <w:r w:rsidR="00016B74" w:rsidRPr="00AC7F85">
        <w:t>2010</w:t>
      </w:r>
      <w:r w:rsidR="003D0628" w:rsidRPr="00FF4CD5">
        <w:t>).</w:t>
      </w:r>
    </w:p>
    <w:p w14:paraId="53A26B7D" w14:textId="670A56B5" w:rsidR="00016B74" w:rsidRPr="003632DE" w:rsidRDefault="002D2FF6" w:rsidP="0013493A">
      <w:pPr>
        <w:pStyle w:val="Referencelist"/>
      </w:pPr>
      <w:r w:rsidRPr="003632DE">
        <w:t>KARI</w:t>
      </w:r>
      <w:r w:rsidR="009F2FF4" w:rsidRPr="003632DE">
        <w:t>, M., KOJO, M., LITMANEN, T.,</w:t>
      </w:r>
      <w:r w:rsidRPr="003632DE">
        <w:t xml:space="preserve"> Community Divided</w:t>
      </w:r>
      <w:r w:rsidR="009F2FF4" w:rsidRPr="003632DE">
        <w:t xml:space="preserve">: </w:t>
      </w:r>
      <w:r w:rsidR="009F2FF4" w:rsidRPr="003632DE">
        <w:rPr>
          <w:rFonts w:cs="Arial"/>
          <w:color w:val="292B2C"/>
        </w:rPr>
        <w:t>Adaptation and Aversion Towards the Spent Nuclear Fuel Repository in Eurajoki and its Neighbouring Municipalities</w:t>
      </w:r>
      <w:r w:rsidR="00FF59B1" w:rsidRPr="003632DE">
        <w:rPr>
          <w:rFonts w:cs="Arial"/>
          <w:color w:val="292B2C"/>
        </w:rPr>
        <w:t>, University of Jyväskylä, Jyväskylä</w:t>
      </w:r>
      <w:r w:rsidR="009F2FF4" w:rsidRPr="003632DE">
        <w:t xml:space="preserve"> (</w:t>
      </w:r>
      <w:r w:rsidRPr="003632DE">
        <w:t>2010</w:t>
      </w:r>
      <w:r w:rsidR="009F2FF4" w:rsidRPr="003632DE">
        <w:t>).</w:t>
      </w:r>
      <w:r w:rsidR="001277F4">
        <w:t xml:space="preserve"> </w:t>
      </w:r>
      <w:hyperlink r:id="rId8" w:history="1">
        <w:r w:rsidR="001277F4" w:rsidRPr="001277F4">
          <w:rPr>
            <w:rStyle w:val="Hyperlink"/>
            <w:bCs/>
            <w:lang w:val="en"/>
          </w:rPr>
          <w:t>http://urn.fi/URN:ISBN:978-951-39-4149-9</w:t>
        </w:r>
      </w:hyperlink>
    </w:p>
    <w:p w14:paraId="3EFFBF0C" w14:textId="77777777" w:rsidR="00BF0A13" w:rsidRPr="003632DE" w:rsidRDefault="000058AC" w:rsidP="005711A0">
      <w:pPr>
        <w:pStyle w:val="Referencelist"/>
      </w:pPr>
      <w:r w:rsidRPr="003632DE">
        <w:t>SKB</w:t>
      </w:r>
      <w:r w:rsidR="008470E1" w:rsidRPr="003632DE">
        <w:t>,</w:t>
      </w:r>
      <w:r w:rsidRPr="003632DE">
        <w:t xml:space="preserve"> </w:t>
      </w:r>
      <w:r w:rsidR="0071112A" w:rsidRPr="003632DE">
        <w:t>Förstudie Östhammar. Slutrapport, Swedish Nuclear Fuel and Waste Management Co, Stockholm (2000)</w:t>
      </w:r>
      <w:r w:rsidRPr="003632DE">
        <w:t>.</w:t>
      </w:r>
    </w:p>
    <w:p w14:paraId="1E26F158" w14:textId="4A3E3F98" w:rsidR="000058AC" w:rsidRPr="00814947" w:rsidRDefault="000058AC" w:rsidP="005711A0">
      <w:pPr>
        <w:pStyle w:val="Referencelist"/>
        <w:rPr>
          <w:lang w:val="sv-SE"/>
        </w:rPr>
      </w:pPr>
      <w:r w:rsidRPr="0016126A">
        <w:rPr>
          <w:lang w:val="sv-SE"/>
        </w:rPr>
        <w:t>NYBERG</w:t>
      </w:r>
      <w:r w:rsidR="005711A0" w:rsidRPr="0016126A">
        <w:rPr>
          <w:lang w:val="sv-SE"/>
        </w:rPr>
        <w:t>, H., Från början till slutförvar? En dokumentation av slutförvarsprocessen i Östhammars kommun, Municipality of Östhammar, Östhammar</w:t>
      </w:r>
      <w:r w:rsidRPr="003F3189">
        <w:rPr>
          <w:lang w:val="sv-SE"/>
        </w:rPr>
        <w:t xml:space="preserve"> </w:t>
      </w:r>
      <w:r w:rsidR="005711A0" w:rsidRPr="00291AC6">
        <w:rPr>
          <w:lang w:val="sv-SE"/>
        </w:rPr>
        <w:t>(</w:t>
      </w:r>
      <w:r w:rsidRPr="0078361C">
        <w:rPr>
          <w:lang w:val="sv-SE"/>
        </w:rPr>
        <w:t>2011</w:t>
      </w:r>
      <w:r w:rsidR="005711A0" w:rsidRPr="0078361C">
        <w:rPr>
          <w:lang w:val="sv-SE"/>
        </w:rPr>
        <w:t>)</w:t>
      </w:r>
      <w:r w:rsidRPr="00814947">
        <w:rPr>
          <w:lang w:val="sv-SE"/>
        </w:rPr>
        <w:t>.</w:t>
      </w:r>
    </w:p>
    <w:p w14:paraId="5A442F6D" w14:textId="189B53C0" w:rsidR="000058AC" w:rsidRPr="003632DE" w:rsidRDefault="000058AC" w:rsidP="008470E1">
      <w:pPr>
        <w:pStyle w:val="Referencelist"/>
      </w:pPr>
      <w:r w:rsidRPr="003632DE">
        <w:t>SKB</w:t>
      </w:r>
      <w:r w:rsidR="008470E1" w:rsidRPr="003632DE">
        <w:t>,</w:t>
      </w:r>
      <w:r w:rsidRPr="003632DE">
        <w:t xml:space="preserve"> </w:t>
      </w:r>
      <w:r w:rsidR="008470E1" w:rsidRPr="003632DE">
        <w:t>Environmental Impact Statement. March 2011, Swedish Nuclear Fuel and Waste Management Co, Stockholm (2016)</w:t>
      </w:r>
      <w:r w:rsidRPr="003632DE">
        <w:t>.</w:t>
      </w:r>
    </w:p>
    <w:p w14:paraId="64DBE5BC" w14:textId="70A2849F" w:rsidR="000058AC" w:rsidRPr="003632DE" w:rsidRDefault="000058AC" w:rsidP="0013493A">
      <w:pPr>
        <w:pStyle w:val="Referencelist"/>
      </w:pPr>
      <w:r w:rsidRPr="0016126A">
        <w:rPr>
          <w:lang w:val="fi-FI"/>
        </w:rPr>
        <w:t>VAHEKOSKI,</w:t>
      </w:r>
      <w:r w:rsidR="00BF0A13" w:rsidRPr="0016126A">
        <w:rPr>
          <w:lang w:val="fi-FI"/>
        </w:rPr>
        <w:t xml:space="preserve"> R.</w:t>
      </w:r>
      <w:r w:rsidRPr="0016126A">
        <w:rPr>
          <w:lang w:val="fi-FI"/>
        </w:rPr>
        <w:t xml:space="preserve"> </w:t>
      </w:r>
      <w:r w:rsidR="00BF0A13" w:rsidRPr="003D0149">
        <w:rPr>
          <w:lang w:val="fi-FI"/>
        </w:rPr>
        <w:t>Eurajoen ydinvoimalahanke jälkikäteen muisteltuna. In: Kotiseutumme Eurajoki IX. Eurajoen Kotiseutuyhdistyksen ja Eurajoen kunnan kulttuurilautakunnan yhteinen julkaisu. </w:t>
      </w:r>
      <w:r w:rsidR="00BF0A13" w:rsidRPr="00C952B9">
        <w:t>69–</w:t>
      </w:r>
      <w:r w:rsidR="00BF0A13" w:rsidRPr="00AC7F85">
        <w:t xml:space="preserve">88 </w:t>
      </w:r>
      <w:r w:rsidR="00BF0A13" w:rsidRPr="003632DE">
        <w:t>(n.d.).</w:t>
      </w:r>
    </w:p>
    <w:p w14:paraId="7732A1BE" w14:textId="0C752770" w:rsidR="000058AC" w:rsidRDefault="000058AC" w:rsidP="0013493A">
      <w:pPr>
        <w:pStyle w:val="Referencelist"/>
      </w:pPr>
      <w:r w:rsidRPr="003632DE">
        <w:t xml:space="preserve">ÄIKÄS, T. </w:t>
      </w:r>
      <w:r w:rsidR="00361D62" w:rsidRPr="003632DE">
        <w:t>Decision Making on Siting of a Geological Disposal Facility in Finland. A Paper for RESET Project’s Meeting on Consent-Based Siting, March 9 – 10, 2016.</w:t>
      </w:r>
    </w:p>
    <w:p w14:paraId="31079E2F" w14:textId="0BC4A0D8" w:rsidR="00652AC3" w:rsidRPr="003632DE" w:rsidRDefault="00652AC3" w:rsidP="0013493A">
      <w:pPr>
        <w:pStyle w:val="Referencelist"/>
      </w:pPr>
      <w:r>
        <w:t>VILHUNEN, T., KOJO, M., LITMANEN, T. TAEBI, B. Perceptions of justice influencing community acceptance of spent nuclear fuel disposal. A case study in two Finnish nuclear communities. J Risk Research,</w:t>
      </w:r>
      <w:r>
        <w:t xml:space="preserve"> </w:t>
      </w:r>
      <w:r>
        <w:t xml:space="preserve">(2019). DOI: </w:t>
      </w:r>
      <w:hyperlink r:id="rId9" w:history="1">
        <w:r w:rsidRPr="00652AC3">
          <w:rPr>
            <w:rStyle w:val="doilink"/>
            <w:color w:val="10147E"/>
            <w:lang w:val="en"/>
          </w:rPr>
          <w:t>10.1080/13669877.2019.1569094</w:t>
        </w:r>
      </w:hyperlink>
      <w:r w:rsidRPr="00652AC3">
        <w:t xml:space="preserve"> </w:t>
      </w:r>
    </w:p>
    <w:p w14:paraId="2359B99B" w14:textId="2AB36EA5" w:rsidR="0029196C" w:rsidRPr="001277F4" w:rsidRDefault="00754970" w:rsidP="003E100F">
      <w:pPr>
        <w:pStyle w:val="Referencelist"/>
      </w:pPr>
      <w:r w:rsidRPr="001277F4">
        <w:t>KOJO, M., OKSA, A.</w:t>
      </w:r>
      <w:r w:rsidR="0001229B" w:rsidRPr="001277F4">
        <w:t xml:space="preserve">, </w:t>
      </w:r>
      <w:r w:rsidR="0001229B" w:rsidRPr="001277F4">
        <w:rPr>
          <w:bCs/>
          <w:lang w:eastAsia="en-GB"/>
        </w:rPr>
        <w:t>The Second Repository for Disposal of Spent Nuclear Fuel in Finland: An analysis of the Interests, Resources and Tactics of the Key Actors, InSOTEC Working Paper, University of Tampere</w:t>
      </w:r>
      <w:r w:rsidRPr="001277F4">
        <w:t xml:space="preserve"> </w:t>
      </w:r>
      <w:r w:rsidR="00D82AA4" w:rsidRPr="001277F4">
        <w:t>(</w:t>
      </w:r>
      <w:r w:rsidRPr="001277F4">
        <w:t>2014</w:t>
      </w:r>
      <w:r w:rsidR="00D82AA4" w:rsidRPr="001277F4">
        <w:t>)</w:t>
      </w:r>
      <w:r w:rsidRPr="001277F4">
        <w:t>.</w:t>
      </w:r>
      <w:r w:rsidR="001277F4" w:rsidRPr="00D94BF3">
        <w:t xml:space="preserve"> </w:t>
      </w:r>
      <w:hyperlink r:id="rId10" w:history="1">
        <w:r w:rsidR="001277F4" w:rsidRPr="001277F4">
          <w:rPr>
            <w:rStyle w:val="Hyperlink"/>
            <w:lang w:val="en"/>
          </w:rPr>
          <w:t>http://urn.fi/URN:ISBN:978-951-44-9514-4</w:t>
        </w:r>
      </w:hyperlink>
    </w:p>
    <w:sectPr w:rsidR="0029196C" w:rsidRPr="001277F4"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AC53" w14:textId="77777777" w:rsidR="003A378C" w:rsidRDefault="003A378C">
      <w:r>
        <w:separator/>
      </w:r>
    </w:p>
  </w:endnote>
  <w:endnote w:type="continuationSeparator" w:id="0">
    <w:p w14:paraId="39A8F9AC" w14:textId="77777777" w:rsidR="003A378C" w:rsidRDefault="003A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FreightText Pro Semibold">
    <w:altName w:val="FreightText Pro Semi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EC94" w14:textId="77777777" w:rsidR="006E5859" w:rsidRDefault="006E5859">
    <w:pPr>
      <w:pStyle w:val="zyxClassification1"/>
    </w:pPr>
    <w:r>
      <w:fldChar w:fldCharType="begin"/>
    </w:r>
    <w:r>
      <w:instrText xml:space="preserve"> DOCPROPERTY "IaeaClassification"  \* MERGEFORMAT </w:instrText>
    </w:r>
    <w:r>
      <w:fldChar w:fldCharType="end"/>
    </w:r>
  </w:p>
  <w:p w14:paraId="1B7FB5F8" w14:textId="77777777" w:rsidR="006E5859" w:rsidRDefault="006E585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4879" w14:textId="77777777" w:rsidR="006E5859" w:rsidRDefault="006E5859">
    <w:pPr>
      <w:pStyle w:val="zyxClassification1"/>
    </w:pPr>
    <w:r>
      <w:fldChar w:fldCharType="begin"/>
    </w:r>
    <w:r>
      <w:instrText xml:space="preserve"> DOCPROPERTY "IaeaClassification"  \* MERGEFORMAT </w:instrText>
    </w:r>
    <w:r>
      <w:fldChar w:fldCharType="end"/>
    </w:r>
  </w:p>
  <w:p w14:paraId="54FD20B9" w14:textId="6171B659" w:rsidR="006E5859" w:rsidRPr="00037321" w:rsidRDefault="006E585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E4C69">
      <w:rPr>
        <w:rFonts w:ascii="Times New Roman" w:hAnsi="Times New Roman" w:cs="Times New Roman"/>
        <w:noProof/>
        <w:sz w:val="20"/>
      </w:rPr>
      <w:t>1</w: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E5859" w14:paraId="520B3E2B" w14:textId="77777777">
      <w:trPr>
        <w:cantSplit/>
      </w:trPr>
      <w:tc>
        <w:tcPr>
          <w:tcW w:w="4644" w:type="dxa"/>
        </w:tcPr>
        <w:p w14:paraId="2CE5FC1F" w14:textId="77777777" w:rsidR="006E5859" w:rsidRDefault="006E585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0E05F1A1" w14:textId="77777777" w:rsidR="006E5859" w:rsidRDefault="006E585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14:paraId="15136217" w14:textId="3B38ADEC" w:rsidR="006E5859" w:rsidRDefault="006E5859">
          <w:pPr>
            <w:pStyle w:val="zyxConfidBlack"/>
            <w:framePr w:wrap="auto" w:vAnchor="margin" w:hAnchor="text" w:xAlign="left" w:yAlign="inline"/>
            <w:suppressOverlap w:val="0"/>
          </w:pPr>
          <w:bookmarkStart w:id="2" w:name="DOC_bkmClassification2"/>
        </w:p>
        <w:bookmarkEnd w:id="2"/>
        <w:p w14:paraId="23A6D377" w14:textId="6F844D21" w:rsidR="006E5859" w:rsidRDefault="006E5859">
          <w:pPr>
            <w:spacing w:after="20" w:line="220" w:lineRule="exact"/>
            <w:jc w:val="right"/>
            <w:rPr>
              <w:rFonts w:ascii="Arial" w:hAnsi="Arial" w:cs="Arial"/>
              <w:color w:val="FF0000"/>
            </w:rPr>
          </w:pPr>
        </w:p>
      </w:tc>
    </w:tr>
  </w:tbl>
  <w:bookmarkStart w:id="3" w:name="DOC_bkmFileName"/>
  <w:p w14:paraId="145CCB78" w14:textId="2C5D86DD" w:rsidR="006E5859" w:rsidRDefault="006E5859">
    <w:r>
      <w:rPr>
        <w:sz w:val="16"/>
      </w:rPr>
      <w:fldChar w:fldCharType="begin"/>
    </w:r>
    <w:r>
      <w:rPr>
        <w:sz w:val="16"/>
      </w:rPr>
      <w:instrText xml:space="preserve"> FILENAME \* MERGEFORMAT </w:instrText>
    </w:r>
    <w:r>
      <w:rPr>
        <w:sz w:val="16"/>
      </w:rPr>
      <w:fldChar w:fldCharType="separate"/>
    </w:r>
    <w:r>
      <w:rPr>
        <w:noProof/>
        <w:sz w:val="16"/>
      </w:rPr>
      <w:t>Draft 1.docx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F0BF" w14:textId="77777777" w:rsidR="003A378C" w:rsidRDefault="003A378C">
      <w:r>
        <w:t>___________________________________________________________________________</w:t>
      </w:r>
    </w:p>
  </w:footnote>
  <w:footnote w:type="continuationSeparator" w:id="0">
    <w:p w14:paraId="13D85AC2" w14:textId="77777777" w:rsidR="003A378C" w:rsidRDefault="003A378C">
      <w:r>
        <w:t>___________________________________________________________________________</w:t>
      </w:r>
    </w:p>
  </w:footnote>
  <w:footnote w:type="continuationNotice" w:id="1">
    <w:p w14:paraId="20A7CBEE" w14:textId="77777777" w:rsidR="003A378C" w:rsidRDefault="003A3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B833" w14:textId="04F58146" w:rsidR="006E5859" w:rsidRDefault="006E5859" w:rsidP="00CF7AF3">
    <w:pPr>
      <w:pStyle w:val="Runninghead"/>
    </w:pPr>
    <w:r>
      <w:tab/>
      <w:t>IAEA-CN-106</w:t>
    </w:r>
  </w:p>
  <w:p w14:paraId="1AD85BEA" w14:textId="5AB34AE7" w:rsidR="006E5859" w:rsidRPr="009E1558" w:rsidRDefault="006E5859" w:rsidP="00CF7AF3">
    <w:pPr>
      <w:jc w:val="center"/>
      <w:rPr>
        <w:color w:val="BFBFBF" w:themeColor="background1" w:themeShade="BF"/>
        <w:sz w:val="16"/>
        <w:szCs w:val="16"/>
      </w:rPr>
    </w:pPr>
  </w:p>
  <w:p w14:paraId="794ADC3F" w14:textId="77777777" w:rsidR="006E5859" w:rsidRDefault="006E5859"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7F05E96" w14:textId="77777777" w:rsidR="006E5859" w:rsidRDefault="006E585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C49E" w14:textId="03D178E8" w:rsidR="006E5859" w:rsidRDefault="006E5859" w:rsidP="00B82FA5">
    <w:pPr>
      <w:pStyle w:val="Runninghead"/>
    </w:pPr>
    <w:r>
      <w:t>KARI et al.</w:t>
    </w:r>
  </w:p>
  <w:p w14:paraId="04CAB326" w14:textId="6370D98F" w:rsidR="006E5859" w:rsidRPr="009E1558" w:rsidRDefault="006E5859"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E5859" w14:paraId="0690EABB" w14:textId="77777777">
      <w:trPr>
        <w:cantSplit/>
        <w:trHeight w:val="716"/>
      </w:trPr>
      <w:tc>
        <w:tcPr>
          <w:tcW w:w="979" w:type="dxa"/>
          <w:vMerge w:val="restart"/>
        </w:tcPr>
        <w:p w14:paraId="7BF04E86" w14:textId="77777777" w:rsidR="006E5859" w:rsidRDefault="006E5859">
          <w:pPr>
            <w:spacing w:before="180"/>
            <w:ind w:left="17"/>
          </w:pPr>
        </w:p>
      </w:tc>
      <w:tc>
        <w:tcPr>
          <w:tcW w:w="3638" w:type="dxa"/>
          <w:vAlign w:val="bottom"/>
        </w:tcPr>
        <w:p w14:paraId="4D017645" w14:textId="77777777" w:rsidR="006E5859" w:rsidRDefault="006E5859">
          <w:pPr>
            <w:spacing w:after="20"/>
          </w:pPr>
        </w:p>
      </w:tc>
      <w:tc>
        <w:tcPr>
          <w:tcW w:w="5702" w:type="dxa"/>
          <w:vMerge w:val="restart"/>
          <w:tcMar>
            <w:right w:w="193" w:type="dxa"/>
          </w:tcMar>
        </w:tcPr>
        <w:p w14:paraId="4C231E31" w14:textId="780F3400" w:rsidR="006E5859" w:rsidRDefault="006E5859">
          <w:pPr>
            <w:pStyle w:val="zyxConfidBlack"/>
            <w:framePr w:wrap="auto" w:vAnchor="margin" w:hAnchor="text" w:xAlign="left" w:yAlign="inline"/>
            <w:suppressOverlap w:val="0"/>
          </w:pPr>
          <w:bookmarkStart w:id="1" w:name="DOC_bkmClassification1"/>
        </w:p>
        <w:bookmarkEnd w:id="1"/>
        <w:p w14:paraId="7A4A1191" w14:textId="1BB99FEB" w:rsidR="006E5859" w:rsidRDefault="006E5859">
          <w:pPr>
            <w:pStyle w:val="zyxConfid2Red"/>
          </w:pPr>
        </w:p>
      </w:tc>
    </w:tr>
    <w:tr w:rsidR="006E5859" w14:paraId="4DB97814" w14:textId="77777777">
      <w:trPr>
        <w:cantSplit/>
        <w:trHeight w:val="167"/>
      </w:trPr>
      <w:tc>
        <w:tcPr>
          <w:tcW w:w="979" w:type="dxa"/>
          <w:vMerge/>
        </w:tcPr>
        <w:p w14:paraId="0089AF93" w14:textId="77777777" w:rsidR="006E5859" w:rsidRDefault="006E5859">
          <w:pPr>
            <w:spacing w:before="57"/>
          </w:pPr>
        </w:p>
      </w:tc>
      <w:tc>
        <w:tcPr>
          <w:tcW w:w="3638" w:type="dxa"/>
          <w:vAlign w:val="bottom"/>
        </w:tcPr>
        <w:p w14:paraId="3D215140" w14:textId="77777777" w:rsidR="006E5859" w:rsidRDefault="006E5859">
          <w:pPr>
            <w:pStyle w:val="Heading9"/>
            <w:spacing w:before="0" w:after="10"/>
          </w:pPr>
        </w:p>
      </w:tc>
      <w:tc>
        <w:tcPr>
          <w:tcW w:w="5702" w:type="dxa"/>
          <w:vMerge/>
          <w:vAlign w:val="bottom"/>
        </w:tcPr>
        <w:p w14:paraId="4236DC98" w14:textId="77777777" w:rsidR="006E5859" w:rsidRDefault="006E5859">
          <w:pPr>
            <w:pStyle w:val="Heading9"/>
            <w:spacing w:before="0" w:after="10"/>
          </w:pPr>
        </w:p>
      </w:tc>
    </w:tr>
  </w:tbl>
  <w:p w14:paraId="5F406E55" w14:textId="77777777" w:rsidR="006E5859" w:rsidRDefault="006E58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27D7734"/>
    <w:multiLevelType w:val="multilevel"/>
    <w:tmpl w:val="A074F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39A6E4F8"/>
    <w:name w:val="HeadingTemplate222"/>
    <w:lvl w:ilvl="0" w:tplc="BBD09BDE">
      <w:start w:val="1"/>
      <w:numFmt w:val="decimal"/>
      <w:pStyle w:val="Referencelist"/>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6FD51093"/>
    <w:multiLevelType w:val="multilevel"/>
    <w:tmpl w:val="2E2A4FA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7"/>
  </w:num>
  <w:num w:numId="2">
    <w:abstractNumId w:val="4"/>
  </w:num>
  <w:num w:numId="3">
    <w:abstractNumId w:val="5"/>
  </w:num>
  <w:num w:numId="4">
    <w:abstractNumId w:val="0"/>
  </w:num>
  <w:num w:numId="5">
    <w:abstractNumId w:val="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8"/>
  </w:num>
  <w:num w:numId="7">
    <w:abstractNumId w:val="2"/>
  </w:num>
  <w:num w:numId="8">
    <w:abstractNumId w:val="3"/>
  </w:num>
  <w:num w:numId="9">
    <w:abstractNumId w:val="6"/>
  </w:num>
  <w:num w:numId="1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914"/>
    <w:rsid w:val="00001416"/>
    <w:rsid w:val="00002904"/>
    <w:rsid w:val="00004B23"/>
    <w:rsid w:val="000058AC"/>
    <w:rsid w:val="000062B3"/>
    <w:rsid w:val="000066E0"/>
    <w:rsid w:val="00006C8B"/>
    <w:rsid w:val="000111B2"/>
    <w:rsid w:val="0001229B"/>
    <w:rsid w:val="00016B74"/>
    <w:rsid w:val="000229AB"/>
    <w:rsid w:val="00022CDC"/>
    <w:rsid w:val="00023B65"/>
    <w:rsid w:val="00023DFE"/>
    <w:rsid w:val="00024661"/>
    <w:rsid w:val="0002569A"/>
    <w:rsid w:val="0002615C"/>
    <w:rsid w:val="00026D4F"/>
    <w:rsid w:val="00027DA5"/>
    <w:rsid w:val="00030A83"/>
    <w:rsid w:val="00030E45"/>
    <w:rsid w:val="000338FE"/>
    <w:rsid w:val="00034953"/>
    <w:rsid w:val="00035A8D"/>
    <w:rsid w:val="00037321"/>
    <w:rsid w:val="000429D4"/>
    <w:rsid w:val="0004470C"/>
    <w:rsid w:val="00045421"/>
    <w:rsid w:val="000457F3"/>
    <w:rsid w:val="00046CB7"/>
    <w:rsid w:val="00047AD9"/>
    <w:rsid w:val="00050240"/>
    <w:rsid w:val="00051F1C"/>
    <w:rsid w:val="000561DB"/>
    <w:rsid w:val="00060792"/>
    <w:rsid w:val="00060F9C"/>
    <w:rsid w:val="000624BC"/>
    <w:rsid w:val="00063276"/>
    <w:rsid w:val="00065EAD"/>
    <w:rsid w:val="00071D42"/>
    <w:rsid w:val="00073752"/>
    <w:rsid w:val="00075325"/>
    <w:rsid w:val="00075D79"/>
    <w:rsid w:val="00080D61"/>
    <w:rsid w:val="00087466"/>
    <w:rsid w:val="00095643"/>
    <w:rsid w:val="00096C57"/>
    <w:rsid w:val="00097B13"/>
    <w:rsid w:val="00097C91"/>
    <w:rsid w:val="000A0299"/>
    <w:rsid w:val="000A08DE"/>
    <w:rsid w:val="000A1D5F"/>
    <w:rsid w:val="000A2DF6"/>
    <w:rsid w:val="000A54C8"/>
    <w:rsid w:val="000B50FE"/>
    <w:rsid w:val="000B582D"/>
    <w:rsid w:val="000C007B"/>
    <w:rsid w:val="000C2F16"/>
    <w:rsid w:val="000C5AD3"/>
    <w:rsid w:val="000C68EC"/>
    <w:rsid w:val="000C6CFA"/>
    <w:rsid w:val="000C6E95"/>
    <w:rsid w:val="000D37D3"/>
    <w:rsid w:val="000E3E9B"/>
    <w:rsid w:val="000F002E"/>
    <w:rsid w:val="000F0615"/>
    <w:rsid w:val="000F0F56"/>
    <w:rsid w:val="000F1BC8"/>
    <w:rsid w:val="000F5051"/>
    <w:rsid w:val="000F700C"/>
    <w:rsid w:val="000F7E94"/>
    <w:rsid w:val="00104C85"/>
    <w:rsid w:val="00105168"/>
    <w:rsid w:val="00107470"/>
    <w:rsid w:val="001119D6"/>
    <w:rsid w:val="00112533"/>
    <w:rsid w:val="00116ABE"/>
    <w:rsid w:val="0012291E"/>
    <w:rsid w:val="001277F4"/>
    <w:rsid w:val="00130573"/>
    <w:rsid w:val="001308F2"/>
    <w:rsid w:val="00130912"/>
    <w:rsid w:val="001313E8"/>
    <w:rsid w:val="00132D76"/>
    <w:rsid w:val="0013435D"/>
    <w:rsid w:val="0013493A"/>
    <w:rsid w:val="001353CB"/>
    <w:rsid w:val="00136751"/>
    <w:rsid w:val="00136E2A"/>
    <w:rsid w:val="00142DF7"/>
    <w:rsid w:val="00145253"/>
    <w:rsid w:val="00156351"/>
    <w:rsid w:val="00156629"/>
    <w:rsid w:val="00160AF4"/>
    <w:rsid w:val="0016126A"/>
    <w:rsid w:val="00162E1B"/>
    <w:rsid w:val="0016393B"/>
    <w:rsid w:val="00164E5A"/>
    <w:rsid w:val="001662F7"/>
    <w:rsid w:val="0016786D"/>
    <w:rsid w:val="001714BC"/>
    <w:rsid w:val="0017387A"/>
    <w:rsid w:val="00177799"/>
    <w:rsid w:val="001859FD"/>
    <w:rsid w:val="001877F2"/>
    <w:rsid w:val="00187C19"/>
    <w:rsid w:val="00192382"/>
    <w:rsid w:val="00192AA4"/>
    <w:rsid w:val="00194ADB"/>
    <w:rsid w:val="00195003"/>
    <w:rsid w:val="00196345"/>
    <w:rsid w:val="00197616"/>
    <w:rsid w:val="00197EEB"/>
    <w:rsid w:val="001A46A3"/>
    <w:rsid w:val="001A794E"/>
    <w:rsid w:val="001B1DDB"/>
    <w:rsid w:val="001B31A9"/>
    <w:rsid w:val="001B4178"/>
    <w:rsid w:val="001B4E78"/>
    <w:rsid w:val="001B51AD"/>
    <w:rsid w:val="001B5928"/>
    <w:rsid w:val="001B7407"/>
    <w:rsid w:val="001C0AC1"/>
    <w:rsid w:val="001C1D12"/>
    <w:rsid w:val="001C34AE"/>
    <w:rsid w:val="001C58F5"/>
    <w:rsid w:val="001D1BA7"/>
    <w:rsid w:val="001D395E"/>
    <w:rsid w:val="001D3CEE"/>
    <w:rsid w:val="001D575D"/>
    <w:rsid w:val="001D5CEE"/>
    <w:rsid w:val="001D7B47"/>
    <w:rsid w:val="001E10DE"/>
    <w:rsid w:val="001E4BCD"/>
    <w:rsid w:val="001E7615"/>
    <w:rsid w:val="001F3783"/>
    <w:rsid w:val="001F3EDB"/>
    <w:rsid w:val="001F4AE2"/>
    <w:rsid w:val="001F4D19"/>
    <w:rsid w:val="001F5283"/>
    <w:rsid w:val="001F77CF"/>
    <w:rsid w:val="001F7BAB"/>
    <w:rsid w:val="00201AA3"/>
    <w:rsid w:val="00203C90"/>
    <w:rsid w:val="00205E00"/>
    <w:rsid w:val="002071D9"/>
    <w:rsid w:val="002078A3"/>
    <w:rsid w:val="00210254"/>
    <w:rsid w:val="002275F0"/>
    <w:rsid w:val="00227DC5"/>
    <w:rsid w:val="00230FA0"/>
    <w:rsid w:val="00236ABA"/>
    <w:rsid w:val="00237493"/>
    <w:rsid w:val="0024018E"/>
    <w:rsid w:val="00240A9B"/>
    <w:rsid w:val="00247983"/>
    <w:rsid w:val="00252293"/>
    <w:rsid w:val="00253E3E"/>
    <w:rsid w:val="00256822"/>
    <w:rsid w:val="00260FE2"/>
    <w:rsid w:val="002645AE"/>
    <w:rsid w:val="002651F3"/>
    <w:rsid w:val="0026525A"/>
    <w:rsid w:val="0026572D"/>
    <w:rsid w:val="00266A96"/>
    <w:rsid w:val="00266E46"/>
    <w:rsid w:val="00266F15"/>
    <w:rsid w:val="002737FA"/>
    <w:rsid w:val="00274790"/>
    <w:rsid w:val="00277F42"/>
    <w:rsid w:val="00285755"/>
    <w:rsid w:val="002859BA"/>
    <w:rsid w:val="00285C30"/>
    <w:rsid w:val="00286E8C"/>
    <w:rsid w:val="0029196C"/>
    <w:rsid w:val="00291AC6"/>
    <w:rsid w:val="00293240"/>
    <w:rsid w:val="00293F3E"/>
    <w:rsid w:val="00296C1A"/>
    <w:rsid w:val="00297F09"/>
    <w:rsid w:val="002A1F9C"/>
    <w:rsid w:val="002A2BDE"/>
    <w:rsid w:val="002B29C2"/>
    <w:rsid w:val="002B59EF"/>
    <w:rsid w:val="002C1F04"/>
    <w:rsid w:val="002C2D3D"/>
    <w:rsid w:val="002C2E5C"/>
    <w:rsid w:val="002C4208"/>
    <w:rsid w:val="002C6BFA"/>
    <w:rsid w:val="002D2FF6"/>
    <w:rsid w:val="002D3463"/>
    <w:rsid w:val="002D4F04"/>
    <w:rsid w:val="002D6818"/>
    <w:rsid w:val="002E1DE0"/>
    <w:rsid w:val="002E3ADA"/>
    <w:rsid w:val="002E4B89"/>
    <w:rsid w:val="002F1338"/>
    <w:rsid w:val="002F1E01"/>
    <w:rsid w:val="002F3009"/>
    <w:rsid w:val="002F3247"/>
    <w:rsid w:val="002F4189"/>
    <w:rsid w:val="002F716B"/>
    <w:rsid w:val="002F79CB"/>
    <w:rsid w:val="00300D03"/>
    <w:rsid w:val="00302551"/>
    <w:rsid w:val="003036E4"/>
    <w:rsid w:val="0030427F"/>
    <w:rsid w:val="00306A42"/>
    <w:rsid w:val="0030798C"/>
    <w:rsid w:val="003105E3"/>
    <w:rsid w:val="003110C0"/>
    <w:rsid w:val="0031297D"/>
    <w:rsid w:val="0031340B"/>
    <w:rsid w:val="00315564"/>
    <w:rsid w:val="003174DA"/>
    <w:rsid w:val="003175D3"/>
    <w:rsid w:val="00320F84"/>
    <w:rsid w:val="0032157D"/>
    <w:rsid w:val="00322ABD"/>
    <w:rsid w:val="00323853"/>
    <w:rsid w:val="00325B31"/>
    <w:rsid w:val="00330585"/>
    <w:rsid w:val="003308B3"/>
    <w:rsid w:val="00331D12"/>
    <w:rsid w:val="00333E0F"/>
    <w:rsid w:val="0034478A"/>
    <w:rsid w:val="00345F8D"/>
    <w:rsid w:val="00347276"/>
    <w:rsid w:val="00351BEF"/>
    <w:rsid w:val="00352DE1"/>
    <w:rsid w:val="00355D1C"/>
    <w:rsid w:val="00360C3C"/>
    <w:rsid w:val="0036141C"/>
    <w:rsid w:val="00361D62"/>
    <w:rsid w:val="003632DE"/>
    <w:rsid w:val="00364E19"/>
    <w:rsid w:val="00366621"/>
    <w:rsid w:val="00366D45"/>
    <w:rsid w:val="00366F87"/>
    <w:rsid w:val="00370F74"/>
    <w:rsid w:val="00371A8E"/>
    <w:rsid w:val="003728E6"/>
    <w:rsid w:val="0037425A"/>
    <w:rsid w:val="00377E0F"/>
    <w:rsid w:val="00383CF9"/>
    <w:rsid w:val="00384B0C"/>
    <w:rsid w:val="00387D7F"/>
    <w:rsid w:val="003932C7"/>
    <w:rsid w:val="003939B0"/>
    <w:rsid w:val="0039407A"/>
    <w:rsid w:val="00394E5E"/>
    <w:rsid w:val="003970F5"/>
    <w:rsid w:val="003A0997"/>
    <w:rsid w:val="003A29A5"/>
    <w:rsid w:val="003A378C"/>
    <w:rsid w:val="003A5528"/>
    <w:rsid w:val="003A71BF"/>
    <w:rsid w:val="003B05FB"/>
    <w:rsid w:val="003B30C8"/>
    <w:rsid w:val="003B322A"/>
    <w:rsid w:val="003B5E0E"/>
    <w:rsid w:val="003C1E1C"/>
    <w:rsid w:val="003C3A53"/>
    <w:rsid w:val="003D0149"/>
    <w:rsid w:val="003D0628"/>
    <w:rsid w:val="003D255A"/>
    <w:rsid w:val="003D3D7E"/>
    <w:rsid w:val="003D5C52"/>
    <w:rsid w:val="003D61A2"/>
    <w:rsid w:val="003D733A"/>
    <w:rsid w:val="003E100F"/>
    <w:rsid w:val="003E55F9"/>
    <w:rsid w:val="003E74EC"/>
    <w:rsid w:val="003F0DD9"/>
    <w:rsid w:val="003F3189"/>
    <w:rsid w:val="003F37BF"/>
    <w:rsid w:val="003F386B"/>
    <w:rsid w:val="003F7F68"/>
    <w:rsid w:val="00400FFB"/>
    <w:rsid w:val="0040334A"/>
    <w:rsid w:val="004045A0"/>
    <w:rsid w:val="00412578"/>
    <w:rsid w:val="00414E85"/>
    <w:rsid w:val="00416833"/>
    <w:rsid w:val="00416949"/>
    <w:rsid w:val="004173E7"/>
    <w:rsid w:val="0042180D"/>
    <w:rsid w:val="004263D0"/>
    <w:rsid w:val="00427516"/>
    <w:rsid w:val="004312E3"/>
    <w:rsid w:val="00431934"/>
    <w:rsid w:val="00434082"/>
    <w:rsid w:val="004340E5"/>
    <w:rsid w:val="00436792"/>
    <w:rsid w:val="00436AF6"/>
    <w:rsid w:val="004370D8"/>
    <w:rsid w:val="00442482"/>
    <w:rsid w:val="00442650"/>
    <w:rsid w:val="00442E23"/>
    <w:rsid w:val="004433D5"/>
    <w:rsid w:val="00445FBD"/>
    <w:rsid w:val="004500BB"/>
    <w:rsid w:val="004521C3"/>
    <w:rsid w:val="00454892"/>
    <w:rsid w:val="0045659F"/>
    <w:rsid w:val="00461406"/>
    <w:rsid w:val="00461B64"/>
    <w:rsid w:val="00472C43"/>
    <w:rsid w:val="004731A4"/>
    <w:rsid w:val="00473ADC"/>
    <w:rsid w:val="00474B94"/>
    <w:rsid w:val="00476E50"/>
    <w:rsid w:val="004773BC"/>
    <w:rsid w:val="004835C7"/>
    <w:rsid w:val="00486445"/>
    <w:rsid w:val="00494184"/>
    <w:rsid w:val="00496F23"/>
    <w:rsid w:val="004A4674"/>
    <w:rsid w:val="004A5E2A"/>
    <w:rsid w:val="004B1E37"/>
    <w:rsid w:val="004B28AE"/>
    <w:rsid w:val="004B359C"/>
    <w:rsid w:val="004B37C1"/>
    <w:rsid w:val="004B3FE8"/>
    <w:rsid w:val="004B6222"/>
    <w:rsid w:val="004C0DA9"/>
    <w:rsid w:val="004C1BA8"/>
    <w:rsid w:val="004C335E"/>
    <w:rsid w:val="004C3AE8"/>
    <w:rsid w:val="004C4A9B"/>
    <w:rsid w:val="004C5BD2"/>
    <w:rsid w:val="004C61B3"/>
    <w:rsid w:val="004C7289"/>
    <w:rsid w:val="004D2DE1"/>
    <w:rsid w:val="004D4D6E"/>
    <w:rsid w:val="004E1AAF"/>
    <w:rsid w:val="004E1C26"/>
    <w:rsid w:val="004E23F7"/>
    <w:rsid w:val="004E26F2"/>
    <w:rsid w:val="004E2A49"/>
    <w:rsid w:val="004E32D5"/>
    <w:rsid w:val="004E49E0"/>
    <w:rsid w:val="004E6C60"/>
    <w:rsid w:val="004F16BC"/>
    <w:rsid w:val="004F1718"/>
    <w:rsid w:val="004F3C98"/>
    <w:rsid w:val="004F48E2"/>
    <w:rsid w:val="00501AE7"/>
    <w:rsid w:val="00504480"/>
    <w:rsid w:val="00506126"/>
    <w:rsid w:val="005063E4"/>
    <w:rsid w:val="00506EB3"/>
    <w:rsid w:val="00510FE4"/>
    <w:rsid w:val="00511313"/>
    <w:rsid w:val="0051644E"/>
    <w:rsid w:val="005170EB"/>
    <w:rsid w:val="0051754C"/>
    <w:rsid w:val="005200B2"/>
    <w:rsid w:val="00521BEB"/>
    <w:rsid w:val="005268C6"/>
    <w:rsid w:val="0052745E"/>
    <w:rsid w:val="00535B5A"/>
    <w:rsid w:val="00536CAF"/>
    <w:rsid w:val="00537496"/>
    <w:rsid w:val="00541628"/>
    <w:rsid w:val="00542B10"/>
    <w:rsid w:val="00544B98"/>
    <w:rsid w:val="00544ED3"/>
    <w:rsid w:val="00545060"/>
    <w:rsid w:val="0055047B"/>
    <w:rsid w:val="0055140E"/>
    <w:rsid w:val="00556D03"/>
    <w:rsid w:val="00560A01"/>
    <w:rsid w:val="005654F5"/>
    <w:rsid w:val="005711A0"/>
    <w:rsid w:val="00574053"/>
    <w:rsid w:val="005749ED"/>
    <w:rsid w:val="0057567E"/>
    <w:rsid w:val="00580A23"/>
    <w:rsid w:val="0058477B"/>
    <w:rsid w:val="005856FC"/>
    <w:rsid w:val="0058610C"/>
    <w:rsid w:val="0058654F"/>
    <w:rsid w:val="00587DB5"/>
    <w:rsid w:val="00590DE5"/>
    <w:rsid w:val="00596ACA"/>
    <w:rsid w:val="005A04DE"/>
    <w:rsid w:val="005A0AD7"/>
    <w:rsid w:val="005A1DFF"/>
    <w:rsid w:val="005A3A07"/>
    <w:rsid w:val="005A5FDD"/>
    <w:rsid w:val="005B0EAD"/>
    <w:rsid w:val="005B28A9"/>
    <w:rsid w:val="005C01B2"/>
    <w:rsid w:val="005C48CE"/>
    <w:rsid w:val="005C4B9E"/>
    <w:rsid w:val="005C67A6"/>
    <w:rsid w:val="005C7DBA"/>
    <w:rsid w:val="005D4E20"/>
    <w:rsid w:val="005E39B0"/>
    <w:rsid w:val="005E39BC"/>
    <w:rsid w:val="005E74C4"/>
    <w:rsid w:val="005F00A0"/>
    <w:rsid w:val="005F3CDB"/>
    <w:rsid w:val="005F4F13"/>
    <w:rsid w:val="005F50DF"/>
    <w:rsid w:val="005F5C3D"/>
    <w:rsid w:val="006000B2"/>
    <w:rsid w:val="00604A0B"/>
    <w:rsid w:val="00604DFA"/>
    <w:rsid w:val="006057E7"/>
    <w:rsid w:val="00610F5A"/>
    <w:rsid w:val="00611980"/>
    <w:rsid w:val="00612BD4"/>
    <w:rsid w:val="0061534E"/>
    <w:rsid w:val="0061601E"/>
    <w:rsid w:val="00623020"/>
    <w:rsid w:val="006245CB"/>
    <w:rsid w:val="0063300C"/>
    <w:rsid w:val="00635CEE"/>
    <w:rsid w:val="00637417"/>
    <w:rsid w:val="00640005"/>
    <w:rsid w:val="006402EB"/>
    <w:rsid w:val="006414A2"/>
    <w:rsid w:val="00641534"/>
    <w:rsid w:val="006416A6"/>
    <w:rsid w:val="0064201A"/>
    <w:rsid w:val="00643DF1"/>
    <w:rsid w:val="006463BF"/>
    <w:rsid w:val="00646C65"/>
    <w:rsid w:val="00647F33"/>
    <w:rsid w:val="00650DBB"/>
    <w:rsid w:val="0065107E"/>
    <w:rsid w:val="00652AC3"/>
    <w:rsid w:val="00653F57"/>
    <w:rsid w:val="0066230B"/>
    <w:rsid w:val="00662532"/>
    <w:rsid w:val="00663183"/>
    <w:rsid w:val="00663B25"/>
    <w:rsid w:val="0066410C"/>
    <w:rsid w:val="0066414D"/>
    <w:rsid w:val="0067064F"/>
    <w:rsid w:val="00670D58"/>
    <w:rsid w:val="00673DA8"/>
    <w:rsid w:val="00673FD7"/>
    <w:rsid w:val="00676E3C"/>
    <w:rsid w:val="0068172D"/>
    <w:rsid w:val="006822DE"/>
    <w:rsid w:val="00682518"/>
    <w:rsid w:val="006825F4"/>
    <w:rsid w:val="006846C6"/>
    <w:rsid w:val="00685066"/>
    <w:rsid w:val="00685D5C"/>
    <w:rsid w:val="00686D53"/>
    <w:rsid w:val="006904CE"/>
    <w:rsid w:val="006920A3"/>
    <w:rsid w:val="006A0677"/>
    <w:rsid w:val="006A2779"/>
    <w:rsid w:val="006A307F"/>
    <w:rsid w:val="006A380B"/>
    <w:rsid w:val="006B0EA6"/>
    <w:rsid w:val="006B209A"/>
    <w:rsid w:val="006B2274"/>
    <w:rsid w:val="006B2589"/>
    <w:rsid w:val="006B3C4E"/>
    <w:rsid w:val="006B7EAA"/>
    <w:rsid w:val="006C02E7"/>
    <w:rsid w:val="006C3F56"/>
    <w:rsid w:val="006C64C5"/>
    <w:rsid w:val="006D02B8"/>
    <w:rsid w:val="006D5200"/>
    <w:rsid w:val="006E070A"/>
    <w:rsid w:val="006E5859"/>
    <w:rsid w:val="006F0D78"/>
    <w:rsid w:val="006F3895"/>
    <w:rsid w:val="006F5E1A"/>
    <w:rsid w:val="006F6014"/>
    <w:rsid w:val="006F68E7"/>
    <w:rsid w:val="007005B4"/>
    <w:rsid w:val="0070660E"/>
    <w:rsid w:val="00706671"/>
    <w:rsid w:val="0071112A"/>
    <w:rsid w:val="00712720"/>
    <w:rsid w:val="00713BFD"/>
    <w:rsid w:val="00717668"/>
    <w:rsid w:val="00717C6F"/>
    <w:rsid w:val="00720FC6"/>
    <w:rsid w:val="00722E53"/>
    <w:rsid w:val="00723B7B"/>
    <w:rsid w:val="00726EC8"/>
    <w:rsid w:val="00731ECC"/>
    <w:rsid w:val="007349C4"/>
    <w:rsid w:val="00743FFF"/>
    <w:rsid w:val="0074443F"/>
    <w:rsid w:val="007445DA"/>
    <w:rsid w:val="0075385D"/>
    <w:rsid w:val="00753EC2"/>
    <w:rsid w:val="00754970"/>
    <w:rsid w:val="007631B1"/>
    <w:rsid w:val="007654E0"/>
    <w:rsid w:val="00766ECA"/>
    <w:rsid w:val="00767249"/>
    <w:rsid w:val="0077032D"/>
    <w:rsid w:val="0077280E"/>
    <w:rsid w:val="007745E5"/>
    <w:rsid w:val="00775E4B"/>
    <w:rsid w:val="00780983"/>
    <w:rsid w:val="0078361C"/>
    <w:rsid w:val="00783E9C"/>
    <w:rsid w:val="007840F4"/>
    <w:rsid w:val="00785550"/>
    <w:rsid w:val="00795DC5"/>
    <w:rsid w:val="00797DFD"/>
    <w:rsid w:val="007A1775"/>
    <w:rsid w:val="007A34DE"/>
    <w:rsid w:val="007A4C89"/>
    <w:rsid w:val="007B1B5F"/>
    <w:rsid w:val="007B4026"/>
    <w:rsid w:val="007B4DF9"/>
    <w:rsid w:val="007B4FD1"/>
    <w:rsid w:val="007B7617"/>
    <w:rsid w:val="007C4BDE"/>
    <w:rsid w:val="007C77DB"/>
    <w:rsid w:val="007D067A"/>
    <w:rsid w:val="007D6B8F"/>
    <w:rsid w:val="007E0813"/>
    <w:rsid w:val="007E4D61"/>
    <w:rsid w:val="007E5BCB"/>
    <w:rsid w:val="007E646A"/>
    <w:rsid w:val="007E7C6A"/>
    <w:rsid w:val="007F5067"/>
    <w:rsid w:val="007F5758"/>
    <w:rsid w:val="00800674"/>
    <w:rsid w:val="00802381"/>
    <w:rsid w:val="00803AB2"/>
    <w:rsid w:val="00811837"/>
    <w:rsid w:val="0081188E"/>
    <w:rsid w:val="0081210C"/>
    <w:rsid w:val="0081215D"/>
    <w:rsid w:val="008127B0"/>
    <w:rsid w:val="00814932"/>
    <w:rsid w:val="00814947"/>
    <w:rsid w:val="00814BA1"/>
    <w:rsid w:val="00815345"/>
    <w:rsid w:val="00815A36"/>
    <w:rsid w:val="00815AEE"/>
    <w:rsid w:val="00825E3E"/>
    <w:rsid w:val="00826577"/>
    <w:rsid w:val="00837AA4"/>
    <w:rsid w:val="00837F5C"/>
    <w:rsid w:val="0084020B"/>
    <w:rsid w:val="00843A22"/>
    <w:rsid w:val="00846036"/>
    <w:rsid w:val="008462D9"/>
    <w:rsid w:val="008470E1"/>
    <w:rsid w:val="00847406"/>
    <w:rsid w:val="008537D2"/>
    <w:rsid w:val="00854A14"/>
    <w:rsid w:val="00856358"/>
    <w:rsid w:val="0086408E"/>
    <w:rsid w:val="00864A98"/>
    <w:rsid w:val="00864B5E"/>
    <w:rsid w:val="00867F18"/>
    <w:rsid w:val="0087019E"/>
    <w:rsid w:val="00874921"/>
    <w:rsid w:val="00874BCE"/>
    <w:rsid w:val="00876779"/>
    <w:rsid w:val="008817D0"/>
    <w:rsid w:val="008833B5"/>
    <w:rsid w:val="00883848"/>
    <w:rsid w:val="008878B3"/>
    <w:rsid w:val="0089084F"/>
    <w:rsid w:val="008926AD"/>
    <w:rsid w:val="00893C9D"/>
    <w:rsid w:val="00894B77"/>
    <w:rsid w:val="00897ED5"/>
    <w:rsid w:val="008A032E"/>
    <w:rsid w:val="008A477B"/>
    <w:rsid w:val="008A636B"/>
    <w:rsid w:val="008A664F"/>
    <w:rsid w:val="008A69D3"/>
    <w:rsid w:val="008B0674"/>
    <w:rsid w:val="008B4490"/>
    <w:rsid w:val="008B5054"/>
    <w:rsid w:val="008B6BB9"/>
    <w:rsid w:val="008B7EF7"/>
    <w:rsid w:val="008C2A49"/>
    <w:rsid w:val="008C386F"/>
    <w:rsid w:val="008C3C89"/>
    <w:rsid w:val="008C617C"/>
    <w:rsid w:val="008D1ABE"/>
    <w:rsid w:val="008D251E"/>
    <w:rsid w:val="008D7BA3"/>
    <w:rsid w:val="008E08C7"/>
    <w:rsid w:val="008E1635"/>
    <w:rsid w:val="008E49A1"/>
    <w:rsid w:val="008E581A"/>
    <w:rsid w:val="008E6830"/>
    <w:rsid w:val="008F73E8"/>
    <w:rsid w:val="00902F15"/>
    <w:rsid w:val="00902FB5"/>
    <w:rsid w:val="009032DC"/>
    <w:rsid w:val="00903751"/>
    <w:rsid w:val="0090554C"/>
    <w:rsid w:val="00905A4B"/>
    <w:rsid w:val="00911543"/>
    <w:rsid w:val="0091356B"/>
    <w:rsid w:val="00913C96"/>
    <w:rsid w:val="00917E6D"/>
    <w:rsid w:val="00922341"/>
    <w:rsid w:val="00925EF2"/>
    <w:rsid w:val="00927F37"/>
    <w:rsid w:val="009303FC"/>
    <w:rsid w:val="00934561"/>
    <w:rsid w:val="00937D4F"/>
    <w:rsid w:val="00945DA4"/>
    <w:rsid w:val="00946C97"/>
    <w:rsid w:val="00947486"/>
    <w:rsid w:val="00951266"/>
    <w:rsid w:val="009519C9"/>
    <w:rsid w:val="00952368"/>
    <w:rsid w:val="00954544"/>
    <w:rsid w:val="00954903"/>
    <w:rsid w:val="00955FEF"/>
    <w:rsid w:val="009560BE"/>
    <w:rsid w:val="00960687"/>
    <w:rsid w:val="00960FD3"/>
    <w:rsid w:val="00962E5F"/>
    <w:rsid w:val="00964152"/>
    <w:rsid w:val="00965328"/>
    <w:rsid w:val="0096592E"/>
    <w:rsid w:val="0097202B"/>
    <w:rsid w:val="009764DD"/>
    <w:rsid w:val="00985F90"/>
    <w:rsid w:val="00990CE5"/>
    <w:rsid w:val="00995716"/>
    <w:rsid w:val="009959B8"/>
    <w:rsid w:val="009A053A"/>
    <w:rsid w:val="009A0AE1"/>
    <w:rsid w:val="009A5492"/>
    <w:rsid w:val="009A6752"/>
    <w:rsid w:val="009A7937"/>
    <w:rsid w:val="009B129F"/>
    <w:rsid w:val="009B2181"/>
    <w:rsid w:val="009B31E5"/>
    <w:rsid w:val="009B357D"/>
    <w:rsid w:val="009B3DCC"/>
    <w:rsid w:val="009B41A7"/>
    <w:rsid w:val="009B421D"/>
    <w:rsid w:val="009B53C5"/>
    <w:rsid w:val="009B5899"/>
    <w:rsid w:val="009B7E03"/>
    <w:rsid w:val="009C001D"/>
    <w:rsid w:val="009C0DF2"/>
    <w:rsid w:val="009C1C3C"/>
    <w:rsid w:val="009C1C57"/>
    <w:rsid w:val="009C208A"/>
    <w:rsid w:val="009D0B86"/>
    <w:rsid w:val="009D2BBE"/>
    <w:rsid w:val="009D370F"/>
    <w:rsid w:val="009D3C27"/>
    <w:rsid w:val="009D66FE"/>
    <w:rsid w:val="009D6777"/>
    <w:rsid w:val="009E0D5B"/>
    <w:rsid w:val="009E1558"/>
    <w:rsid w:val="009F2AC1"/>
    <w:rsid w:val="009F2FF4"/>
    <w:rsid w:val="00A002C9"/>
    <w:rsid w:val="00A022BE"/>
    <w:rsid w:val="00A031CE"/>
    <w:rsid w:val="00A04487"/>
    <w:rsid w:val="00A06F61"/>
    <w:rsid w:val="00A07C3D"/>
    <w:rsid w:val="00A10BC9"/>
    <w:rsid w:val="00A115D6"/>
    <w:rsid w:val="00A121AC"/>
    <w:rsid w:val="00A12ABB"/>
    <w:rsid w:val="00A13585"/>
    <w:rsid w:val="00A16493"/>
    <w:rsid w:val="00A16760"/>
    <w:rsid w:val="00A17C5F"/>
    <w:rsid w:val="00A267EE"/>
    <w:rsid w:val="00A274CE"/>
    <w:rsid w:val="00A33F0F"/>
    <w:rsid w:val="00A343E5"/>
    <w:rsid w:val="00A42898"/>
    <w:rsid w:val="00A43BDB"/>
    <w:rsid w:val="00A44979"/>
    <w:rsid w:val="00A50CDE"/>
    <w:rsid w:val="00A53818"/>
    <w:rsid w:val="00A54CFE"/>
    <w:rsid w:val="00A55078"/>
    <w:rsid w:val="00A625B6"/>
    <w:rsid w:val="00A62B89"/>
    <w:rsid w:val="00A6310D"/>
    <w:rsid w:val="00A64CA0"/>
    <w:rsid w:val="00A65613"/>
    <w:rsid w:val="00A65B2F"/>
    <w:rsid w:val="00A70ACE"/>
    <w:rsid w:val="00A73DCF"/>
    <w:rsid w:val="00A77A8E"/>
    <w:rsid w:val="00A837FD"/>
    <w:rsid w:val="00A8385B"/>
    <w:rsid w:val="00A84ADC"/>
    <w:rsid w:val="00A85C12"/>
    <w:rsid w:val="00A8666E"/>
    <w:rsid w:val="00A87114"/>
    <w:rsid w:val="00AA18B4"/>
    <w:rsid w:val="00AA2C08"/>
    <w:rsid w:val="00AA38D2"/>
    <w:rsid w:val="00AA3C07"/>
    <w:rsid w:val="00AA4BA6"/>
    <w:rsid w:val="00AB050B"/>
    <w:rsid w:val="00AB2105"/>
    <w:rsid w:val="00AB3268"/>
    <w:rsid w:val="00AB6ACE"/>
    <w:rsid w:val="00AC0FAF"/>
    <w:rsid w:val="00AC39BD"/>
    <w:rsid w:val="00AC5A3A"/>
    <w:rsid w:val="00AC699D"/>
    <w:rsid w:val="00AC7F85"/>
    <w:rsid w:val="00AC7F97"/>
    <w:rsid w:val="00AD14DD"/>
    <w:rsid w:val="00AD63B0"/>
    <w:rsid w:val="00AD6C9D"/>
    <w:rsid w:val="00AD723E"/>
    <w:rsid w:val="00AE4A8F"/>
    <w:rsid w:val="00AE7EFD"/>
    <w:rsid w:val="00AF2180"/>
    <w:rsid w:val="00AF4752"/>
    <w:rsid w:val="00AF4969"/>
    <w:rsid w:val="00B00755"/>
    <w:rsid w:val="00B025D8"/>
    <w:rsid w:val="00B028C8"/>
    <w:rsid w:val="00B05271"/>
    <w:rsid w:val="00B127F1"/>
    <w:rsid w:val="00B12822"/>
    <w:rsid w:val="00B1640B"/>
    <w:rsid w:val="00B20C62"/>
    <w:rsid w:val="00B2388A"/>
    <w:rsid w:val="00B23E37"/>
    <w:rsid w:val="00B24535"/>
    <w:rsid w:val="00B27D53"/>
    <w:rsid w:val="00B30B20"/>
    <w:rsid w:val="00B331EB"/>
    <w:rsid w:val="00B33DAF"/>
    <w:rsid w:val="00B36408"/>
    <w:rsid w:val="00B40617"/>
    <w:rsid w:val="00B407A9"/>
    <w:rsid w:val="00B40B5F"/>
    <w:rsid w:val="00B4127C"/>
    <w:rsid w:val="00B41357"/>
    <w:rsid w:val="00B420F5"/>
    <w:rsid w:val="00B43691"/>
    <w:rsid w:val="00B44D43"/>
    <w:rsid w:val="00B44F29"/>
    <w:rsid w:val="00B450A4"/>
    <w:rsid w:val="00B4777B"/>
    <w:rsid w:val="00B47A9E"/>
    <w:rsid w:val="00B47BED"/>
    <w:rsid w:val="00B552DD"/>
    <w:rsid w:val="00B611AF"/>
    <w:rsid w:val="00B6311A"/>
    <w:rsid w:val="00B643BB"/>
    <w:rsid w:val="00B67092"/>
    <w:rsid w:val="00B82FA5"/>
    <w:rsid w:val="00B83C72"/>
    <w:rsid w:val="00B83E9D"/>
    <w:rsid w:val="00B843AC"/>
    <w:rsid w:val="00B87882"/>
    <w:rsid w:val="00B908D4"/>
    <w:rsid w:val="00B91D8B"/>
    <w:rsid w:val="00B91F69"/>
    <w:rsid w:val="00B92CE6"/>
    <w:rsid w:val="00B9675F"/>
    <w:rsid w:val="00BA0446"/>
    <w:rsid w:val="00BA0EC2"/>
    <w:rsid w:val="00BA2639"/>
    <w:rsid w:val="00BA567E"/>
    <w:rsid w:val="00BB006A"/>
    <w:rsid w:val="00BB188E"/>
    <w:rsid w:val="00BB1D35"/>
    <w:rsid w:val="00BB237F"/>
    <w:rsid w:val="00BB4B7A"/>
    <w:rsid w:val="00BB723C"/>
    <w:rsid w:val="00BC02F3"/>
    <w:rsid w:val="00BC061E"/>
    <w:rsid w:val="00BC0BEB"/>
    <w:rsid w:val="00BC3794"/>
    <w:rsid w:val="00BC5B37"/>
    <w:rsid w:val="00BD1400"/>
    <w:rsid w:val="00BD2261"/>
    <w:rsid w:val="00BD43F1"/>
    <w:rsid w:val="00BD4C0D"/>
    <w:rsid w:val="00BD605C"/>
    <w:rsid w:val="00BD618D"/>
    <w:rsid w:val="00BE18A5"/>
    <w:rsid w:val="00BE1CB7"/>
    <w:rsid w:val="00BE2A76"/>
    <w:rsid w:val="00BE5362"/>
    <w:rsid w:val="00BE60E5"/>
    <w:rsid w:val="00BE7AC4"/>
    <w:rsid w:val="00BF052D"/>
    <w:rsid w:val="00BF0A13"/>
    <w:rsid w:val="00BF1BB2"/>
    <w:rsid w:val="00BF275D"/>
    <w:rsid w:val="00BF3533"/>
    <w:rsid w:val="00BF3654"/>
    <w:rsid w:val="00BF3A94"/>
    <w:rsid w:val="00BF3D14"/>
    <w:rsid w:val="00BF75FF"/>
    <w:rsid w:val="00C058D7"/>
    <w:rsid w:val="00C05BF4"/>
    <w:rsid w:val="00C05CDB"/>
    <w:rsid w:val="00C0665C"/>
    <w:rsid w:val="00C103FE"/>
    <w:rsid w:val="00C10E30"/>
    <w:rsid w:val="00C2069A"/>
    <w:rsid w:val="00C20AC7"/>
    <w:rsid w:val="00C2169F"/>
    <w:rsid w:val="00C22BE6"/>
    <w:rsid w:val="00C23708"/>
    <w:rsid w:val="00C24B06"/>
    <w:rsid w:val="00C25157"/>
    <w:rsid w:val="00C31196"/>
    <w:rsid w:val="00C32A8C"/>
    <w:rsid w:val="00C40324"/>
    <w:rsid w:val="00C4091B"/>
    <w:rsid w:val="00C44243"/>
    <w:rsid w:val="00C46171"/>
    <w:rsid w:val="00C46525"/>
    <w:rsid w:val="00C50074"/>
    <w:rsid w:val="00C503B6"/>
    <w:rsid w:val="00C51D87"/>
    <w:rsid w:val="00C54253"/>
    <w:rsid w:val="00C54473"/>
    <w:rsid w:val="00C60113"/>
    <w:rsid w:val="00C65E60"/>
    <w:rsid w:val="00C66720"/>
    <w:rsid w:val="00C70C93"/>
    <w:rsid w:val="00C71CB2"/>
    <w:rsid w:val="00C82901"/>
    <w:rsid w:val="00C84C18"/>
    <w:rsid w:val="00C87232"/>
    <w:rsid w:val="00C90DC7"/>
    <w:rsid w:val="00C91C03"/>
    <w:rsid w:val="00C94DBF"/>
    <w:rsid w:val="00C952B9"/>
    <w:rsid w:val="00C96734"/>
    <w:rsid w:val="00C97F7E"/>
    <w:rsid w:val="00CA148A"/>
    <w:rsid w:val="00CA3175"/>
    <w:rsid w:val="00CA4CB6"/>
    <w:rsid w:val="00CB1457"/>
    <w:rsid w:val="00CB3241"/>
    <w:rsid w:val="00CB4F13"/>
    <w:rsid w:val="00CB640F"/>
    <w:rsid w:val="00CB721C"/>
    <w:rsid w:val="00CC3D5A"/>
    <w:rsid w:val="00CC469B"/>
    <w:rsid w:val="00CC61F8"/>
    <w:rsid w:val="00CC6259"/>
    <w:rsid w:val="00CC70F8"/>
    <w:rsid w:val="00CD32F8"/>
    <w:rsid w:val="00CD7811"/>
    <w:rsid w:val="00CE5A52"/>
    <w:rsid w:val="00CF22EA"/>
    <w:rsid w:val="00CF2B18"/>
    <w:rsid w:val="00CF2BEC"/>
    <w:rsid w:val="00CF57C1"/>
    <w:rsid w:val="00CF5AE2"/>
    <w:rsid w:val="00CF6A43"/>
    <w:rsid w:val="00CF7AF3"/>
    <w:rsid w:val="00D01C76"/>
    <w:rsid w:val="00D01C7E"/>
    <w:rsid w:val="00D01EC5"/>
    <w:rsid w:val="00D038AA"/>
    <w:rsid w:val="00D12576"/>
    <w:rsid w:val="00D153DF"/>
    <w:rsid w:val="00D1615A"/>
    <w:rsid w:val="00D17D0D"/>
    <w:rsid w:val="00D260D9"/>
    <w:rsid w:val="00D26ADA"/>
    <w:rsid w:val="00D274B2"/>
    <w:rsid w:val="00D27B49"/>
    <w:rsid w:val="00D30856"/>
    <w:rsid w:val="00D30EED"/>
    <w:rsid w:val="00D3209C"/>
    <w:rsid w:val="00D34855"/>
    <w:rsid w:val="00D35A78"/>
    <w:rsid w:val="00D40048"/>
    <w:rsid w:val="00D40C85"/>
    <w:rsid w:val="00D413B0"/>
    <w:rsid w:val="00D4231D"/>
    <w:rsid w:val="00D45876"/>
    <w:rsid w:val="00D51250"/>
    <w:rsid w:val="00D52D18"/>
    <w:rsid w:val="00D555A1"/>
    <w:rsid w:val="00D55CD9"/>
    <w:rsid w:val="00D567BB"/>
    <w:rsid w:val="00D5710F"/>
    <w:rsid w:val="00D57848"/>
    <w:rsid w:val="00D63715"/>
    <w:rsid w:val="00D63DBC"/>
    <w:rsid w:val="00D64694"/>
    <w:rsid w:val="00D64861"/>
    <w:rsid w:val="00D64DC2"/>
    <w:rsid w:val="00D7126C"/>
    <w:rsid w:val="00D71812"/>
    <w:rsid w:val="00D73A71"/>
    <w:rsid w:val="00D77A06"/>
    <w:rsid w:val="00D82AA4"/>
    <w:rsid w:val="00D85F3E"/>
    <w:rsid w:val="00D872A0"/>
    <w:rsid w:val="00D87D61"/>
    <w:rsid w:val="00D87FB1"/>
    <w:rsid w:val="00D923AD"/>
    <w:rsid w:val="00D931BF"/>
    <w:rsid w:val="00D97808"/>
    <w:rsid w:val="00DA46CA"/>
    <w:rsid w:val="00DA4B21"/>
    <w:rsid w:val="00DA5006"/>
    <w:rsid w:val="00DA794B"/>
    <w:rsid w:val="00DB1258"/>
    <w:rsid w:val="00DC0806"/>
    <w:rsid w:val="00DC0ABB"/>
    <w:rsid w:val="00DC140B"/>
    <w:rsid w:val="00DC5F68"/>
    <w:rsid w:val="00DC628B"/>
    <w:rsid w:val="00DC6796"/>
    <w:rsid w:val="00DC7161"/>
    <w:rsid w:val="00DD0B36"/>
    <w:rsid w:val="00DD11F5"/>
    <w:rsid w:val="00DD3E8F"/>
    <w:rsid w:val="00DD436B"/>
    <w:rsid w:val="00DD43F2"/>
    <w:rsid w:val="00DD4F34"/>
    <w:rsid w:val="00DD6208"/>
    <w:rsid w:val="00DE316B"/>
    <w:rsid w:val="00DE3C67"/>
    <w:rsid w:val="00DE3CE5"/>
    <w:rsid w:val="00DE5F57"/>
    <w:rsid w:val="00DE7DFA"/>
    <w:rsid w:val="00DF104E"/>
    <w:rsid w:val="00DF21EB"/>
    <w:rsid w:val="00DF3209"/>
    <w:rsid w:val="00DF4063"/>
    <w:rsid w:val="00DF7BB0"/>
    <w:rsid w:val="00E00DB9"/>
    <w:rsid w:val="00E02D0C"/>
    <w:rsid w:val="00E103CF"/>
    <w:rsid w:val="00E116A7"/>
    <w:rsid w:val="00E13149"/>
    <w:rsid w:val="00E163A9"/>
    <w:rsid w:val="00E16762"/>
    <w:rsid w:val="00E20E70"/>
    <w:rsid w:val="00E22B7E"/>
    <w:rsid w:val="00E25502"/>
    <w:rsid w:val="00E258EF"/>
    <w:rsid w:val="00E25B68"/>
    <w:rsid w:val="00E25FD4"/>
    <w:rsid w:val="00E317ED"/>
    <w:rsid w:val="00E34935"/>
    <w:rsid w:val="00E374FD"/>
    <w:rsid w:val="00E40753"/>
    <w:rsid w:val="00E42895"/>
    <w:rsid w:val="00E44699"/>
    <w:rsid w:val="00E45DF8"/>
    <w:rsid w:val="00E51E69"/>
    <w:rsid w:val="00E55002"/>
    <w:rsid w:val="00E551E0"/>
    <w:rsid w:val="00E555B9"/>
    <w:rsid w:val="00E57187"/>
    <w:rsid w:val="00E57C32"/>
    <w:rsid w:val="00E60FA5"/>
    <w:rsid w:val="00E6330C"/>
    <w:rsid w:val="00E65943"/>
    <w:rsid w:val="00E70BEC"/>
    <w:rsid w:val="00E72DEF"/>
    <w:rsid w:val="00E73638"/>
    <w:rsid w:val="00E761DA"/>
    <w:rsid w:val="00E76FA7"/>
    <w:rsid w:val="00E82AD0"/>
    <w:rsid w:val="00E82BB8"/>
    <w:rsid w:val="00E83447"/>
    <w:rsid w:val="00E83AD6"/>
    <w:rsid w:val="00E84003"/>
    <w:rsid w:val="00E86304"/>
    <w:rsid w:val="00E871C7"/>
    <w:rsid w:val="00EA009F"/>
    <w:rsid w:val="00EA07BE"/>
    <w:rsid w:val="00EA24EA"/>
    <w:rsid w:val="00EA3032"/>
    <w:rsid w:val="00EA425A"/>
    <w:rsid w:val="00EA5DB8"/>
    <w:rsid w:val="00EB1359"/>
    <w:rsid w:val="00EB3082"/>
    <w:rsid w:val="00EB3A0C"/>
    <w:rsid w:val="00EB4275"/>
    <w:rsid w:val="00EB5156"/>
    <w:rsid w:val="00EB628B"/>
    <w:rsid w:val="00EC10FC"/>
    <w:rsid w:val="00EC1A91"/>
    <w:rsid w:val="00EC4C85"/>
    <w:rsid w:val="00EC4F7D"/>
    <w:rsid w:val="00EC6E4D"/>
    <w:rsid w:val="00ED00C2"/>
    <w:rsid w:val="00ED34CB"/>
    <w:rsid w:val="00ED3767"/>
    <w:rsid w:val="00ED47A3"/>
    <w:rsid w:val="00ED4A1B"/>
    <w:rsid w:val="00ED5590"/>
    <w:rsid w:val="00ED7C45"/>
    <w:rsid w:val="00EE0041"/>
    <w:rsid w:val="00EE08CE"/>
    <w:rsid w:val="00EE29B9"/>
    <w:rsid w:val="00EE445D"/>
    <w:rsid w:val="00EE6E41"/>
    <w:rsid w:val="00EE6ED8"/>
    <w:rsid w:val="00EF1BD0"/>
    <w:rsid w:val="00EF2722"/>
    <w:rsid w:val="00EF35B8"/>
    <w:rsid w:val="00EF6511"/>
    <w:rsid w:val="00F004EE"/>
    <w:rsid w:val="00F0330A"/>
    <w:rsid w:val="00F04D44"/>
    <w:rsid w:val="00F06D31"/>
    <w:rsid w:val="00F076D3"/>
    <w:rsid w:val="00F1149E"/>
    <w:rsid w:val="00F131CE"/>
    <w:rsid w:val="00F1464C"/>
    <w:rsid w:val="00F15096"/>
    <w:rsid w:val="00F1596A"/>
    <w:rsid w:val="00F200C5"/>
    <w:rsid w:val="00F21A31"/>
    <w:rsid w:val="00F21BCA"/>
    <w:rsid w:val="00F22AE9"/>
    <w:rsid w:val="00F2386E"/>
    <w:rsid w:val="00F256F7"/>
    <w:rsid w:val="00F25F3A"/>
    <w:rsid w:val="00F26C71"/>
    <w:rsid w:val="00F3093E"/>
    <w:rsid w:val="00F32275"/>
    <w:rsid w:val="00F36AC0"/>
    <w:rsid w:val="00F37627"/>
    <w:rsid w:val="00F41425"/>
    <w:rsid w:val="00F42E23"/>
    <w:rsid w:val="00F435C2"/>
    <w:rsid w:val="00F43EDB"/>
    <w:rsid w:val="00F4436D"/>
    <w:rsid w:val="00F44925"/>
    <w:rsid w:val="00F45EEE"/>
    <w:rsid w:val="00F46586"/>
    <w:rsid w:val="00F51E9C"/>
    <w:rsid w:val="00F523CA"/>
    <w:rsid w:val="00F52475"/>
    <w:rsid w:val="00F52892"/>
    <w:rsid w:val="00F54B4D"/>
    <w:rsid w:val="00F55A95"/>
    <w:rsid w:val="00F56FC8"/>
    <w:rsid w:val="00F57533"/>
    <w:rsid w:val="00F62567"/>
    <w:rsid w:val="00F6639B"/>
    <w:rsid w:val="00F67557"/>
    <w:rsid w:val="00F70F80"/>
    <w:rsid w:val="00F73205"/>
    <w:rsid w:val="00F74A9D"/>
    <w:rsid w:val="00F82916"/>
    <w:rsid w:val="00F842FE"/>
    <w:rsid w:val="00F86624"/>
    <w:rsid w:val="00F907B6"/>
    <w:rsid w:val="00F9096A"/>
    <w:rsid w:val="00F93286"/>
    <w:rsid w:val="00F9474F"/>
    <w:rsid w:val="00F96EE4"/>
    <w:rsid w:val="00FA22B5"/>
    <w:rsid w:val="00FA313E"/>
    <w:rsid w:val="00FA3DEC"/>
    <w:rsid w:val="00FA3F0F"/>
    <w:rsid w:val="00FB04C5"/>
    <w:rsid w:val="00FB7BFA"/>
    <w:rsid w:val="00FB7FB7"/>
    <w:rsid w:val="00FC4010"/>
    <w:rsid w:val="00FC5D92"/>
    <w:rsid w:val="00FC7897"/>
    <w:rsid w:val="00FD29DC"/>
    <w:rsid w:val="00FE271E"/>
    <w:rsid w:val="00FE3894"/>
    <w:rsid w:val="00FE3FE0"/>
    <w:rsid w:val="00FE4C69"/>
    <w:rsid w:val="00FE6276"/>
    <w:rsid w:val="00FE7F9C"/>
    <w:rsid w:val="00FF0D52"/>
    <w:rsid w:val="00FF0ED0"/>
    <w:rsid w:val="00FF386F"/>
    <w:rsid w:val="00FF45C5"/>
    <w:rsid w:val="00FF4A95"/>
    <w:rsid w:val="00FF4CD5"/>
    <w:rsid w:val="00FF59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42C08"/>
  <w15:docId w15:val="{30BBC339-9E45-498D-A61A-60A7D8F4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ind w:left="709"/>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EC4C85"/>
    <w:rPr>
      <w:sz w:val="16"/>
      <w:szCs w:val="16"/>
    </w:rPr>
  </w:style>
  <w:style w:type="paragraph" w:styleId="CommentText">
    <w:name w:val="annotation text"/>
    <w:basedOn w:val="Normal"/>
    <w:link w:val="CommentTextChar"/>
    <w:uiPriority w:val="49"/>
    <w:unhideWhenUsed/>
    <w:locked/>
    <w:rsid w:val="00EC4C85"/>
    <w:rPr>
      <w:sz w:val="20"/>
    </w:rPr>
  </w:style>
  <w:style w:type="character" w:customStyle="1" w:styleId="CommentTextChar">
    <w:name w:val="Comment Text Char"/>
    <w:basedOn w:val="DefaultParagraphFont"/>
    <w:link w:val="CommentText"/>
    <w:uiPriority w:val="49"/>
    <w:rsid w:val="00EC4C85"/>
    <w:rPr>
      <w:lang w:eastAsia="en-US"/>
    </w:rPr>
  </w:style>
  <w:style w:type="paragraph" w:styleId="CommentSubject">
    <w:name w:val="annotation subject"/>
    <w:basedOn w:val="CommentText"/>
    <w:next w:val="CommentText"/>
    <w:link w:val="CommentSubjectChar"/>
    <w:uiPriority w:val="49"/>
    <w:semiHidden/>
    <w:unhideWhenUsed/>
    <w:locked/>
    <w:rsid w:val="00EC4C85"/>
    <w:rPr>
      <w:b/>
      <w:bCs/>
    </w:rPr>
  </w:style>
  <w:style w:type="character" w:customStyle="1" w:styleId="CommentSubjectChar">
    <w:name w:val="Comment Subject Char"/>
    <w:basedOn w:val="CommentTextChar"/>
    <w:link w:val="CommentSubject"/>
    <w:uiPriority w:val="49"/>
    <w:semiHidden/>
    <w:rsid w:val="00EC4C85"/>
    <w:rPr>
      <w:b/>
      <w:bCs/>
      <w:lang w:eastAsia="en-US"/>
    </w:rPr>
  </w:style>
  <w:style w:type="paragraph" w:styleId="Revision">
    <w:name w:val="Revision"/>
    <w:hidden/>
    <w:uiPriority w:val="99"/>
    <w:semiHidden/>
    <w:rsid w:val="00AC7F97"/>
    <w:rPr>
      <w:sz w:val="22"/>
      <w:lang w:eastAsia="en-US"/>
    </w:rPr>
  </w:style>
  <w:style w:type="paragraph" w:customStyle="1" w:styleId="Default">
    <w:name w:val="Default"/>
    <w:rsid w:val="00542B10"/>
    <w:pPr>
      <w:autoSpaceDE w:val="0"/>
      <w:autoSpaceDN w:val="0"/>
      <w:adjustRightInd w:val="0"/>
    </w:pPr>
    <w:rPr>
      <w:rFonts w:ascii="Avenir 65 Medium" w:hAnsi="Avenir 65 Medium" w:cs="Avenir 65 Medium"/>
      <w:color w:val="000000"/>
      <w:sz w:val="24"/>
      <w:szCs w:val="24"/>
      <w:lang w:val="fi-FI"/>
    </w:rPr>
  </w:style>
  <w:style w:type="character" w:customStyle="1" w:styleId="A01">
    <w:name w:val="A0_1"/>
    <w:uiPriority w:val="99"/>
    <w:rsid w:val="00542B10"/>
    <w:rPr>
      <w:rFonts w:cs="Avenir 65 Medium"/>
      <w:b/>
      <w:bCs/>
      <w:color w:val="000000"/>
      <w:sz w:val="48"/>
      <w:szCs w:val="48"/>
    </w:rPr>
  </w:style>
  <w:style w:type="character" w:customStyle="1" w:styleId="A1">
    <w:name w:val="A1"/>
    <w:uiPriority w:val="99"/>
    <w:rsid w:val="00542B10"/>
    <w:rPr>
      <w:rFonts w:ascii="FreightText Pro Semibold" w:hAnsi="FreightText Pro Semibold" w:cs="FreightText Pro Semibold"/>
      <w:color w:val="000000"/>
      <w:sz w:val="52"/>
      <w:szCs w:val="52"/>
    </w:rPr>
  </w:style>
  <w:style w:type="character" w:customStyle="1" w:styleId="app-c-publisher-metadatadefinition-sentence">
    <w:name w:val="app-c-publisher-metadata__definition-sentence"/>
    <w:basedOn w:val="DefaultParagraphFont"/>
    <w:rsid w:val="00946C97"/>
  </w:style>
  <w:style w:type="character" w:styleId="Hyperlink">
    <w:name w:val="Hyperlink"/>
    <w:basedOn w:val="DefaultParagraphFont"/>
    <w:uiPriority w:val="99"/>
    <w:unhideWhenUsed/>
    <w:locked/>
    <w:rsid w:val="00946C97"/>
    <w:rPr>
      <w:color w:val="0000FF"/>
      <w:u w:val="single"/>
    </w:rPr>
  </w:style>
  <w:style w:type="paragraph" w:styleId="ListParagraph">
    <w:name w:val="List Paragraph"/>
    <w:basedOn w:val="Normal"/>
    <w:uiPriority w:val="34"/>
    <w:qFormat/>
    <w:locked/>
    <w:rsid w:val="007A34DE"/>
    <w:pPr>
      <w:overflowPunct/>
      <w:autoSpaceDE/>
      <w:autoSpaceDN/>
      <w:adjustRightInd/>
      <w:spacing w:before="240"/>
      <w:ind w:left="720"/>
      <w:contextualSpacing/>
      <w:jc w:val="both"/>
      <w:textAlignment w:val="auto"/>
    </w:pPr>
    <w:rPr>
      <w:rFonts w:ascii="Book Antiqua" w:eastAsia="SimSun" w:hAnsi="Book Antiqua"/>
      <w:sz w:val="24"/>
      <w:szCs w:val="22"/>
      <w:lang w:eastAsia="zh-CN"/>
    </w:rPr>
  </w:style>
  <w:style w:type="character" w:customStyle="1" w:styleId="cls-response">
    <w:name w:val="cls-response"/>
    <w:basedOn w:val="DefaultParagraphFont"/>
    <w:rsid w:val="00A06F61"/>
  </w:style>
  <w:style w:type="character" w:customStyle="1" w:styleId="doilink">
    <w:name w:val="doi_link"/>
    <w:basedOn w:val="DefaultParagraphFont"/>
    <w:rsid w:val="0065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8747">
      <w:bodyDiv w:val="1"/>
      <w:marLeft w:val="0"/>
      <w:marRight w:val="0"/>
      <w:marTop w:val="0"/>
      <w:marBottom w:val="0"/>
      <w:divBdr>
        <w:top w:val="none" w:sz="0" w:space="0" w:color="auto"/>
        <w:left w:val="none" w:sz="0" w:space="0" w:color="auto"/>
        <w:bottom w:val="none" w:sz="0" w:space="0" w:color="auto"/>
        <w:right w:val="none" w:sz="0" w:space="0" w:color="auto"/>
      </w:divBdr>
      <w:divsChild>
        <w:div w:id="791677276">
          <w:marLeft w:val="0"/>
          <w:marRight w:val="0"/>
          <w:marTop w:val="100"/>
          <w:marBottom w:val="100"/>
          <w:divBdr>
            <w:top w:val="none" w:sz="0" w:space="0" w:color="auto"/>
            <w:left w:val="none" w:sz="0" w:space="0" w:color="auto"/>
            <w:bottom w:val="none" w:sz="0" w:space="0" w:color="auto"/>
            <w:right w:val="none" w:sz="0" w:space="0" w:color="auto"/>
          </w:divBdr>
          <w:divsChild>
            <w:div w:id="166602209">
              <w:marLeft w:val="0"/>
              <w:marRight w:val="0"/>
              <w:marTop w:val="0"/>
              <w:marBottom w:val="0"/>
              <w:divBdr>
                <w:top w:val="none" w:sz="0" w:space="0" w:color="auto"/>
                <w:left w:val="none" w:sz="0" w:space="0" w:color="auto"/>
                <w:bottom w:val="none" w:sz="0" w:space="0" w:color="auto"/>
                <w:right w:val="none" w:sz="0" w:space="0" w:color="auto"/>
              </w:divBdr>
              <w:divsChild>
                <w:div w:id="405147506">
                  <w:marLeft w:val="105"/>
                  <w:marRight w:val="105"/>
                  <w:marTop w:val="105"/>
                  <w:marBottom w:val="105"/>
                  <w:divBdr>
                    <w:top w:val="none" w:sz="0" w:space="0" w:color="auto"/>
                    <w:left w:val="none" w:sz="0" w:space="0" w:color="auto"/>
                    <w:bottom w:val="none" w:sz="0" w:space="0" w:color="auto"/>
                    <w:right w:val="none" w:sz="0" w:space="0" w:color="auto"/>
                  </w:divBdr>
                  <w:divsChild>
                    <w:div w:id="1831289985">
                      <w:marLeft w:val="0"/>
                      <w:marRight w:val="0"/>
                      <w:marTop w:val="0"/>
                      <w:marBottom w:val="0"/>
                      <w:divBdr>
                        <w:top w:val="none" w:sz="0" w:space="0" w:color="auto"/>
                        <w:left w:val="none" w:sz="0" w:space="0" w:color="auto"/>
                        <w:bottom w:val="none" w:sz="0" w:space="0" w:color="auto"/>
                        <w:right w:val="none" w:sz="0" w:space="0" w:color="auto"/>
                      </w:divBdr>
                      <w:divsChild>
                        <w:div w:id="1763645708">
                          <w:marLeft w:val="0"/>
                          <w:marRight w:val="0"/>
                          <w:marTop w:val="0"/>
                          <w:marBottom w:val="0"/>
                          <w:divBdr>
                            <w:top w:val="none" w:sz="0" w:space="0" w:color="auto"/>
                            <w:left w:val="none" w:sz="0" w:space="0" w:color="auto"/>
                            <w:bottom w:val="none" w:sz="0" w:space="0" w:color="auto"/>
                            <w:right w:val="none" w:sz="0" w:space="0" w:color="auto"/>
                          </w:divBdr>
                          <w:divsChild>
                            <w:div w:id="1626887971">
                              <w:marLeft w:val="0"/>
                              <w:marRight w:val="0"/>
                              <w:marTop w:val="0"/>
                              <w:marBottom w:val="0"/>
                              <w:divBdr>
                                <w:top w:val="none" w:sz="0" w:space="0" w:color="auto"/>
                                <w:left w:val="none" w:sz="0" w:space="0" w:color="auto"/>
                                <w:bottom w:val="none" w:sz="0" w:space="0" w:color="auto"/>
                                <w:right w:val="none" w:sz="0" w:space="0" w:color="auto"/>
                              </w:divBdr>
                              <w:divsChild>
                                <w:div w:id="1660769482">
                                  <w:marLeft w:val="0"/>
                                  <w:marRight w:val="0"/>
                                  <w:marTop w:val="0"/>
                                  <w:marBottom w:val="0"/>
                                  <w:divBdr>
                                    <w:top w:val="none" w:sz="0" w:space="0" w:color="auto"/>
                                    <w:left w:val="none" w:sz="0" w:space="0" w:color="auto"/>
                                    <w:bottom w:val="none" w:sz="0" w:space="0" w:color="auto"/>
                                    <w:right w:val="none" w:sz="0" w:space="0" w:color="auto"/>
                                  </w:divBdr>
                                  <w:divsChild>
                                    <w:div w:id="1977447878">
                                      <w:marLeft w:val="105"/>
                                      <w:marRight w:val="105"/>
                                      <w:marTop w:val="105"/>
                                      <w:marBottom w:val="105"/>
                                      <w:divBdr>
                                        <w:top w:val="none" w:sz="0" w:space="0" w:color="auto"/>
                                        <w:left w:val="none" w:sz="0" w:space="0" w:color="auto"/>
                                        <w:bottom w:val="none" w:sz="0" w:space="0" w:color="auto"/>
                                        <w:right w:val="none" w:sz="0" w:space="0" w:color="auto"/>
                                      </w:divBdr>
                                      <w:divsChild>
                                        <w:div w:id="636381107">
                                          <w:marLeft w:val="0"/>
                                          <w:marRight w:val="0"/>
                                          <w:marTop w:val="0"/>
                                          <w:marBottom w:val="0"/>
                                          <w:divBdr>
                                            <w:top w:val="none" w:sz="0" w:space="0" w:color="auto"/>
                                            <w:left w:val="none" w:sz="0" w:space="0" w:color="auto"/>
                                            <w:bottom w:val="none" w:sz="0" w:space="0" w:color="auto"/>
                                            <w:right w:val="none" w:sz="0" w:space="0" w:color="auto"/>
                                          </w:divBdr>
                                          <w:divsChild>
                                            <w:div w:id="268436101">
                                              <w:marLeft w:val="0"/>
                                              <w:marRight w:val="0"/>
                                              <w:marTop w:val="0"/>
                                              <w:marBottom w:val="0"/>
                                              <w:divBdr>
                                                <w:top w:val="none" w:sz="0" w:space="0" w:color="auto"/>
                                                <w:left w:val="none" w:sz="0" w:space="0" w:color="auto"/>
                                                <w:bottom w:val="none" w:sz="0" w:space="0" w:color="auto"/>
                                                <w:right w:val="none" w:sz="0" w:space="0" w:color="auto"/>
                                              </w:divBdr>
                                              <w:divsChild>
                                                <w:div w:id="1336611515">
                                                  <w:marLeft w:val="0"/>
                                                  <w:marRight w:val="0"/>
                                                  <w:marTop w:val="0"/>
                                                  <w:marBottom w:val="0"/>
                                                  <w:divBdr>
                                                    <w:top w:val="none" w:sz="0" w:space="0" w:color="auto"/>
                                                    <w:left w:val="none" w:sz="0" w:space="0" w:color="auto"/>
                                                    <w:bottom w:val="none" w:sz="0" w:space="0" w:color="auto"/>
                                                    <w:right w:val="none" w:sz="0" w:space="0" w:color="auto"/>
                                                  </w:divBdr>
                                                  <w:divsChild>
                                                    <w:div w:id="1530292777">
                                                      <w:marLeft w:val="0"/>
                                                      <w:marRight w:val="0"/>
                                                      <w:marTop w:val="0"/>
                                                      <w:marBottom w:val="0"/>
                                                      <w:divBdr>
                                                        <w:top w:val="none" w:sz="0" w:space="0" w:color="auto"/>
                                                        <w:left w:val="none" w:sz="0" w:space="0" w:color="auto"/>
                                                        <w:bottom w:val="none" w:sz="0" w:space="0" w:color="auto"/>
                                                        <w:right w:val="none" w:sz="0" w:space="0" w:color="auto"/>
                                                      </w:divBdr>
                                                      <w:divsChild>
                                                        <w:div w:id="1968662000">
                                                          <w:marLeft w:val="0"/>
                                                          <w:marRight w:val="0"/>
                                                          <w:marTop w:val="0"/>
                                                          <w:marBottom w:val="0"/>
                                                          <w:divBdr>
                                                            <w:top w:val="none" w:sz="0" w:space="0" w:color="auto"/>
                                                            <w:left w:val="none" w:sz="0" w:space="0" w:color="auto"/>
                                                            <w:bottom w:val="none" w:sz="0" w:space="0" w:color="auto"/>
                                                            <w:right w:val="none" w:sz="0" w:space="0" w:color="auto"/>
                                                          </w:divBdr>
                                                          <w:divsChild>
                                                            <w:div w:id="674260432">
                                                              <w:marLeft w:val="0"/>
                                                              <w:marRight w:val="0"/>
                                                              <w:marTop w:val="0"/>
                                                              <w:marBottom w:val="0"/>
                                                              <w:divBdr>
                                                                <w:top w:val="none" w:sz="0" w:space="0" w:color="auto"/>
                                                                <w:left w:val="none" w:sz="0" w:space="0" w:color="auto"/>
                                                                <w:bottom w:val="none" w:sz="0" w:space="0" w:color="auto"/>
                                                                <w:right w:val="none" w:sz="0" w:space="0" w:color="auto"/>
                                                              </w:divBdr>
                                                              <w:divsChild>
                                                                <w:div w:id="1462652531">
                                                                  <w:marLeft w:val="105"/>
                                                                  <w:marRight w:val="105"/>
                                                                  <w:marTop w:val="105"/>
                                                                  <w:marBottom w:val="105"/>
                                                                  <w:divBdr>
                                                                    <w:top w:val="none" w:sz="0" w:space="0" w:color="auto"/>
                                                                    <w:left w:val="none" w:sz="0" w:space="0" w:color="auto"/>
                                                                    <w:bottom w:val="none" w:sz="0" w:space="0" w:color="auto"/>
                                                                    <w:right w:val="none" w:sz="0" w:space="0" w:color="auto"/>
                                                                  </w:divBdr>
                                                                  <w:divsChild>
                                                                    <w:div w:id="1375230551">
                                                                      <w:marLeft w:val="0"/>
                                                                      <w:marRight w:val="0"/>
                                                                      <w:marTop w:val="0"/>
                                                                      <w:marBottom w:val="0"/>
                                                                      <w:divBdr>
                                                                        <w:top w:val="none" w:sz="0" w:space="0" w:color="auto"/>
                                                                        <w:left w:val="none" w:sz="0" w:space="0" w:color="auto"/>
                                                                        <w:bottom w:val="none" w:sz="0" w:space="0" w:color="auto"/>
                                                                        <w:right w:val="none" w:sz="0" w:space="0" w:color="auto"/>
                                                                      </w:divBdr>
                                                                      <w:divsChild>
                                                                        <w:div w:id="1620986624">
                                                                          <w:marLeft w:val="0"/>
                                                                          <w:marRight w:val="0"/>
                                                                          <w:marTop w:val="0"/>
                                                                          <w:marBottom w:val="0"/>
                                                                          <w:divBdr>
                                                                            <w:top w:val="none" w:sz="0" w:space="0" w:color="auto"/>
                                                                            <w:left w:val="none" w:sz="0" w:space="0" w:color="auto"/>
                                                                            <w:bottom w:val="none" w:sz="0" w:space="0" w:color="auto"/>
                                                                            <w:right w:val="none" w:sz="0" w:space="0" w:color="auto"/>
                                                                          </w:divBdr>
                                                                          <w:divsChild>
                                                                            <w:div w:id="817040070">
                                                                              <w:marLeft w:val="0"/>
                                                                              <w:marRight w:val="0"/>
                                                                              <w:marTop w:val="0"/>
                                                                              <w:marBottom w:val="0"/>
                                                                              <w:divBdr>
                                                                                <w:top w:val="none" w:sz="0" w:space="0" w:color="auto"/>
                                                                                <w:left w:val="none" w:sz="0" w:space="0" w:color="auto"/>
                                                                                <w:bottom w:val="none" w:sz="0" w:space="0" w:color="auto"/>
                                                                                <w:right w:val="none" w:sz="0" w:space="0" w:color="auto"/>
                                                                              </w:divBdr>
                                                                              <w:divsChild>
                                                                                <w:div w:id="1450513891">
                                                                                  <w:marLeft w:val="0"/>
                                                                                  <w:marRight w:val="0"/>
                                                                                  <w:marTop w:val="0"/>
                                                                                  <w:marBottom w:val="0"/>
                                                                                  <w:divBdr>
                                                                                    <w:top w:val="none" w:sz="0" w:space="0" w:color="auto"/>
                                                                                    <w:left w:val="none" w:sz="0" w:space="0" w:color="auto"/>
                                                                                    <w:bottom w:val="none" w:sz="0" w:space="0" w:color="auto"/>
                                                                                    <w:right w:val="none" w:sz="0" w:space="0" w:color="auto"/>
                                                                                  </w:divBdr>
                                                                                  <w:divsChild>
                                                                                    <w:div w:id="82067483">
                                                                                      <w:marLeft w:val="0"/>
                                                                                      <w:marRight w:val="0"/>
                                                                                      <w:marTop w:val="0"/>
                                                                                      <w:marBottom w:val="0"/>
                                                                                      <w:divBdr>
                                                                                        <w:top w:val="none" w:sz="0" w:space="0" w:color="auto"/>
                                                                                        <w:left w:val="none" w:sz="0" w:space="0" w:color="auto"/>
                                                                                        <w:bottom w:val="none" w:sz="0" w:space="0" w:color="auto"/>
                                                                                        <w:right w:val="none" w:sz="0" w:space="0" w:color="auto"/>
                                                                                      </w:divBdr>
                                                                                      <w:divsChild>
                                                                                        <w:div w:id="1234120010">
                                                                                          <w:marLeft w:val="0"/>
                                                                                          <w:marRight w:val="0"/>
                                                                                          <w:marTop w:val="0"/>
                                                                                          <w:marBottom w:val="0"/>
                                                                                          <w:divBdr>
                                                                                            <w:top w:val="none" w:sz="0" w:space="0" w:color="auto"/>
                                                                                            <w:left w:val="none" w:sz="0" w:space="0" w:color="auto"/>
                                                                                            <w:bottom w:val="none" w:sz="0" w:space="0" w:color="auto"/>
                                                                                            <w:right w:val="none" w:sz="0" w:space="0" w:color="auto"/>
                                                                                          </w:divBdr>
                                                                                          <w:divsChild>
                                                                                            <w:div w:id="1478954093">
                                                                                              <w:marLeft w:val="105"/>
                                                                                              <w:marRight w:val="105"/>
                                                                                              <w:marTop w:val="105"/>
                                                                                              <w:marBottom w:val="105"/>
                                                                                              <w:divBdr>
                                                                                                <w:top w:val="none" w:sz="0" w:space="0" w:color="auto"/>
                                                                                                <w:left w:val="none" w:sz="0" w:space="0" w:color="auto"/>
                                                                                                <w:bottom w:val="none" w:sz="0" w:space="0" w:color="auto"/>
                                                                                                <w:right w:val="none" w:sz="0" w:space="0" w:color="auto"/>
                                                                                              </w:divBdr>
                                                                                              <w:divsChild>
                                                                                                <w:div w:id="499195528">
                                                                                                  <w:marLeft w:val="0"/>
                                                                                                  <w:marRight w:val="0"/>
                                                                                                  <w:marTop w:val="0"/>
                                                                                                  <w:marBottom w:val="0"/>
                                                                                                  <w:divBdr>
                                                                                                    <w:top w:val="none" w:sz="0" w:space="0" w:color="auto"/>
                                                                                                    <w:left w:val="none" w:sz="0" w:space="0" w:color="auto"/>
                                                                                                    <w:bottom w:val="none" w:sz="0" w:space="0" w:color="auto"/>
                                                                                                    <w:right w:val="none" w:sz="0" w:space="0" w:color="auto"/>
                                                                                                  </w:divBdr>
                                                                                                  <w:divsChild>
                                                                                                    <w:div w:id="176386690">
                                                                                                      <w:marLeft w:val="0"/>
                                                                                                      <w:marRight w:val="0"/>
                                                                                                      <w:marTop w:val="0"/>
                                                                                                      <w:marBottom w:val="0"/>
                                                                                                      <w:divBdr>
                                                                                                        <w:top w:val="none" w:sz="0" w:space="0" w:color="auto"/>
                                                                                                        <w:left w:val="none" w:sz="0" w:space="0" w:color="auto"/>
                                                                                                        <w:bottom w:val="none" w:sz="0" w:space="0" w:color="auto"/>
                                                                                                        <w:right w:val="none" w:sz="0" w:space="0" w:color="auto"/>
                                                                                                      </w:divBdr>
                                                                                                      <w:divsChild>
                                                                                                        <w:div w:id="1443568041">
                                                                                                          <w:marLeft w:val="0"/>
                                                                                                          <w:marRight w:val="0"/>
                                                                                                          <w:marTop w:val="0"/>
                                                                                                          <w:marBottom w:val="0"/>
                                                                                                          <w:divBdr>
                                                                                                            <w:top w:val="none" w:sz="0" w:space="0" w:color="auto"/>
                                                                                                            <w:left w:val="none" w:sz="0" w:space="0" w:color="auto"/>
                                                                                                            <w:bottom w:val="none" w:sz="0" w:space="0" w:color="auto"/>
                                                                                                            <w:right w:val="none" w:sz="0" w:space="0" w:color="auto"/>
                                                                                                          </w:divBdr>
                                                                                                          <w:divsChild>
                                                                                                            <w:div w:id="1087307778">
                                                                                                              <w:marLeft w:val="105"/>
                                                                                                              <w:marRight w:val="105"/>
                                                                                                              <w:marTop w:val="105"/>
                                                                                                              <w:marBottom w:val="105"/>
                                                                                                              <w:divBdr>
                                                                                                                <w:top w:val="none" w:sz="0" w:space="0" w:color="auto"/>
                                                                                                                <w:left w:val="none" w:sz="0" w:space="0" w:color="auto"/>
                                                                                                                <w:bottom w:val="none" w:sz="0" w:space="0" w:color="auto"/>
                                                                                                                <w:right w:val="none" w:sz="0" w:space="0" w:color="auto"/>
                                                                                                              </w:divBdr>
                                                                                                              <w:divsChild>
                                                                                                                <w:div w:id="1912498478">
                                                                                                                  <w:marLeft w:val="0"/>
                                                                                                                  <w:marRight w:val="0"/>
                                                                                                                  <w:marTop w:val="0"/>
                                                                                                                  <w:marBottom w:val="0"/>
                                                                                                                  <w:divBdr>
                                                                                                                    <w:top w:val="none" w:sz="0" w:space="0" w:color="auto"/>
                                                                                                                    <w:left w:val="none" w:sz="0" w:space="0" w:color="auto"/>
                                                                                                                    <w:bottom w:val="none" w:sz="0" w:space="0" w:color="auto"/>
                                                                                                                    <w:right w:val="none" w:sz="0" w:space="0" w:color="auto"/>
                                                                                                                  </w:divBdr>
                                                                                                                  <w:divsChild>
                                                                                                                    <w:div w:id="1827630608">
                                                                                                                      <w:marLeft w:val="0"/>
                                                                                                                      <w:marRight w:val="0"/>
                                                                                                                      <w:marTop w:val="0"/>
                                                                                                                      <w:marBottom w:val="0"/>
                                                                                                                      <w:divBdr>
                                                                                                                        <w:top w:val="none" w:sz="0" w:space="0" w:color="auto"/>
                                                                                                                        <w:left w:val="none" w:sz="0" w:space="0" w:color="auto"/>
                                                                                                                        <w:bottom w:val="none" w:sz="0" w:space="0" w:color="auto"/>
                                                                                                                        <w:right w:val="none" w:sz="0" w:space="0" w:color="auto"/>
                                                                                                                      </w:divBdr>
                                                                                                                      <w:divsChild>
                                                                                                                        <w:div w:id="19658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5710">
      <w:bodyDiv w:val="1"/>
      <w:marLeft w:val="0"/>
      <w:marRight w:val="0"/>
      <w:marTop w:val="0"/>
      <w:marBottom w:val="0"/>
      <w:divBdr>
        <w:top w:val="none" w:sz="0" w:space="0" w:color="auto"/>
        <w:left w:val="none" w:sz="0" w:space="0" w:color="auto"/>
        <w:bottom w:val="none" w:sz="0" w:space="0" w:color="auto"/>
        <w:right w:val="none" w:sz="0" w:space="0" w:color="auto"/>
      </w:divBdr>
      <w:divsChild>
        <w:div w:id="1803577574">
          <w:marLeft w:val="0"/>
          <w:marRight w:val="0"/>
          <w:marTop w:val="100"/>
          <w:marBottom w:val="100"/>
          <w:divBdr>
            <w:top w:val="none" w:sz="0" w:space="0" w:color="auto"/>
            <w:left w:val="none" w:sz="0" w:space="0" w:color="auto"/>
            <w:bottom w:val="none" w:sz="0" w:space="0" w:color="auto"/>
            <w:right w:val="none" w:sz="0" w:space="0" w:color="auto"/>
          </w:divBdr>
          <w:divsChild>
            <w:div w:id="802120580">
              <w:marLeft w:val="0"/>
              <w:marRight w:val="0"/>
              <w:marTop w:val="0"/>
              <w:marBottom w:val="0"/>
              <w:divBdr>
                <w:top w:val="none" w:sz="0" w:space="0" w:color="auto"/>
                <w:left w:val="none" w:sz="0" w:space="0" w:color="auto"/>
                <w:bottom w:val="none" w:sz="0" w:space="0" w:color="auto"/>
                <w:right w:val="none" w:sz="0" w:space="0" w:color="auto"/>
              </w:divBdr>
              <w:divsChild>
                <w:div w:id="40054201">
                  <w:marLeft w:val="105"/>
                  <w:marRight w:val="105"/>
                  <w:marTop w:val="105"/>
                  <w:marBottom w:val="105"/>
                  <w:divBdr>
                    <w:top w:val="none" w:sz="0" w:space="0" w:color="auto"/>
                    <w:left w:val="none" w:sz="0" w:space="0" w:color="auto"/>
                    <w:bottom w:val="none" w:sz="0" w:space="0" w:color="auto"/>
                    <w:right w:val="none" w:sz="0" w:space="0" w:color="auto"/>
                  </w:divBdr>
                  <w:divsChild>
                    <w:div w:id="748230948">
                      <w:marLeft w:val="0"/>
                      <w:marRight w:val="0"/>
                      <w:marTop w:val="0"/>
                      <w:marBottom w:val="0"/>
                      <w:divBdr>
                        <w:top w:val="none" w:sz="0" w:space="0" w:color="auto"/>
                        <w:left w:val="none" w:sz="0" w:space="0" w:color="auto"/>
                        <w:bottom w:val="none" w:sz="0" w:space="0" w:color="auto"/>
                        <w:right w:val="none" w:sz="0" w:space="0" w:color="auto"/>
                      </w:divBdr>
                      <w:divsChild>
                        <w:div w:id="1718092347">
                          <w:marLeft w:val="0"/>
                          <w:marRight w:val="0"/>
                          <w:marTop w:val="0"/>
                          <w:marBottom w:val="0"/>
                          <w:divBdr>
                            <w:top w:val="none" w:sz="0" w:space="0" w:color="auto"/>
                            <w:left w:val="none" w:sz="0" w:space="0" w:color="auto"/>
                            <w:bottom w:val="none" w:sz="0" w:space="0" w:color="auto"/>
                            <w:right w:val="none" w:sz="0" w:space="0" w:color="auto"/>
                          </w:divBdr>
                          <w:divsChild>
                            <w:div w:id="1479224025">
                              <w:marLeft w:val="0"/>
                              <w:marRight w:val="0"/>
                              <w:marTop w:val="0"/>
                              <w:marBottom w:val="0"/>
                              <w:divBdr>
                                <w:top w:val="none" w:sz="0" w:space="0" w:color="auto"/>
                                <w:left w:val="none" w:sz="0" w:space="0" w:color="auto"/>
                                <w:bottom w:val="none" w:sz="0" w:space="0" w:color="auto"/>
                                <w:right w:val="none" w:sz="0" w:space="0" w:color="auto"/>
                              </w:divBdr>
                              <w:divsChild>
                                <w:div w:id="861089324">
                                  <w:marLeft w:val="0"/>
                                  <w:marRight w:val="0"/>
                                  <w:marTop w:val="0"/>
                                  <w:marBottom w:val="0"/>
                                  <w:divBdr>
                                    <w:top w:val="none" w:sz="0" w:space="0" w:color="auto"/>
                                    <w:left w:val="none" w:sz="0" w:space="0" w:color="auto"/>
                                    <w:bottom w:val="none" w:sz="0" w:space="0" w:color="auto"/>
                                    <w:right w:val="none" w:sz="0" w:space="0" w:color="auto"/>
                                  </w:divBdr>
                                  <w:divsChild>
                                    <w:div w:id="1618950443">
                                      <w:marLeft w:val="105"/>
                                      <w:marRight w:val="105"/>
                                      <w:marTop w:val="105"/>
                                      <w:marBottom w:val="105"/>
                                      <w:divBdr>
                                        <w:top w:val="none" w:sz="0" w:space="0" w:color="auto"/>
                                        <w:left w:val="none" w:sz="0" w:space="0" w:color="auto"/>
                                        <w:bottom w:val="none" w:sz="0" w:space="0" w:color="auto"/>
                                        <w:right w:val="none" w:sz="0" w:space="0" w:color="auto"/>
                                      </w:divBdr>
                                      <w:divsChild>
                                        <w:div w:id="1539733965">
                                          <w:marLeft w:val="0"/>
                                          <w:marRight w:val="0"/>
                                          <w:marTop w:val="0"/>
                                          <w:marBottom w:val="0"/>
                                          <w:divBdr>
                                            <w:top w:val="none" w:sz="0" w:space="0" w:color="auto"/>
                                            <w:left w:val="none" w:sz="0" w:space="0" w:color="auto"/>
                                            <w:bottom w:val="none" w:sz="0" w:space="0" w:color="auto"/>
                                            <w:right w:val="none" w:sz="0" w:space="0" w:color="auto"/>
                                          </w:divBdr>
                                          <w:divsChild>
                                            <w:div w:id="205457588">
                                              <w:marLeft w:val="0"/>
                                              <w:marRight w:val="0"/>
                                              <w:marTop w:val="0"/>
                                              <w:marBottom w:val="0"/>
                                              <w:divBdr>
                                                <w:top w:val="none" w:sz="0" w:space="0" w:color="auto"/>
                                                <w:left w:val="none" w:sz="0" w:space="0" w:color="auto"/>
                                                <w:bottom w:val="none" w:sz="0" w:space="0" w:color="auto"/>
                                                <w:right w:val="none" w:sz="0" w:space="0" w:color="auto"/>
                                              </w:divBdr>
                                              <w:divsChild>
                                                <w:div w:id="1419476000">
                                                  <w:marLeft w:val="0"/>
                                                  <w:marRight w:val="0"/>
                                                  <w:marTop w:val="0"/>
                                                  <w:marBottom w:val="0"/>
                                                  <w:divBdr>
                                                    <w:top w:val="none" w:sz="0" w:space="0" w:color="auto"/>
                                                    <w:left w:val="none" w:sz="0" w:space="0" w:color="auto"/>
                                                    <w:bottom w:val="none" w:sz="0" w:space="0" w:color="auto"/>
                                                    <w:right w:val="none" w:sz="0" w:space="0" w:color="auto"/>
                                                  </w:divBdr>
                                                  <w:divsChild>
                                                    <w:div w:id="265886767">
                                                      <w:marLeft w:val="0"/>
                                                      <w:marRight w:val="0"/>
                                                      <w:marTop w:val="0"/>
                                                      <w:marBottom w:val="0"/>
                                                      <w:divBdr>
                                                        <w:top w:val="none" w:sz="0" w:space="0" w:color="auto"/>
                                                        <w:left w:val="none" w:sz="0" w:space="0" w:color="auto"/>
                                                        <w:bottom w:val="none" w:sz="0" w:space="0" w:color="auto"/>
                                                        <w:right w:val="none" w:sz="0" w:space="0" w:color="auto"/>
                                                      </w:divBdr>
                                                      <w:divsChild>
                                                        <w:div w:id="395780075">
                                                          <w:marLeft w:val="0"/>
                                                          <w:marRight w:val="0"/>
                                                          <w:marTop w:val="0"/>
                                                          <w:marBottom w:val="0"/>
                                                          <w:divBdr>
                                                            <w:top w:val="none" w:sz="0" w:space="0" w:color="auto"/>
                                                            <w:left w:val="none" w:sz="0" w:space="0" w:color="auto"/>
                                                            <w:bottom w:val="none" w:sz="0" w:space="0" w:color="auto"/>
                                                            <w:right w:val="none" w:sz="0" w:space="0" w:color="auto"/>
                                                          </w:divBdr>
                                                          <w:divsChild>
                                                            <w:div w:id="1377586599">
                                                              <w:marLeft w:val="0"/>
                                                              <w:marRight w:val="0"/>
                                                              <w:marTop w:val="0"/>
                                                              <w:marBottom w:val="0"/>
                                                              <w:divBdr>
                                                                <w:top w:val="none" w:sz="0" w:space="0" w:color="auto"/>
                                                                <w:left w:val="none" w:sz="0" w:space="0" w:color="auto"/>
                                                                <w:bottom w:val="none" w:sz="0" w:space="0" w:color="auto"/>
                                                                <w:right w:val="none" w:sz="0" w:space="0" w:color="auto"/>
                                                              </w:divBdr>
                                                              <w:divsChild>
                                                                <w:div w:id="148599047">
                                                                  <w:marLeft w:val="105"/>
                                                                  <w:marRight w:val="105"/>
                                                                  <w:marTop w:val="105"/>
                                                                  <w:marBottom w:val="105"/>
                                                                  <w:divBdr>
                                                                    <w:top w:val="none" w:sz="0" w:space="0" w:color="auto"/>
                                                                    <w:left w:val="none" w:sz="0" w:space="0" w:color="auto"/>
                                                                    <w:bottom w:val="none" w:sz="0" w:space="0" w:color="auto"/>
                                                                    <w:right w:val="none" w:sz="0" w:space="0" w:color="auto"/>
                                                                  </w:divBdr>
                                                                  <w:divsChild>
                                                                    <w:div w:id="1302226027">
                                                                      <w:marLeft w:val="0"/>
                                                                      <w:marRight w:val="0"/>
                                                                      <w:marTop w:val="0"/>
                                                                      <w:marBottom w:val="0"/>
                                                                      <w:divBdr>
                                                                        <w:top w:val="none" w:sz="0" w:space="0" w:color="auto"/>
                                                                        <w:left w:val="none" w:sz="0" w:space="0" w:color="auto"/>
                                                                        <w:bottom w:val="none" w:sz="0" w:space="0" w:color="auto"/>
                                                                        <w:right w:val="none" w:sz="0" w:space="0" w:color="auto"/>
                                                                      </w:divBdr>
                                                                      <w:divsChild>
                                                                        <w:div w:id="206795279">
                                                                          <w:marLeft w:val="0"/>
                                                                          <w:marRight w:val="0"/>
                                                                          <w:marTop w:val="0"/>
                                                                          <w:marBottom w:val="0"/>
                                                                          <w:divBdr>
                                                                            <w:top w:val="none" w:sz="0" w:space="0" w:color="auto"/>
                                                                            <w:left w:val="none" w:sz="0" w:space="0" w:color="auto"/>
                                                                            <w:bottom w:val="none" w:sz="0" w:space="0" w:color="auto"/>
                                                                            <w:right w:val="none" w:sz="0" w:space="0" w:color="auto"/>
                                                                          </w:divBdr>
                                                                          <w:divsChild>
                                                                            <w:div w:id="549418766">
                                                                              <w:marLeft w:val="0"/>
                                                                              <w:marRight w:val="0"/>
                                                                              <w:marTop w:val="0"/>
                                                                              <w:marBottom w:val="0"/>
                                                                              <w:divBdr>
                                                                                <w:top w:val="none" w:sz="0" w:space="0" w:color="auto"/>
                                                                                <w:left w:val="none" w:sz="0" w:space="0" w:color="auto"/>
                                                                                <w:bottom w:val="none" w:sz="0" w:space="0" w:color="auto"/>
                                                                                <w:right w:val="none" w:sz="0" w:space="0" w:color="auto"/>
                                                                              </w:divBdr>
                                                                              <w:divsChild>
                                                                                <w:div w:id="2132168460">
                                                                                  <w:marLeft w:val="0"/>
                                                                                  <w:marRight w:val="0"/>
                                                                                  <w:marTop w:val="0"/>
                                                                                  <w:marBottom w:val="0"/>
                                                                                  <w:divBdr>
                                                                                    <w:top w:val="none" w:sz="0" w:space="0" w:color="auto"/>
                                                                                    <w:left w:val="none" w:sz="0" w:space="0" w:color="auto"/>
                                                                                    <w:bottom w:val="none" w:sz="0" w:space="0" w:color="auto"/>
                                                                                    <w:right w:val="none" w:sz="0" w:space="0" w:color="auto"/>
                                                                                  </w:divBdr>
                                                                                  <w:divsChild>
                                                                                    <w:div w:id="809983653">
                                                                                      <w:marLeft w:val="0"/>
                                                                                      <w:marRight w:val="0"/>
                                                                                      <w:marTop w:val="0"/>
                                                                                      <w:marBottom w:val="0"/>
                                                                                      <w:divBdr>
                                                                                        <w:top w:val="none" w:sz="0" w:space="0" w:color="auto"/>
                                                                                        <w:left w:val="none" w:sz="0" w:space="0" w:color="auto"/>
                                                                                        <w:bottom w:val="none" w:sz="0" w:space="0" w:color="auto"/>
                                                                                        <w:right w:val="none" w:sz="0" w:space="0" w:color="auto"/>
                                                                                      </w:divBdr>
                                                                                      <w:divsChild>
                                                                                        <w:div w:id="1449280258">
                                                                                          <w:marLeft w:val="0"/>
                                                                                          <w:marRight w:val="0"/>
                                                                                          <w:marTop w:val="0"/>
                                                                                          <w:marBottom w:val="0"/>
                                                                                          <w:divBdr>
                                                                                            <w:top w:val="none" w:sz="0" w:space="0" w:color="auto"/>
                                                                                            <w:left w:val="none" w:sz="0" w:space="0" w:color="auto"/>
                                                                                            <w:bottom w:val="none" w:sz="0" w:space="0" w:color="auto"/>
                                                                                            <w:right w:val="none" w:sz="0" w:space="0" w:color="auto"/>
                                                                                          </w:divBdr>
                                                                                          <w:divsChild>
                                                                                            <w:div w:id="1706639987">
                                                                                              <w:marLeft w:val="105"/>
                                                                                              <w:marRight w:val="105"/>
                                                                                              <w:marTop w:val="105"/>
                                                                                              <w:marBottom w:val="105"/>
                                                                                              <w:divBdr>
                                                                                                <w:top w:val="none" w:sz="0" w:space="0" w:color="auto"/>
                                                                                                <w:left w:val="none" w:sz="0" w:space="0" w:color="auto"/>
                                                                                                <w:bottom w:val="none" w:sz="0" w:space="0" w:color="auto"/>
                                                                                                <w:right w:val="none" w:sz="0" w:space="0" w:color="auto"/>
                                                                                              </w:divBdr>
                                                                                              <w:divsChild>
                                                                                                <w:div w:id="1339233594">
                                                                                                  <w:marLeft w:val="0"/>
                                                                                                  <w:marRight w:val="0"/>
                                                                                                  <w:marTop w:val="0"/>
                                                                                                  <w:marBottom w:val="0"/>
                                                                                                  <w:divBdr>
                                                                                                    <w:top w:val="none" w:sz="0" w:space="0" w:color="auto"/>
                                                                                                    <w:left w:val="none" w:sz="0" w:space="0" w:color="auto"/>
                                                                                                    <w:bottom w:val="none" w:sz="0" w:space="0" w:color="auto"/>
                                                                                                    <w:right w:val="none" w:sz="0" w:space="0" w:color="auto"/>
                                                                                                  </w:divBdr>
                                                                                                  <w:divsChild>
                                                                                                    <w:div w:id="1013651216">
                                                                                                      <w:marLeft w:val="0"/>
                                                                                                      <w:marRight w:val="0"/>
                                                                                                      <w:marTop w:val="0"/>
                                                                                                      <w:marBottom w:val="0"/>
                                                                                                      <w:divBdr>
                                                                                                        <w:top w:val="none" w:sz="0" w:space="0" w:color="auto"/>
                                                                                                        <w:left w:val="none" w:sz="0" w:space="0" w:color="auto"/>
                                                                                                        <w:bottom w:val="none" w:sz="0" w:space="0" w:color="auto"/>
                                                                                                        <w:right w:val="none" w:sz="0" w:space="0" w:color="auto"/>
                                                                                                      </w:divBdr>
                                                                                                      <w:divsChild>
                                                                                                        <w:div w:id="495340314">
                                                                                                          <w:marLeft w:val="0"/>
                                                                                                          <w:marRight w:val="0"/>
                                                                                                          <w:marTop w:val="0"/>
                                                                                                          <w:marBottom w:val="0"/>
                                                                                                          <w:divBdr>
                                                                                                            <w:top w:val="none" w:sz="0" w:space="0" w:color="auto"/>
                                                                                                            <w:left w:val="none" w:sz="0" w:space="0" w:color="auto"/>
                                                                                                            <w:bottom w:val="none" w:sz="0" w:space="0" w:color="auto"/>
                                                                                                            <w:right w:val="none" w:sz="0" w:space="0" w:color="auto"/>
                                                                                                          </w:divBdr>
                                                                                                          <w:divsChild>
                                                                                                            <w:div w:id="1005474846">
                                                                                                              <w:marLeft w:val="105"/>
                                                                                                              <w:marRight w:val="105"/>
                                                                                                              <w:marTop w:val="105"/>
                                                                                                              <w:marBottom w:val="105"/>
                                                                                                              <w:divBdr>
                                                                                                                <w:top w:val="none" w:sz="0" w:space="0" w:color="auto"/>
                                                                                                                <w:left w:val="none" w:sz="0" w:space="0" w:color="auto"/>
                                                                                                                <w:bottom w:val="none" w:sz="0" w:space="0" w:color="auto"/>
                                                                                                                <w:right w:val="none" w:sz="0" w:space="0" w:color="auto"/>
                                                                                                              </w:divBdr>
                                                                                                              <w:divsChild>
                                                                                                                <w:div w:id="1498810654">
                                                                                                                  <w:marLeft w:val="0"/>
                                                                                                                  <w:marRight w:val="0"/>
                                                                                                                  <w:marTop w:val="0"/>
                                                                                                                  <w:marBottom w:val="0"/>
                                                                                                                  <w:divBdr>
                                                                                                                    <w:top w:val="none" w:sz="0" w:space="0" w:color="auto"/>
                                                                                                                    <w:left w:val="none" w:sz="0" w:space="0" w:color="auto"/>
                                                                                                                    <w:bottom w:val="none" w:sz="0" w:space="0" w:color="auto"/>
                                                                                                                    <w:right w:val="none" w:sz="0" w:space="0" w:color="auto"/>
                                                                                                                  </w:divBdr>
                                                                                                                  <w:divsChild>
                                                                                                                    <w:div w:id="1878154222">
                                                                                                                      <w:marLeft w:val="0"/>
                                                                                                                      <w:marRight w:val="0"/>
                                                                                                                      <w:marTop w:val="0"/>
                                                                                                                      <w:marBottom w:val="0"/>
                                                                                                                      <w:divBdr>
                                                                                                                        <w:top w:val="none" w:sz="0" w:space="0" w:color="auto"/>
                                                                                                                        <w:left w:val="none" w:sz="0" w:space="0" w:color="auto"/>
                                                                                                                        <w:bottom w:val="none" w:sz="0" w:space="0" w:color="auto"/>
                                                                                                                        <w:right w:val="none" w:sz="0" w:space="0" w:color="auto"/>
                                                                                                                      </w:divBdr>
                                                                                                                      <w:divsChild>
                                                                                                                        <w:div w:id="13736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40830">
      <w:bodyDiv w:val="1"/>
      <w:marLeft w:val="0"/>
      <w:marRight w:val="0"/>
      <w:marTop w:val="0"/>
      <w:marBottom w:val="0"/>
      <w:divBdr>
        <w:top w:val="none" w:sz="0" w:space="0" w:color="auto"/>
        <w:left w:val="none" w:sz="0" w:space="0" w:color="auto"/>
        <w:bottom w:val="none" w:sz="0" w:space="0" w:color="auto"/>
        <w:right w:val="none" w:sz="0" w:space="0" w:color="auto"/>
      </w:divBdr>
      <w:divsChild>
        <w:div w:id="27055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1-39-4149-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rn.fi/URN:ISBN:978-951-44-9514-4" TargetMode="External"/><Relationship Id="rId4" Type="http://schemas.openxmlformats.org/officeDocument/2006/relationships/settings" Target="settings.xml"/><Relationship Id="rId9" Type="http://schemas.openxmlformats.org/officeDocument/2006/relationships/hyperlink" Target="https://doi.org/10.1080/13669877.2019.156909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7AC00CE7-FFF1-4FF2-8C96-981BD963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10</Pages>
  <Words>5275</Words>
  <Characters>42728</Characters>
  <Application>Microsoft Office Word</Application>
  <DocSecurity>0</DocSecurity>
  <Lines>356</Lines>
  <Paragraphs>95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IAEA</vt:lpstr>
      <vt:lpstr>IAEA</vt:lpstr>
    </vt:vector>
  </TitlesOfParts>
  <Company>IAEA</Company>
  <LinksUpToDate>false</LinksUpToDate>
  <CharactersWithSpaces>47908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Matti Kojo</cp:lastModifiedBy>
  <cp:revision>2</cp:revision>
  <cp:lastPrinted>2015-12-01T10:27:00Z</cp:lastPrinted>
  <dcterms:created xsi:type="dcterms:W3CDTF">2019-02-24T08:16:00Z</dcterms:created>
  <dcterms:modified xsi:type="dcterms:W3CDTF">2019-02-24T08:16:00Z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