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D5F7A" w14:textId="27618DE3" w:rsidR="00671627" w:rsidRPr="00671627" w:rsidRDefault="00671627" w:rsidP="002906A9">
      <w:pPr>
        <w:pStyle w:val="Heading1"/>
      </w:pPr>
      <w:r w:rsidRPr="00671627">
        <w:t>Transmutation of minor actinide</w:t>
      </w:r>
      <w:r w:rsidR="002906A9">
        <w:t xml:space="preserve">s </w:t>
      </w:r>
      <w:r w:rsidRPr="00671627">
        <w:t>in AP1000 reactor</w:t>
      </w:r>
    </w:p>
    <w:p w14:paraId="121C31D9" w14:textId="5CEEF09E" w:rsidR="00802381" w:rsidRDefault="00802381" w:rsidP="00537496">
      <w:pPr>
        <w:pStyle w:val="Authornameandaffiliation"/>
      </w:pPr>
    </w:p>
    <w:p w14:paraId="5591BF54" w14:textId="5365E2DD" w:rsidR="002906A9" w:rsidRDefault="002906A9" w:rsidP="00537496">
      <w:pPr>
        <w:pStyle w:val="Authornameandaffiliation"/>
      </w:pPr>
    </w:p>
    <w:p w14:paraId="06BD20F7" w14:textId="77777777" w:rsidR="002906A9" w:rsidRDefault="002906A9" w:rsidP="00537496">
      <w:pPr>
        <w:pStyle w:val="Authornameandaffiliation"/>
      </w:pPr>
    </w:p>
    <w:p w14:paraId="7E2A48CD" w14:textId="2E1A024A" w:rsidR="002906A9" w:rsidRDefault="002906A9" w:rsidP="00537496">
      <w:pPr>
        <w:pStyle w:val="Authornameandaffiliation"/>
      </w:pPr>
      <w:r w:rsidRPr="002906A9">
        <w:t>A</w:t>
      </w:r>
      <w:r>
        <w:t>BBAS</w:t>
      </w:r>
      <w:r w:rsidRPr="002906A9">
        <w:t xml:space="preserve"> B</w:t>
      </w:r>
      <w:r>
        <w:t>ASHIR</w:t>
      </w:r>
      <w:r w:rsidRPr="002906A9">
        <w:t xml:space="preserve"> A</w:t>
      </w:r>
      <w:r>
        <w:t>HME</w:t>
      </w:r>
      <w:r w:rsidR="000D5EF1">
        <w:t>D.</w:t>
      </w:r>
    </w:p>
    <w:p w14:paraId="4695EB59" w14:textId="090377D8" w:rsidR="00FF386F" w:rsidRDefault="002906A9" w:rsidP="00537496">
      <w:pPr>
        <w:pStyle w:val="Authornameandaffiliation"/>
      </w:pPr>
      <w:r>
        <w:t xml:space="preserve">Ministry of Water Resources, Irrigation and Electricity- Nuclear Power General Directorate </w:t>
      </w:r>
    </w:p>
    <w:p w14:paraId="00728C1A" w14:textId="71FCFCB2" w:rsidR="00FF386F" w:rsidRDefault="002906A9" w:rsidP="00537496">
      <w:pPr>
        <w:pStyle w:val="Authornameandaffiliation"/>
      </w:pPr>
      <w:r>
        <w:t>Khartoum</w:t>
      </w:r>
      <w:r w:rsidR="00FF386F">
        <w:t xml:space="preserve">, </w:t>
      </w:r>
      <w:r>
        <w:t>Sudan</w:t>
      </w:r>
    </w:p>
    <w:p w14:paraId="457581F5" w14:textId="6B1F5205" w:rsidR="00FF386F" w:rsidRDefault="00FF386F" w:rsidP="00537496">
      <w:pPr>
        <w:pStyle w:val="Authornameandaffiliation"/>
      </w:pPr>
      <w:r>
        <w:t>Email:</w:t>
      </w:r>
      <w:r w:rsidR="002906A9">
        <w:t xml:space="preserve"> </w:t>
      </w:r>
      <w:hyperlink r:id="rId8" w:history="1">
        <w:r w:rsidR="002906A9" w:rsidRPr="002906A9">
          <w:t>abbasbashir@live.com</w:t>
        </w:r>
      </w:hyperlink>
      <w:r w:rsidR="002906A9">
        <w:rPr>
          <w:i/>
          <w:sz w:val="16"/>
          <w:szCs w:val="16"/>
        </w:rPr>
        <w:t xml:space="preserve"> </w:t>
      </w:r>
      <w:r w:rsidR="002906A9">
        <w:rPr>
          <w:rFonts w:hint="eastAsia"/>
          <w:i/>
          <w:sz w:val="16"/>
          <w:szCs w:val="16"/>
          <w:lang w:eastAsia="zh-CN"/>
        </w:rPr>
        <w:t xml:space="preserve"> </w:t>
      </w:r>
    </w:p>
    <w:p w14:paraId="48077CE8" w14:textId="77777777" w:rsidR="00FF386F" w:rsidRDefault="00FF386F" w:rsidP="00537496">
      <w:pPr>
        <w:pStyle w:val="Authornameandaffiliation"/>
      </w:pPr>
    </w:p>
    <w:p w14:paraId="624F9A9C" w14:textId="356AD7BA" w:rsidR="00FF386F" w:rsidRPr="00FF386F" w:rsidRDefault="002906A9" w:rsidP="00537496">
      <w:pPr>
        <w:pStyle w:val="Authornameandaffiliation"/>
      </w:pPr>
      <w:r w:rsidRPr="002906A9">
        <w:t>B</w:t>
      </w:r>
      <w:r>
        <w:t>IN</w:t>
      </w:r>
      <w:r w:rsidRPr="002906A9">
        <w:t xml:space="preserve"> L</w:t>
      </w:r>
      <w:r>
        <w:t>IU</w:t>
      </w:r>
    </w:p>
    <w:p w14:paraId="22EB33B5" w14:textId="7D6CBF4B" w:rsidR="00FF386F" w:rsidRPr="00FF386F" w:rsidRDefault="002906A9" w:rsidP="00537496">
      <w:pPr>
        <w:pStyle w:val="Authornameandaffiliation"/>
      </w:pPr>
      <w:r w:rsidRPr="002906A9">
        <w:t>School of Nuclear Science &amp; Engineering, North China Electric Power University</w:t>
      </w:r>
    </w:p>
    <w:p w14:paraId="342B62D9" w14:textId="229E11A4" w:rsidR="00FF386F" w:rsidRPr="00FF386F" w:rsidRDefault="002906A9" w:rsidP="00537496">
      <w:pPr>
        <w:pStyle w:val="Authornameandaffiliation"/>
      </w:pPr>
      <w:r>
        <w:t>Beijing</w:t>
      </w:r>
      <w:r w:rsidR="00FF386F" w:rsidRPr="00FF386F">
        <w:t>, C</w:t>
      </w:r>
      <w:r>
        <w:t>hina</w:t>
      </w:r>
    </w:p>
    <w:p w14:paraId="7F7BEC3B" w14:textId="77777777" w:rsidR="00FF386F" w:rsidRDefault="00FF386F" w:rsidP="00537496">
      <w:pPr>
        <w:pStyle w:val="Authornameandaffiliation"/>
      </w:pPr>
    </w:p>
    <w:p w14:paraId="502285A0" w14:textId="77777777" w:rsidR="00647F33" w:rsidRPr="00647F33" w:rsidRDefault="00647F33" w:rsidP="00537496">
      <w:pPr>
        <w:pStyle w:val="Authornameandaffiliation"/>
        <w:rPr>
          <w:b/>
        </w:rPr>
      </w:pPr>
      <w:r w:rsidRPr="00647F33">
        <w:rPr>
          <w:b/>
        </w:rPr>
        <w:t>Abstract</w:t>
      </w:r>
    </w:p>
    <w:p w14:paraId="576D1E12" w14:textId="77777777" w:rsidR="00647F33" w:rsidRDefault="00647F33" w:rsidP="00537496">
      <w:pPr>
        <w:pStyle w:val="Authornameandaffiliation"/>
      </w:pPr>
    </w:p>
    <w:p w14:paraId="1027754E" w14:textId="4096E6CC" w:rsidR="00647F33" w:rsidRPr="00BD605C" w:rsidRDefault="002906A9" w:rsidP="00537496">
      <w:pPr>
        <w:pStyle w:val="Abstracttext"/>
      </w:pPr>
      <w:r>
        <w:t>Clean energy is most desirable in the world without any problem; nuclear energy can fill the thirst of energy with lower problems. Waste disposal and radiotoxicity is the most challenge issue in nuclear power generation.</w:t>
      </w:r>
      <w:r w:rsidRPr="008250B7">
        <w:t xml:space="preserve"> </w:t>
      </w:r>
      <w:r>
        <w:t>It is suggested to transmute spent nuclear fuel and especially minor actinide due to it is high contribution of radiotoxicity. We transmute the Np-237 in the LWR AP1000 reactor. We simulate the reactor and the minor actinide materials using mcnp5 code. We got promised and good results to recommend realizing this issue.</w:t>
      </w:r>
    </w:p>
    <w:p w14:paraId="54CBDFDE" w14:textId="77777777" w:rsidR="00647F33" w:rsidRDefault="00F523CA" w:rsidP="00537496">
      <w:pPr>
        <w:pStyle w:val="Heading2"/>
        <w:numPr>
          <w:ilvl w:val="1"/>
          <w:numId w:val="10"/>
        </w:numPr>
      </w:pPr>
      <w:r>
        <w:t>INTRODUCTION</w:t>
      </w:r>
    </w:p>
    <w:p w14:paraId="3076E93B" w14:textId="52FE5D53" w:rsidR="00932D56" w:rsidRPr="00F17B72" w:rsidRDefault="00932D56" w:rsidP="00B830F1">
      <w:pPr>
        <w:ind w:firstLine="567"/>
        <w:jc w:val="both"/>
        <w:rPr>
          <w:sz w:val="20"/>
        </w:rPr>
      </w:pPr>
      <w:r w:rsidRPr="00F17B72">
        <w:rPr>
          <w:sz w:val="20"/>
        </w:rPr>
        <w:t xml:space="preserve">In recent years, there have been rising expectancy for nuclear energy all over the world to meet the rapid increasing in the energy demand due to the shortage of fossil fuels supply in order to limit greenhouse gas emissions and this will greatly speed up the nuclear power industry development. [1] As of April 2017, 30 </w:t>
      </w:r>
      <w:bookmarkStart w:id="0" w:name="OLE_LINK7"/>
      <w:bookmarkStart w:id="1" w:name="OLE_LINK8"/>
      <w:r w:rsidRPr="00F17B72">
        <w:rPr>
          <w:sz w:val="20"/>
        </w:rPr>
        <w:t xml:space="preserve">countries worldwide are operating 449 nuclear reactors </w:t>
      </w:r>
      <w:bookmarkEnd w:id="0"/>
      <w:bookmarkEnd w:id="1"/>
      <w:r w:rsidRPr="00F17B72">
        <w:rPr>
          <w:sz w:val="20"/>
        </w:rPr>
        <w:t>for electricity generation and 60 new reactor plants are under construction in 15 countries. Nuclear power plants provided 11 % of the world electricity production in 2014. [2]</w:t>
      </w:r>
    </w:p>
    <w:p w14:paraId="22929D89" w14:textId="2ABC9CE6" w:rsidR="00932D56" w:rsidRPr="00F17B72" w:rsidRDefault="00932D56" w:rsidP="00160F96">
      <w:pPr>
        <w:jc w:val="both"/>
        <w:rPr>
          <w:sz w:val="20"/>
        </w:rPr>
      </w:pPr>
      <w:r w:rsidRPr="00F17B72">
        <w:rPr>
          <w:sz w:val="20"/>
        </w:rPr>
        <w:t xml:space="preserve">Nuclear power reactors work based on neutron induced fission process to burn nuclear fuel to get heat energy to use it in making steam in order to drive steam turbine to generate electricity. Burning nuclear Fuel inevitably lead to generation of new actinide isotopes and after a certain period of operation nuclear power reactor need to be refuelled by fresh fuel due to the irradiation of the fuel and it will be discharged as spent fuel and called nuclear waste. [3] About 98.5% of this spent fuel weight is composed of uranium and short-lived fission products, about 1% is plutonium and minor actinide and about 0.4% is long-lived fission products such as </w:t>
      </w:r>
      <w:r w:rsidR="00160F96" w:rsidRPr="00F17B72">
        <w:rPr>
          <w:sz w:val="20"/>
        </w:rPr>
        <w:t>caesium</w:t>
      </w:r>
      <w:r w:rsidRPr="00F17B72">
        <w:rPr>
          <w:sz w:val="20"/>
        </w:rPr>
        <w:t xml:space="preserve">, strontium, technetium and iodine. The spent fuel disposal </w:t>
      </w:r>
      <w:r w:rsidR="00160F96" w:rsidRPr="00F17B72">
        <w:rPr>
          <w:sz w:val="20"/>
        </w:rPr>
        <w:t>considers</w:t>
      </w:r>
      <w:r w:rsidRPr="00F17B72">
        <w:rPr>
          <w:sz w:val="20"/>
        </w:rPr>
        <w:t xml:space="preserve"> as an important issue in the nuclear power industry. [4]</w:t>
      </w:r>
    </w:p>
    <w:p w14:paraId="6DB25B78" w14:textId="1273856F" w:rsidR="00932D56" w:rsidRPr="00F17B72" w:rsidRDefault="00932D56" w:rsidP="00160F96">
      <w:pPr>
        <w:jc w:val="both"/>
        <w:rPr>
          <w:sz w:val="20"/>
        </w:rPr>
      </w:pPr>
      <w:r w:rsidRPr="00F17B72">
        <w:rPr>
          <w:sz w:val="20"/>
        </w:rPr>
        <w:t xml:space="preserve">As the spent fuel is irradiated materials and has radiotoxicity hazards to the environment so this is an important issue and consider as the one of the most demerits of the nuclear power reactor industry. Roughly there is 8000 tons of spent fuel are discharged annually in the </w:t>
      </w:r>
      <w:r w:rsidR="00160F96" w:rsidRPr="00F17B72">
        <w:rPr>
          <w:sz w:val="20"/>
        </w:rPr>
        <w:t>world in</w:t>
      </w:r>
      <w:r w:rsidRPr="00F17B72">
        <w:rPr>
          <w:sz w:val="20"/>
        </w:rPr>
        <w:t xml:space="preserve"> order to overcome this obstacle it was suggested to minimize the spent fuel amount or converting them into other useful materials or less in radiotoxicity hazard materials researchers conducting a lot of researches, studies and experiments to deal with this. [5]</w:t>
      </w:r>
    </w:p>
    <w:p w14:paraId="6E6C0E77" w14:textId="77777777" w:rsidR="00932D56" w:rsidRPr="00F17B72" w:rsidRDefault="00932D56" w:rsidP="00160F96">
      <w:pPr>
        <w:jc w:val="both"/>
        <w:rPr>
          <w:sz w:val="20"/>
        </w:rPr>
      </w:pPr>
      <w:r w:rsidRPr="00F17B72">
        <w:rPr>
          <w:sz w:val="20"/>
        </w:rPr>
        <w:t xml:space="preserve">Nuclear </w:t>
      </w:r>
      <w:bookmarkStart w:id="2" w:name="OLE_LINK1"/>
      <w:bookmarkStart w:id="3" w:name="OLE_LINK2"/>
      <w:r w:rsidRPr="00F17B72">
        <w:rPr>
          <w:sz w:val="20"/>
        </w:rPr>
        <w:t>transmutation</w:t>
      </w:r>
      <w:bookmarkEnd w:id="2"/>
      <w:bookmarkEnd w:id="3"/>
      <w:r w:rsidRPr="00F17B72">
        <w:rPr>
          <w:sz w:val="20"/>
        </w:rPr>
        <w:t xml:space="preserve"> is an artificial method considered as an efficient approach that can convert chemical element\isotope into another one by either nuclear reaction or radioactive decay. [6]</w:t>
      </w:r>
    </w:p>
    <w:p w14:paraId="68BE852C" w14:textId="77777777" w:rsidR="00160F96" w:rsidRPr="00F17B72" w:rsidRDefault="00932D56" w:rsidP="00160F96">
      <w:pPr>
        <w:jc w:val="both"/>
        <w:rPr>
          <w:rFonts w:hint="eastAsia"/>
          <w:sz w:val="20"/>
        </w:rPr>
      </w:pPr>
      <w:r w:rsidRPr="00F17B72">
        <w:rPr>
          <w:sz w:val="20"/>
        </w:rPr>
        <w:t>Actinides are a family of 15 elements that range in atomic numbers from 89 to 103. The 15 elements include: Actinium (Ac), Thorium (Th), Protactinium (Pa),</w:t>
      </w:r>
      <w:r w:rsidR="00160F96" w:rsidRPr="00F17B72">
        <w:rPr>
          <w:sz w:val="20"/>
        </w:rPr>
        <w:t xml:space="preserve"> Uranium (U), Neptunium (Np), Plutonium (Pu), Americium (Am), Curium (Cm), Berkelium (Bk), Californium (</w:t>
      </w:r>
      <w:proofErr w:type="spellStart"/>
      <w:r w:rsidR="00160F96" w:rsidRPr="00F17B72">
        <w:rPr>
          <w:sz w:val="20"/>
        </w:rPr>
        <w:t>Cf</w:t>
      </w:r>
      <w:proofErr w:type="spellEnd"/>
      <w:r w:rsidR="00160F96" w:rsidRPr="00F17B72">
        <w:rPr>
          <w:sz w:val="20"/>
        </w:rPr>
        <w:t>), Einsteinium (Es), Fermium (</w:t>
      </w:r>
      <w:proofErr w:type="spellStart"/>
      <w:r w:rsidR="00160F96" w:rsidRPr="00F17B72">
        <w:rPr>
          <w:sz w:val="20"/>
        </w:rPr>
        <w:t>Fm</w:t>
      </w:r>
      <w:proofErr w:type="spellEnd"/>
      <w:r w:rsidR="00160F96" w:rsidRPr="00F17B72">
        <w:rPr>
          <w:sz w:val="20"/>
        </w:rPr>
        <w:t>), Mendelevium (Md), Nobelium (No), and Lawrencium (</w:t>
      </w:r>
      <w:proofErr w:type="spellStart"/>
      <w:r w:rsidR="00160F96" w:rsidRPr="00F17B72">
        <w:rPr>
          <w:sz w:val="20"/>
        </w:rPr>
        <w:t>Lr</w:t>
      </w:r>
      <w:proofErr w:type="spellEnd"/>
      <w:r w:rsidR="00160F96" w:rsidRPr="00F17B72">
        <w:rPr>
          <w:sz w:val="20"/>
        </w:rPr>
        <w:t xml:space="preserve">). [7] </w:t>
      </w:r>
    </w:p>
    <w:p w14:paraId="7007C7D7" w14:textId="6288DC52" w:rsidR="00160F96" w:rsidRPr="00F17B72" w:rsidRDefault="00160F96" w:rsidP="00160F96">
      <w:pPr>
        <w:jc w:val="both"/>
        <w:rPr>
          <w:sz w:val="20"/>
        </w:rPr>
      </w:pPr>
      <w:r w:rsidRPr="00F17B72">
        <w:rPr>
          <w:sz w:val="20"/>
        </w:rPr>
        <w:t xml:space="preserve">Neptunium (Np), Americium (Am) and Curium (Cm) considered as Minor actinides (MA) in the spent fuel (NSF) and despite their small fractions are long-term radiotoxicity and decay heat contributors in the spent fuel and featuring both alpha decays and high-energy gamma emissions. So, they are the major contributors to the radiotoxicity, neutron output and decay heat in the spent nuclear fuel and if it is reprocessed conventionally it consider as vitrified high-level waste (VHLW) Therefore, transmutation of neptunium, americium and curium supposed to assist in solving the disposal problem of the spent fuel. [8] </w:t>
      </w:r>
    </w:p>
    <w:p w14:paraId="42FFB21E" w14:textId="1DD121B3" w:rsidR="007F0154" w:rsidRPr="00F17B72" w:rsidRDefault="00160F96" w:rsidP="00F17B72">
      <w:pPr>
        <w:jc w:val="both"/>
        <w:rPr>
          <w:sz w:val="20"/>
        </w:rPr>
      </w:pPr>
      <w:r w:rsidRPr="00F17B72">
        <w:rPr>
          <w:sz w:val="20"/>
        </w:rPr>
        <w:t xml:space="preserve">Application studies aim to have possibility of getting nuclear energy free of the discharge of any of these radiotoxic elements are conducted and still work on in this. The interest in partitioning and transmutation of the minor actinide in the nuclear reactors is sustaining in growing up internationally to alleviate the burden of geologic disposal. France, Germany and japan see the MA transmutation as very important target and they have made very huge Research and Design (R&amp;D) commitments to it. [9] Light water reactor LWR fuel typically contains about </w:t>
      </w:r>
      <w:r w:rsidRPr="00F17B72">
        <w:rPr>
          <w:sz w:val="20"/>
        </w:rPr>
        <w:lastRenderedPageBreak/>
        <w:t>600g/tHM of neptunium, 850g/tHM of americium and about 50g/tHM of curium these quantities depend on cooling time and discharge burn up. Table1 shows annual arising of transmutation elements worldwide. [10]</w:t>
      </w:r>
    </w:p>
    <w:p w14:paraId="69EB0AED" w14:textId="5EB2B0E6" w:rsidR="00160F96" w:rsidRDefault="007F0154" w:rsidP="007F0154">
      <w:pPr>
        <w:pStyle w:val="BodyText"/>
        <w:ind w:firstLine="0"/>
      </w:pPr>
      <w:r>
        <w:t>TABLE 1.</w:t>
      </w:r>
      <w:r>
        <w:tab/>
        <w:t>EXAMPLE TABLE THE ANNUAL INCREASING OF MA ELEMENTS</w:t>
      </w:r>
      <w:r w:rsidRPr="007F0154">
        <w:t xml:space="preserve"> </w:t>
      </w:r>
    </w:p>
    <w:p w14:paraId="08394525" w14:textId="77777777" w:rsidR="007F0154" w:rsidRDefault="007F0154" w:rsidP="007F0154">
      <w:pPr>
        <w:pStyle w:val="BodyText"/>
        <w:ind w:firstLine="0"/>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5"/>
        <w:gridCol w:w="2858"/>
      </w:tblGrid>
      <w:tr w:rsidR="007F0154" w14:paraId="4AA60452" w14:textId="77777777" w:rsidTr="007F0154">
        <w:trPr>
          <w:trHeight w:val="278"/>
          <w:jc w:val="center"/>
        </w:trPr>
        <w:tc>
          <w:tcPr>
            <w:tcW w:w="1595" w:type="dxa"/>
            <w:tcBorders>
              <w:top w:val="single" w:sz="4" w:space="0" w:color="auto"/>
              <w:bottom w:val="single" w:sz="4" w:space="0" w:color="auto"/>
            </w:tcBorders>
          </w:tcPr>
          <w:p w14:paraId="790F26BF" w14:textId="65FD346F" w:rsidR="007F0154" w:rsidRDefault="007F0154" w:rsidP="007F0154">
            <w:pPr>
              <w:pStyle w:val="BodyText"/>
              <w:ind w:firstLine="0"/>
            </w:pPr>
            <w:r w:rsidRPr="007F0154">
              <w:t>Element</w:t>
            </w:r>
          </w:p>
        </w:tc>
        <w:tc>
          <w:tcPr>
            <w:tcW w:w="2858" w:type="dxa"/>
            <w:tcBorders>
              <w:top w:val="single" w:sz="4" w:space="0" w:color="auto"/>
              <w:bottom w:val="single" w:sz="4" w:space="0" w:color="auto"/>
            </w:tcBorders>
          </w:tcPr>
          <w:p w14:paraId="554E68DE" w14:textId="28EF288E" w:rsidR="007F0154" w:rsidRDefault="007F0154" w:rsidP="007F0154">
            <w:pPr>
              <w:pStyle w:val="BodyText"/>
              <w:ind w:firstLine="0"/>
              <w:jc w:val="center"/>
            </w:pPr>
            <w:r w:rsidRPr="007F0154">
              <w:t>Production rate (kg per year)</w:t>
            </w:r>
          </w:p>
        </w:tc>
      </w:tr>
      <w:tr w:rsidR="007F0154" w14:paraId="32DE2243" w14:textId="77777777" w:rsidTr="007F0154">
        <w:trPr>
          <w:trHeight w:val="278"/>
          <w:jc w:val="center"/>
        </w:trPr>
        <w:tc>
          <w:tcPr>
            <w:tcW w:w="1595" w:type="dxa"/>
            <w:tcBorders>
              <w:top w:val="single" w:sz="4" w:space="0" w:color="auto"/>
            </w:tcBorders>
          </w:tcPr>
          <w:p w14:paraId="5E009AC6" w14:textId="3FEECB8A" w:rsidR="007F0154" w:rsidRPr="007F0154" w:rsidRDefault="007F0154" w:rsidP="007F0154">
            <w:pPr>
              <w:pStyle w:val="BodyText"/>
              <w:ind w:firstLine="0"/>
              <w:rPr>
                <w:rStyle w:val="TabletextChar"/>
              </w:rPr>
            </w:pPr>
            <w:r w:rsidRPr="007F0154">
              <w:rPr>
                <w:rStyle w:val="TabletextChar"/>
              </w:rPr>
              <w:t>Np</w:t>
            </w:r>
          </w:p>
        </w:tc>
        <w:tc>
          <w:tcPr>
            <w:tcW w:w="2858" w:type="dxa"/>
            <w:tcBorders>
              <w:top w:val="single" w:sz="4" w:space="0" w:color="auto"/>
            </w:tcBorders>
          </w:tcPr>
          <w:p w14:paraId="583E87BA" w14:textId="628A5E5A" w:rsidR="007F0154" w:rsidRPr="007F0154" w:rsidRDefault="007F0154" w:rsidP="007F0154">
            <w:pPr>
              <w:pStyle w:val="BodyText"/>
              <w:ind w:firstLine="0"/>
              <w:jc w:val="center"/>
              <w:rPr>
                <w:rStyle w:val="TabletextChar"/>
              </w:rPr>
            </w:pPr>
            <w:r w:rsidRPr="007F0154">
              <w:rPr>
                <w:rStyle w:val="TabletextChar"/>
              </w:rPr>
              <w:t>3400</w:t>
            </w:r>
          </w:p>
        </w:tc>
      </w:tr>
      <w:tr w:rsidR="007F0154" w14:paraId="2F724BCA" w14:textId="77777777" w:rsidTr="007F0154">
        <w:trPr>
          <w:trHeight w:val="278"/>
          <w:jc w:val="center"/>
        </w:trPr>
        <w:tc>
          <w:tcPr>
            <w:tcW w:w="1595" w:type="dxa"/>
          </w:tcPr>
          <w:p w14:paraId="0ED535CA" w14:textId="0920B02A" w:rsidR="007F0154" w:rsidRPr="007F0154" w:rsidRDefault="007F0154" w:rsidP="007F0154">
            <w:pPr>
              <w:pStyle w:val="BodyText"/>
              <w:ind w:firstLine="0"/>
              <w:rPr>
                <w:rStyle w:val="TabletextChar"/>
              </w:rPr>
            </w:pPr>
            <w:r w:rsidRPr="007F0154">
              <w:rPr>
                <w:rStyle w:val="TabletextChar"/>
              </w:rPr>
              <w:t>Pu</w:t>
            </w:r>
          </w:p>
        </w:tc>
        <w:tc>
          <w:tcPr>
            <w:tcW w:w="2858" w:type="dxa"/>
          </w:tcPr>
          <w:p w14:paraId="247D4ADF" w14:textId="5DD6858E" w:rsidR="007F0154" w:rsidRPr="007F0154" w:rsidRDefault="007F0154" w:rsidP="007F0154">
            <w:pPr>
              <w:pStyle w:val="BodyText"/>
              <w:ind w:firstLine="0"/>
              <w:jc w:val="center"/>
              <w:rPr>
                <w:rStyle w:val="TabletextChar"/>
              </w:rPr>
            </w:pPr>
            <w:r w:rsidRPr="007F0154">
              <w:rPr>
                <w:rStyle w:val="TabletextChar"/>
              </w:rPr>
              <w:t>68000</w:t>
            </w:r>
          </w:p>
        </w:tc>
      </w:tr>
      <w:tr w:rsidR="007F0154" w14:paraId="4A072256" w14:textId="77777777" w:rsidTr="007F0154">
        <w:trPr>
          <w:trHeight w:val="278"/>
          <w:jc w:val="center"/>
        </w:trPr>
        <w:tc>
          <w:tcPr>
            <w:tcW w:w="1595" w:type="dxa"/>
          </w:tcPr>
          <w:p w14:paraId="2649ED00" w14:textId="09CE895B" w:rsidR="007F0154" w:rsidRPr="007F0154" w:rsidRDefault="007F0154" w:rsidP="007F0154">
            <w:pPr>
              <w:pStyle w:val="BodyText"/>
              <w:ind w:firstLine="0"/>
              <w:rPr>
                <w:rStyle w:val="TabletextChar"/>
              </w:rPr>
            </w:pPr>
            <w:r w:rsidRPr="007F0154">
              <w:rPr>
                <w:rStyle w:val="TabletextChar"/>
              </w:rPr>
              <w:t>Am</w:t>
            </w:r>
          </w:p>
        </w:tc>
        <w:tc>
          <w:tcPr>
            <w:tcW w:w="2858" w:type="dxa"/>
          </w:tcPr>
          <w:p w14:paraId="7D15D7DD" w14:textId="537829B2" w:rsidR="007F0154" w:rsidRPr="007F0154" w:rsidRDefault="007F0154" w:rsidP="007F0154">
            <w:pPr>
              <w:pStyle w:val="BodyText"/>
              <w:ind w:firstLine="0"/>
              <w:jc w:val="center"/>
              <w:rPr>
                <w:rStyle w:val="TabletextChar"/>
              </w:rPr>
            </w:pPr>
            <w:r w:rsidRPr="007F0154">
              <w:rPr>
                <w:rStyle w:val="TabletextChar"/>
              </w:rPr>
              <w:t>2750</w:t>
            </w:r>
          </w:p>
        </w:tc>
      </w:tr>
    </w:tbl>
    <w:p w14:paraId="3114115E" w14:textId="77777777" w:rsidR="00160F96" w:rsidRDefault="00160F96" w:rsidP="00160F96">
      <w:pPr>
        <w:jc w:val="both"/>
      </w:pPr>
    </w:p>
    <w:p w14:paraId="3E4374C4" w14:textId="76F73B95" w:rsidR="007F0154" w:rsidRPr="00F17B72" w:rsidRDefault="007F0154" w:rsidP="00F17B72">
      <w:pPr>
        <w:jc w:val="both"/>
        <w:rPr>
          <w:sz w:val="20"/>
        </w:rPr>
      </w:pPr>
      <w:r>
        <w:tab/>
      </w:r>
      <w:r w:rsidRPr="00F17B72">
        <w:rPr>
          <w:sz w:val="20"/>
        </w:rPr>
        <w:t xml:space="preserve">Neptunium, which predominantly represented by the single isotope Np-237 </w:t>
      </w:r>
      <w:bookmarkStart w:id="4" w:name="OLE_LINK24"/>
      <w:bookmarkStart w:id="5" w:name="OLE_LINK29"/>
      <w:r w:rsidRPr="00F17B72">
        <w:rPr>
          <w:sz w:val="20"/>
        </w:rPr>
        <w:t>with half-life</w:t>
      </w:r>
      <w:bookmarkEnd w:id="4"/>
      <w:bookmarkEnd w:id="5"/>
      <w:r w:rsidRPr="00F17B72">
        <w:rPr>
          <w:sz w:val="20"/>
        </w:rPr>
        <w:t xml:space="preserve"> T1/2 =2.14*10^6 years is a significant contributor to long-term radiotoxicity due to it is long half-life but it does not contribute to decay heat output. </w:t>
      </w:r>
      <w:r w:rsidR="00F17B72" w:rsidRPr="00F17B72">
        <w:rPr>
          <w:sz w:val="20"/>
        </w:rPr>
        <w:t xml:space="preserve"> </w:t>
      </w:r>
      <w:r w:rsidRPr="00F17B72">
        <w:rPr>
          <w:sz w:val="20"/>
        </w:rPr>
        <w:t xml:space="preserve">Americium consider as prime candidate for transmutation because it is present in relatively large amount and it is a major contribution in gamma activity and </w:t>
      </w:r>
      <w:bookmarkStart w:id="6" w:name="OLE_LINK13"/>
      <w:bookmarkStart w:id="7" w:name="OLE_LINK14"/>
      <w:r w:rsidRPr="00F17B72">
        <w:rPr>
          <w:sz w:val="20"/>
        </w:rPr>
        <w:t>radiotoxicity</w:t>
      </w:r>
      <w:bookmarkEnd w:id="6"/>
      <w:bookmarkEnd w:id="7"/>
      <w:r w:rsidRPr="00F17B72">
        <w:rPr>
          <w:sz w:val="20"/>
        </w:rPr>
        <w:t xml:space="preserve"> especially after about 500 years cooling time and have reasonably large nuclear cross-section. Am considerable being produced in thermal reactors with half-life T1/2 =4.32*10^2 years.</w:t>
      </w:r>
      <w:r w:rsidR="00F17B72" w:rsidRPr="00F17B72">
        <w:rPr>
          <w:sz w:val="20"/>
        </w:rPr>
        <w:t xml:space="preserve"> </w:t>
      </w:r>
      <w:r w:rsidRPr="00F17B72">
        <w:rPr>
          <w:sz w:val="20"/>
        </w:rPr>
        <w:t>Curium Cm is Long-lived isotope produced in considerable amounts in thermal reactors makes a significant contribution to gamma activity and radiotoxicity major contributor to neutron emissions. [12]</w:t>
      </w:r>
    </w:p>
    <w:p w14:paraId="39F689D3" w14:textId="35647806" w:rsidR="007F0154" w:rsidRPr="007F0154" w:rsidRDefault="007F0154" w:rsidP="007F0154">
      <w:pPr>
        <w:pStyle w:val="Heading2"/>
        <w:numPr>
          <w:ilvl w:val="1"/>
          <w:numId w:val="10"/>
        </w:numPr>
      </w:pPr>
      <w:r w:rsidRPr="007F0154">
        <w:t xml:space="preserve">Transmutation in PWR approaches   </w:t>
      </w:r>
    </w:p>
    <w:p w14:paraId="42123FE4" w14:textId="1549182C" w:rsidR="007F0154" w:rsidRPr="007F0154" w:rsidRDefault="007F0154" w:rsidP="007F0154">
      <w:pPr>
        <w:pStyle w:val="Heading3"/>
      </w:pPr>
      <w:r w:rsidRPr="007F0154">
        <w:t>Homogenous</w:t>
      </w:r>
      <w:r w:rsidRPr="007F0154">
        <w:rPr>
          <w:rFonts w:hint="eastAsia"/>
        </w:rPr>
        <w:t xml:space="preserve"> </w:t>
      </w:r>
      <w:r w:rsidRPr="007F0154">
        <w:t xml:space="preserve">Transmutation </w:t>
      </w:r>
    </w:p>
    <w:p w14:paraId="5129D84E" w14:textId="68908D10" w:rsidR="007F0154" w:rsidRPr="007F0154" w:rsidRDefault="007F0154" w:rsidP="00B830F1">
      <w:pPr>
        <w:ind w:firstLine="567"/>
        <w:jc w:val="both"/>
        <w:rPr>
          <w:sz w:val="20"/>
        </w:rPr>
      </w:pPr>
      <w:r w:rsidRPr="007F0154">
        <w:rPr>
          <w:sz w:val="20"/>
        </w:rPr>
        <w:t>Homogenous transmutation fuel technically is simplest option due to fuel assembly mechanical design is unaffected and the fuel material properties only are slightly affected. In this approach minor actinides are incorporating minor as a minority component of the nuclear fuel and subject to the same neutron flux as nuclear fuel. Np-237 is considered particularly well suited for homogenous approach. However, Am and Cm are less suited for this approach.</w:t>
      </w:r>
    </w:p>
    <w:p w14:paraId="7188E577" w14:textId="50658071" w:rsidR="007F0154" w:rsidRPr="007F0154" w:rsidRDefault="007F0154" w:rsidP="00F17B72">
      <w:pPr>
        <w:pStyle w:val="Heading3"/>
        <w:jc w:val="both"/>
      </w:pPr>
      <w:r w:rsidRPr="007F0154">
        <w:t>Heterogeneous</w:t>
      </w:r>
      <w:r w:rsidRPr="007F0154">
        <w:rPr>
          <w:rFonts w:hint="eastAsia"/>
        </w:rPr>
        <w:t xml:space="preserve"> </w:t>
      </w:r>
      <w:r w:rsidRPr="007F0154">
        <w:t xml:space="preserve">Transmutation </w:t>
      </w:r>
    </w:p>
    <w:p w14:paraId="2BD80CBA" w14:textId="542443BD" w:rsidR="007F0154" w:rsidRPr="007F0154" w:rsidRDefault="007F0154" w:rsidP="00B830F1">
      <w:pPr>
        <w:ind w:firstLine="567"/>
        <w:jc w:val="both"/>
        <w:rPr>
          <w:sz w:val="20"/>
        </w:rPr>
      </w:pPr>
      <w:bookmarkStart w:id="8" w:name="OLE_LINK15"/>
      <w:r w:rsidRPr="007F0154">
        <w:rPr>
          <w:sz w:val="20"/>
        </w:rPr>
        <w:t>Heterogeneous</w:t>
      </w:r>
      <w:bookmarkEnd w:id="8"/>
      <w:r w:rsidRPr="007F0154">
        <w:rPr>
          <w:sz w:val="20"/>
        </w:rPr>
        <w:t xml:space="preserve"> approach includes concentrating the minor actinide to be into targeted assemblies, which are distinct from the normal fuel assemblies. Heterogeneous targets complicate the core design because there are different fuel types in the core. It is difficult to fabricate the heterogeneous non-uranium targets and reprocess. [9]</w:t>
      </w:r>
    </w:p>
    <w:p w14:paraId="1A6D1736" w14:textId="3D893187" w:rsidR="007F0154" w:rsidRPr="007F0154" w:rsidRDefault="007F0154" w:rsidP="00F17B72">
      <w:pPr>
        <w:jc w:val="both"/>
        <w:rPr>
          <w:sz w:val="20"/>
        </w:rPr>
      </w:pPr>
      <w:r w:rsidRPr="007F0154">
        <w:rPr>
          <w:sz w:val="20"/>
        </w:rPr>
        <w:t xml:space="preserve">There </w:t>
      </w:r>
      <w:r w:rsidR="00F17B72" w:rsidRPr="007F0154">
        <w:rPr>
          <w:sz w:val="20"/>
        </w:rPr>
        <w:t>are</w:t>
      </w:r>
      <w:r w:rsidRPr="007F0154">
        <w:rPr>
          <w:sz w:val="20"/>
        </w:rPr>
        <w:t xml:space="preserve"> many researches about utilization of soft neutron spectrum to transmute MA. Fast reactors needed to transmute MA because fast neutron cross sections are generally more effective in the splitting processes. Studies also demonstrated that MA transmutation is also achievable in the thermal reactors.</w:t>
      </w:r>
    </w:p>
    <w:p w14:paraId="66202BB6" w14:textId="77777777" w:rsidR="007F0154" w:rsidRPr="007F0154" w:rsidRDefault="007F0154" w:rsidP="00F17B72">
      <w:pPr>
        <w:jc w:val="both"/>
        <w:rPr>
          <w:sz w:val="20"/>
        </w:rPr>
      </w:pPr>
      <w:r w:rsidRPr="007F0154">
        <w:rPr>
          <w:sz w:val="20"/>
        </w:rPr>
        <w:t>In US 2007 studies on preliminary multi-cycle transuranic actinide portioning and transmutation was conducted and it is outcome is thermal reactor light water reactors (LWR) are more efficient in burning Minor actinide (Np-Am-Cm) than Actinide Burner Reactors (ABR). [3]</w:t>
      </w:r>
    </w:p>
    <w:p w14:paraId="7B39CEB0" w14:textId="77777777" w:rsidR="007F0154" w:rsidRPr="007F0154" w:rsidRDefault="007F0154" w:rsidP="00F17B72">
      <w:pPr>
        <w:jc w:val="both"/>
        <w:rPr>
          <w:sz w:val="20"/>
        </w:rPr>
      </w:pPr>
      <w:r w:rsidRPr="007F0154">
        <w:rPr>
          <w:sz w:val="20"/>
        </w:rPr>
        <w:t>C.W. Forsberg, E.D, Collins, J.P. Renier, C.W. Alexander in 2004 studied the ability of thermal reactor to eliminate the need of multiple repositories they burn MA in LWR this recycling increased yucca mountain repository 5 times. [3]</w:t>
      </w:r>
    </w:p>
    <w:p w14:paraId="022DBB19" w14:textId="395D5A7C" w:rsidR="00F17B72" w:rsidRPr="00F17B72" w:rsidRDefault="007F0154" w:rsidP="00F17B72">
      <w:pPr>
        <w:jc w:val="both"/>
      </w:pPr>
      <w:r w:rsidRPr="007F0154">
        <w:rPr>
          <w:sz w:val="20"/>
        </w:rPr>
        <w:t xml:space="preserve">Since minor actinides are fissionable materials in fission threshold in several hundred </w:t>
      </w:r>
      <w:r w:rsidR="00F17B72" w:rsidRPr="007F0154">
        <w:rPr>
          <w:sz w:val="20"/>
        </w:rPr>
        <w:t xml:space="preserve">of </w:t>
      </w:r>
      <w:r w:rsidR="00F17B72">
        <w:rPr>
          <w:sz w:val="20"/>
        </w:rPr>
        <w:t xml:space="preserve">kv </w:t>
      </w:r>
      <w:r w:rsidR="00F17B72" w:rsidRPr="007F0154">
        <w:rPr>
          <w:sz w:val="20"/>
        </w:rPr>
        <w:t>range</w:t>
      </w:r>
      <w:r w:rsidRPr="007F0154">
        <w:rPr>
          <w:sz w:val="20"/>
        </w:rPr>
        <w:t xml:space="preserve"> and their capture cross section rapidly decrease with neutron energy higher than this energy it was proposed to transmute them in </w:t>
      </w:r>
      <w:bookmarkStart w:id="9" w:name="OLE_LINK16"/>
      <w:bookmarkStart w:id="10" w:name="OLE_LINK17"/>
      <w:r w:rsidRPr="007F0154">
        <w:rPr>
          <w:sz w:val="20"/>
        </w:rPr>
        <w:t xml:space="preserve">Actinide Burner Reactor </w:t>
      </w:r>
      <w:bookmarkEnd w:id="9"/>
      <w:bookmarkEnd w:id="10"/>
      <w:r w:rsidRPr="007F0154">
        <w:rPr>
          <w:sz w:val="20"/>
        </w:rPr>
        <w:t>(ABR) but this</w:t>
      </w:r>
      <w:r w:rsidR="00F17B72">
        <w:t xml:space="preserve"> </w:t>
      </w:r>
      <w:r w:rsidR="00F17B72" w:rsidRPr="00F17B72">
        <w:rPr>
          <w:sz w:val="20"/>
        </w:rPr>
        <w:t>adopt maybe not economically feasible. [11]</w:t>
      </w:r>
    </w:p>
    <w:p w14:paraId="213316F5" w14:textId="40AC6219" w:rsidR="00F17B72" w:rsidRPr="00F17B72" w:rsidRDefault="00F17B72" w:rsidP="00F17B72">
      <w:pPr>
        <w:jc w:val="both"/>
        <w:rPr>
          <w:sz w:val="20"/>
        </w:rPr>
      </w:pPr>
      <w:r w:rsidRPr="00F17B72">
        <w:rPr>
          <w:sz w:val="20"/>
        </w:rPr>
        <w:t xml:space="preserve">S. </w:t>
      </w:r>
      <w:proofErr w:type="spellStart"/>
      <w:r w:rsidRPr="00F17B72">
        <w:rPr>
          <w:sz w:val="20"/>
        </w:rPr>
        <w:t>Leray</w:t>
      </w:r>
      <w:proofErr w:type="spellEnd"/>
      <w:r w:rsidRPr="00F17B72">
        <w:rPr>
          <w:sz w:val="20"/>
        </w:rPr>
        <w:t xml:space="preserve"> discussed </w:t>
      </w:r>
      <w:bookmarkStart w:id="11" w:name="OLE_LINK30"/>
      <w:bookmarkStart w:id="12" w:name="OLE_LINK33"/>
      <w:r w:rsidRPr="00F17B72">
        <w:rPr>
          <w:sz w:val="20"/>
        </w:rPr>
        <w:t xml:space="preserve">transmutation of MA by using accelerator driven systems (ADS). </w:t>
      </w:r>
      <w:bookmarkEnd w:id="11"/>
      <w:bookmarkEnd w:id="12"/>
      <w:r w:rsidRPr="00F17B72">
        <w:rPr>
          <w:sz w:val="20"/>
        </w:rPr>
        <w:t>In ADS, in subcritical system driven by the neutrons created by spallation. [13]</w:t>
      </w:r>
      <w:r>
        <w:rPr>
          <w:sz w:val="20"/>
        </w:rPr>
        <w:t xml:space="preserve"> </w:t>
      </w:r>
      <w:r w:rsidRPr="00F17B72">
        <w:rPr>
          <w:sz w:val="20"/>
        </w:rPr>
        <w:t xml:space="preserve">In 2002 Investigation on transmutation of MA in thermal neutron field done by </w:t>
      </w:r>
      <w:proofErr w:type="spellStart"/>
      <w:r w:rsidRPr="00F17B72">
        <w:rPr>
          <w:sz w:val="20"/>
        </w:rPr>
        <w:t>Tomohiko</w:t>
      </w:r>
      <w:proofErr w:type="spellEnd"/>
      <w:r w:rsidRPr="00F17B72">
        <w:rPr>
          <w:sz w:val="20"/>
        </w:rPr>
        <w:t xml:space="preserve"> </w:t>
      </w:r>
      <w:proofErr w:type="spellStart"/>
      <w:r w:rsidRPr="00F17B72">
        <w:rPr>
          <w:sz w:val="20"/>
        </w:rPr>
        <w:t>Iwaskai</w:t>
      </w:r>
      <w:proofErr w:type="spellEnd"/>
      <w:r w:rsidRPr="00F17B72">
        <w:rPr>
          <w:sz w:val="20"/>
        </w:rPr>
        <w:t>. [14]</w:t>
      </w:r>
      <w:r>
        <w:rPr>
          <w:sz w:val="20"/>
        </w:rPr>
        <w:t xml:space="preserve"> </w:t>
      </w:r>
      <w:r w:rsidRPr="00F17B72">
        <w:rPr>
          <w:sz w:val="20"/>
        </w:rPr>
        <w:t xml:space="preserve">In 1994, </w:t>
      </w:r>
      <w:bookmarkStart w:id="13" w:name="OLE_LINK36"/>
      <w:bookmarkStart w:id="14" w:name="OLE_LINK39"/>
      <w:proofErr w:type="spellStart"/>
      <w:r w:rsidRPr="00F17B72">
        <w:rPr>
          <w:sz w:val="20"/>
        </w:rPr>
        <w:t>Salvatores</w:t>
      </w:r>
      <w:bookmarkEnd w:id="13"/>
      <w:bookmarkEnd w:id="14"/>
      <w:proofErr w:type="spellEnd"/>
      <w:r w:rsidRPr="00F17B72">
        <w:rPr>
          <w:sz w:val="20"/>
        </w:rPr>
        <w:t xml:space="preserve"> et. L, Iwasaki and </w:t>
      </w:r>
      <w:bookmarkStart w:id="15" w:name="OLE_LINK43"/>
      <w:proofErr w:type="spellStart"/>
      <w:r w:rsidRPr="00F17B72">
        <w:rPr>
          <w:sz w:val="20"/>
        </w:rPr>
        <w:t>Hirakawa</w:t>
      </w:r>
      <w:proofErr w:type="spellEnd"/>
      <w:r w:rsidRPr="00F17B72">
        <w:rPr>
          <w:sz w:val="20"/>
        </w:rPr>
        <w:t xml:space="preserve"> in 1995 </w:t>
      </w:r>
      <w:bookmarkEnd w:id="15"/>
      <w:r w:rsidRPr="00F17B72">
        <w:rPr>
          <w:sz w:val="20"/>
        </w:rPr>
        <w:t>used soft spectrum to transmute MA in thermal reactors. [15]</w:t>
      </w:r>
      <w:bookmarkStart w:id="16" w:name="OLE_LINK44"/>
      <w:r>
        <w:rPr>
          <w:sz w:val="20"/>
        </w:rPr>
        <w:t xml:space="preserve"> </w:t>
      </w:r>
      <w:proofErr w:type="spellStart"/>
      <w:proofErr w:type="gramStart"/>
      <w:r w:rsidRPr="00F17B72">
        <w:rPr>
          <w:sz w:val="20"/>
        </w:rPr>
        <w:t>M.Szieberth</w:t>
      </w:r>
      <w:proofErr w:type="spellEnd"/>
      <w:proofErr w:type="gramEnd"/>
      <w:r w:rsidRPr="00F17B72">
        <w:rPr>
          <w:sz w:val="20"/>
        </w:rPr>
        <w:t xml:space="preserve">, </w:t>
      </w:r>
      <w:proofErr w:type="spellStart"/>
      <w:r w:rsidRPr="00F17B72">
        <w:rPr>
          <w:sz w:val="20"/>
        </w:rPr>
        <w:t>M.Halasz</w:t>
      </w:r>
      <w:proofErr w:type="spellEnd"/>
      <w:r w:rsidRPr="00F17B72">
        <w:rPr>
          <w:sz w:val="20"/>
        </w:rPr>
        <w:t xml:space="preserve">, T. Reiss, S. </w:t>
      </w:r>
      <w:proofErr w:type="spellStart"/>
      <w:r w:rsidRPr="00F17B72">
        <w:rPr>
          <w:sz w:val="20"/>
        </w:rPr>
        <w:t>Feher</w:t>
      </w:r>
      <w:proofErr w:type="spellEnd"/>
      <w:r w:rsidRPr="00F17B72">
        <w:rPr>
          <w:sz w:val="20"/>
        </w:rPr>
        <w:t xml:space="preserve"> assessed the </w:t>
      </w:r>
      <w:bookmarkStart w:id="17" w:name="OLE_LINK40"/>
      <w:bookmarkStart w:id="18" w:name="OLE_LINK41"/>
      <w:bookmarkStart w:id="19" w:name="OLE_LINK42"/>
      <w:r w:rsidRPr="00F17B72">
        <w:rPr>
          <w:sz w:val="20"/>
        </w:rPr>
        <w:t xml:space="preserve">transmutational capabilities of the 2400 </w:t>
      </w:r>
      <w:proofErr w:type="spellStart"/>
      <w:r w:rsidRPr="00F17B72">
        <w:rPr>
          <w:sz w:val="20"/>
        </w:rPr>
        <w:t>MWth</w:t>
      </w:r>
      <w:proofErr w:type="spellEnd"/>
      <w:r w:rsidRPr="00F17B72">
        <w:rPr>
          <w:sz w:val="20"/>
        </w:rPr>
        <w:t xml:space="preserve"> Gas cooled fast reactor</w:t>
      </w:r>
      <w:bookmarkEnd w:id="16"/>
      <w:r w:rsidRPr="00F17B72">
        <w:rPr>
          <w:sz w:val="20"/>
        </w:rPr>
        <w:t xml:space="preserve"> (GFR) </w:t>
      </w:r>
      <w:bookmarkEnd w:id="17"/>
      <w:bookmarkEnd w:id="18"/>
      <w:bookmarkEnd w:id="19"/>
      <w:r w:rsidRPr="00F17B72">
        <w:rPr>
          <w:sz w:val="20"/>
        </w:rPr>
        <w:t>and consider the homogeneous recycling of minor actinides into the GFR and he got results that MA can be transmuted in GFRA. [16]</w:t>
      </w:r>
    </w:p>
    <w:p w14:paraId="26975F90" w14:textId="2D41DDD4" w:rsidR="00F17B72" w:rsidRPr="00F17B72" w:rsidRDefault="00F17B72" w:rsidP="00F17B72">
      <w:pPr>
        <w:jc w:val="both"/>
        <w:rPr>
          <w:sz w:val="20"/>
        </w:rPr>
      </w:pPr>
      <w:r w:rsidRPr="00F17B72">
        <w:rPr>
          <w:sz w:val="20"/>
        </w:rPr>
        <w:t xml:space="preserve">The irradiation of Thorium Th {Th-232} breeds fewer of the problematic minor actinides (Np, Am, Cm) than the irradiation of U {sup 238}. This characteristic makes thorium an attractive potential matrix for the transmutation of these minor actinide. [17] </w:t>
      </w:r>
      <w:r>
        <w:rPr>
          <w:sz w:val="20"/>
        </w:rPr>
        <w:t>Professor</w:t>
      </w:r>
      <w:r w:rsidRPr="00F17B72">
        <w:rPr>
          <w:sz w:val="20"/>
        </w:rPr>
        <w:t xml:space="preserve"> </w:t>
      </w:r>
      <w:r>
        <w:rPr>
          <w:sz w:val="20"/>
        </w:rPr>
        <w:t>L</w:t>
      </w:r>
      <w:r w:rsidRPr="00F17B72">
        <w:rPr>
          <w:sz w:val="20"/>
        </w:rPr>
        <w:t xml:space="preserve">iu Bin from north china electric power university has studied the transmutation of MA in the high flux reactor. He used </w:t>
      </w:r>
      <w:proofErr w:type="spellStart"/>
      <w:r w:rsidRPr="00F17B72">
        <w:rPr>
          <w:sz w:val="20"/>
        </w:rPr>
        <w:t>mcnp</w:t>
      </w:r>
      <w:proofErr w:type="spellEnd"/>
      <w:r w:rsidRPr="00F17B72">
        <w:rPr>
          <w:sz w:val="20"/>
        </w:rPr>
        <w:t xml:space="preserve"> code to design the high flux reactor. His simulations results that is introduction of MA to the reactor core will highly affect the effective multiplication factor of the reactor core. [18]</w:t>
      </w:r>
      <w:r>
        <w:rPr>
          <w:sz w:val="20"/>
        </w:rPr>
        <w:t xml:space="preserve"> </w:t>
      </w:r>
      <w:r w:rsidRPr="00F17B72">
        <w:rPr>
          <w:sz w:val="20"/>
        </w:rPr>
        <w:t xml:space="preserve">Two researchers from South Carolina University </w:t>
      </w:r>
      <w:bookmarkStart w:id="20" w:name="OLE_LINK51"/>
      <w:bookmarkStart w:id="21" w:name="OLE_LINK52"/>
      <w:r w:rsidRPr="00F17B72">
        <w:rPr>
          <w:sz w:val="20"/>
        </w:rPr>
        <w:t xml:space="preserve">studied the feasibility of transmutation of MA </w:t>
      </w:r>
      <w:r w:rsidRPr="00F17B72">
        <w:rPr>
          <w:sz w:val="20"/>
        </w:rPr>
        <w:lastRenderedPageBreak/>
        <w:t>in LWR by adding the MA to MOX fuel</w:t>
      </w:r>
      <w:bookmarkEnd w:id="20"/>
      <w:bookmarkEnd w:id="21"/>
      <w:r w:rsidRPr="00F17B72">
        <w:rPr>
          <w:sz w:val="20"/>
        </w:rPr>
        <w:t xml:space="preserve"> and they calculated the separation rate the conclusion that the separation rate is nearly 40% for uniform mixing and in heterogeneous can reach 68%. [19]</w:t>
      </w:r>
    </w:p>
    <w:p w14:paraId="1839DB5A" w14:textId="77777777" w:rsidR="00F17B72" w:rsidRPr="00F17B72" w:rsidRDefault="00F17B72" w:rsidP="00F17B72">
      <w:pPr>
        <w:jc w:val="both"/>
        <w:rPr>
          <w:sz w:val="20"/>
        </w:rPr>
      </w:pPr>
      <w:r w:rsidRPr="00F17B72">
        <w:rPr>
          <w:sz w:val="20"/>
        </w:rPr>
        <w:t>Researchers from north china electric power studied the transmutation of MA in the pressurized water reactor in two different manner one is to mix MA with fuel rod homogenously second one is to introduce the MA into uneven distribution their results hat homogeneously addition of MA nuclides to UO2 fuel significantly affects the effective multiplication factor of pressurized water reactor. Even adding 1% of MA nuclides to the nuclear fuel would drastically reduce the effective multiplication factor of the light water reactor. [20]</w:t>
      </w:r>
    </w:p>
    <w:p w14:paraId="7EA0BC78" w14:textId="4205A485" w:rsidR="00F17B72" w:rsidRPr="00F17B72" w:rsidRDefault="00F17B72" w:rsidP="00F17B72">
      <w:pPr>
        <w:jc w:val="both"/>
        <w:rPr>
          <w:sz w:val="20"/>
        </w:rPr>
      </w:pPr>
      <w:r w:rsidRPr="00F17B72">
        <w:rPr>
          <w:sz w:val="20"/>
        </w:rPr>
        <w:t>Liu et al, studied minor actinide transmutation characteristics in the high flux thermal reactors in 2013 and in the pressurized water reactor in 2014, They calculated the multiplication factor Keff after loading the minor actinide materials to PWR core in uniform distribution with fuel their results showed that Keff was changed. [20]</w:t>
      </w:r>
    </w:p>
    <w:p w14:paraId="776B514F" w14:textId="25439368" w:rsidR="00F17B72" w:rsidRDefault="00F17B72" w:rsidP="00F17B72">
      <w:pPr>
        <w:jc w:val="both"/>
        <w:rPr>
          <w:sz w:val="20"/>
        </w:rPr>
      </w:pPr>
      <w:r w:rsidRPr="00F17B72">
        <w:rPr>
          <w:sz w:val="20"/>
        </w:rPr>
        <w:t>Yang et al. suggest transmuting MA and long-lived fission products (LLFP) in the film coating on the fuel rods or annular transmutation. In addition, their approach reduces the self-shielding effects and improve the transmutation rate. [20]</w:t>
      </w:r>
    </w:p>
    <w:p w14:paraId="2C7ABB33" w14:textId="7B6C52C3" w:rsidR="00F17B72" w:rsidRDefault="00F17B72" w:rsidP="00F17B72">
      <w:pPr>
        <w:jc w:val="both"/>
        <w:rPr>
          <w:sz w:val="20"/>
        </w:rPr>
      </w:pPr>
    </w:p>
    <w:p w14:paraId="3AE107D8" w14:textId="77777777" w:rsidR="00F17B72" w:rsidRDefault="00F17B72" w:rsidP="00761382">
      <w:pPr>
        <w:pStyle w:val="Heading2"/>
      </w:pPr>
      <w:r w:rsidRPr="00F17B72">
        <w:t xml:space="preserve">Transmutation of minor actinide Np-237 in AP 1000 PWR reactors </w:t>
      </w:r>
    </w:p>
    <w:p w14:paraId="09884E6D" w14:textId="37566AED" w:rsidR="00F17B72" w:rsidRDefault="00F17B72" w:rsidP="00B830F1">
      <w:pPr>
        <w:ind w:firstLine="567"/>
        <w:jc w:val="both"/>
        <w:rPr>
          <w:sz w:val="20"/>
        </w:rPr>
      </w:pPr>
      <w:r w:rsidRPr="00F17B72">
        <w:rPr>
          <w:sz w:val="20"/>
        </w:rPr>
        <w:t>In this paper, we will study the transmutation of MA in the AP1000 reactor aiming to investigate the effect of loading minor Actinide mainly Np-237 in the criticality of the reactor. We load the MA materials inside the burnable absorber rods in three different approaches. We establish the Ap1000 reactor core using mcnp5 code because mcnp5 has the criticality calculations feature. Our concern is to see the characteristics of MA transmutation when it will be introduced to the core including the reactor core design, the effect to the reactor Keff after loading MA materials to the reactor. [21]</w:t>
      </w:r>
    </w:p>
    <w:p w14:paraId="0950E590" w14:textId="7F836D9F" w:rsidR="00F17B72" w:rsidRDefault="00F17B72" w:rsidP="00F17B72">
      <w:pPr>
        <w:jc w:val="both"/>
        <w:rPr>
          <w:color w:val="3C3C3C"/>
          <w:sz w:val="28"/>
          <w:szCs w:val="28"/>
          <w:shd w:val="clear" w:color="auto" w:fill="FFFFFF"/>
          <w:vertAlign w:val="superscript"/>
        </w:rPr>
      </w:pPr>
    </w:p>
    <w:p w14:paraId="25329948" w14:textId="458745B3" w:rsidR="00F17B72" w:rsidRDefault="00F17B72" w:rsidP="00761382">
      <w:pPr>
        <w:pStyle w:val="Heading3"/>
        <w:numPr>
          <w:ilvl w:val="1"/>
          <w:numId w:val="41"/>
        </w:numPr>
      </w:pPr>
      <w:r w:rsidRPr="00F17B72">
        <w:t xml:space="preserve">PWR AP1000 reactor </w:t>
      </w:r>
    </w:p>
    <w:p w14:paraId="11529A36" w14:textId="4CC21369" w:rsidR="00F17B72" w:rsidRPr="00F17B72" w:rsidRDefault="00F17B72" w:rsidP="00B830F1">
      <w:pPr>
        <w:ind w:firstLine="567"/>
        <w:rPr>
          <w:sz w:val="20"/>
        </w:rPr>
      </w:pPr>
      <w:r w:rsidRPr="00F17B72">
        <w:rPr>
          <w:sz w:val="20"/>
        </w:rPr>
        <w:t>Ap1000 is most advanced pressurized water reactor evolutionary design in the global markets, which introduced by Westinghouse electric company U.S derived from AP600. It is greatly simplified plant with increased margins of operation and of course safety. The safety systems are depending on the passive phenomena and processes only such as gravity and natural circulation which is more reliable than the active processes. Ap1000 met all requirements for advanced light water reactor (ALWR) established by the national regulatory commission (NRC) and electric power research institute (EPRI).</w:t>
      </w:r>
    </w:p>
    <w:p w14:paraId="45C4F76F" w14:textId="68C98927" w:rsidR="00F17B72" w:rsidRDefault="00F17B72" w:rsidP="00F17B72">
      <w:pPr>
        <w:pStyle w:val="BodyText"/>
      </w:pPr>
      <w:r w:rsidRPr="00F17B72">
        <w:t xml:space="preserve">Ap1000 reactor core contains fuel assemblies, structural parts and control elements.  The fuel assemblies have a three different enrichments level, the structural parts functions are to provide mechanical support and directing the coolant when it is passing through the fuel assemblies to extract the generated heat due to the fission process. The fuel pellets, which is the key components in the reactor operation are made of UO2 and their enrichments are 2.35%w/o, </w:t>
      </w:r>
      <w:bookmarkStart w:id="22" w:name="OLE_LINK27"/>
      <w:bookmarkStart w:id="23" w:name="OLE_LINK28"/>
      <w:r w:rsidRPr="00F17B72">
        <w:t>3.5%</w:t>
      </w:r>
      <w:bookmarkEnd w:id="22"/>
      <w:bookmarkEnd w:id="23"/>
      <w:r w:rsidRPr="00F17B72">
        <w:t xml:space="preserve">w/o and </w:t>
      </w:r>
      <w:bookmarkStart w:id="24" w:name="OLE_LINK25"/>
      <w:bookmarkStart w:id="25" w:name="OLE_LINK26"/>
      <w:r w:rsidRPr="00F17B72">
        <w:t>4.45%</w:t>
      </w:r>
      <w:bookmarkEnd w:id="24"/>
      <w:bookmarkEnd w:id="25"/>
      <w:r w:rsidRPr="00F17B72">
        <w:t>w/o, these pellets stacked in a cladding material (Zirlo) to make fuel rod (FR). Fuel rods arranged with bottom nozzles, top nozzles and spacer in a form of typical square array and every fuel assembly has 264 fuel</w:t>
      </w:r>
      <w:r>
        <w:t xml:space="preserve"> </w:t>
      </w:r>
      <w:r w:rsidRPr="00F17B72">
        <w:t>rods, 24 control rods and 1 instrument guide tube. The below table 2 shows of the structural data of AP1000</w:t>
      </w:r>
    </w:p>
    <w:p w14:paraId="169F8DB7" w14:textId="020C5237" w:rsidR="006F7264" w:rsidRDefault="006F7264" w:rsidP="00F17B72">
      <w:pPr>
        <w:pStyle w:val="BodyText"/>
      </w:pPr>
    </w:p>
    <w:p w14:paraId="2DBACC51" w14:textId="5C19C5EC" w:rsidR="006F7264" w:rsidRPr="006F7264" w:rsidRDefault="006F7264" w:rsidP="006F7264">
      <w:pPr>
        <w:pStyle w:val="BodyText"/>
        <w:ind w:firstLine="0"/>
      </w:pPr>
      <w:r w:rsidRPr="006F7264">
        <w:t>T</w:t>
      </w:r>
      <w:r>
        <w:t>ABLE</w:t>
      </w:r>
      <w:r w:rsidRPr="006F7264">
        <w:t>.2</w:t>
      </w:r>
      <w:r>
        <w:t xml:space="preserve"> AP</w:t>
      </w:r>
      <w:r w:rsidRPr="006F7264">
        <w:t xml:space="preserve">1000 </w:t>
      </w:r>
      <w:r>
        <w:t>REACTOR PARAMETERS SPECIFICATIONS</w:t>
      </w:r>
    </w:p>
    <w:p w14:paraId="39CC33D9" w14:textId="69EDD988" w:rsidR="00722C70" w:rsidRDefault="00722C70" w:rsidP="00F17B72">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620"/>
      </w:tblGrid>
      <w:tr w:rsidR="00722C70" w14:paraId="4CACBA58" w14:textId="77777777" w:rsidTr="00390B72">
        <w:trPr>
          <w:trHeight w:val="278"/>
          <w:jc w:val="center"/>
        </w:trPr>
        <w:tc>
          <w:tcPr>
            <w:tcW w:w="3150" w:type="dxa"/>
            <w:tcBorders>
              <w:top w:val="single" w:sz="4" w:space="0" w:color="auto"/>
              <w:bottom w:val="single" w:sz="4" w:space="0" w:color="auto"/>
            </w:tcBorders>
          </w:tcPr>
          <w:p w14:paraId="12F2DAA3" w14:textId="54C62E51" w:rsidR="00722C70" w:rsidRDefault="00390B72" w:rsidP="00722C70">
            <w:pPr>
              <w:pStyle w:val="BodyText"/>
              <w:ind w:firstLine="0"/>
            </w:pPr>
            <w:r>
              <w:t>Parameter</w:t>
            </w:r>
          </w:p>
        </w:tc>
        <w:tc>
          <w:tcPr>
            <w:tcW w:w="1620" w:type="dxa"/>
            <w:tcBorders>
              <w:top w:val="single" w:sz="4" w:space="0" w:color="auto"/>
              <w:bottom w:val="single" w:sz="4" w:space="0" w:color="auto"/>
            </w:tcBorders>
          </w:tcPr>
          <w:p w14:paraId="09BA571D" w14:textId="49F26F21" w:rsidR="00722C70" w:rsidRDefault="00390B72" w:rsidP="00722C70">
            <w:pPr>
              <w:pStyle w:val="BodyText"/>
              <w:ind w:firstLine="0"/>
              <w:jc w:val="center"/>
            </w:pPr>
            <w:r>
              <w:t>Dimension</w:t>
            </w:r>
          </w:p>
        </w:tc>
      </w:tr>
      <w:tr w:rsidR="00390B72" w14:paraId="0678FF32" w14:textId="77777777" w:rsidTr="00390B72">
        <w:trPr>
          <w:trHeight w:val="278"/>
          <w:jc w:val="center"/>
        </w:trPr>
        <w:tc>
          <w:tcPr>
            <w:tcW w:w="4770" w:type="dxa"/>
            <w:gridSpan w:val="2"/>
            <w:tcBorders>
              <w:top w:val="single" w:sz="4" w:space="0" w:color="auto"/>
              <w:bottom w:val="nil"/>
            </w:tcBorders>
          </w:tcPr>
          <w:p w14:paraId="26E05065" w14:textId="628A9844" w:rsidR="00390B72" w:rsidRPr="00722C70" w:rsidRDefault="00390B72" w:rsidP="00722C70">
            <w:pPr>
              <w:pStyle w:val="BodyText"/>
              <w:ind w:firstLine="0"/>
              <w:jc w:val="center"/>
            </w:pPr>
            <w:r>
              <w:t xml:space="preserve"> Fuel Pellets</w:t>
            </w:r>
          </w:p>
        </w:tc>
      </w:tr>
      <w:tr w:rsidR="00390B72" w14:paraId="119F08BA" w14:textId="77777777" w:rsidTr="00390B72">
        <w:trPr>
          <w:trHeight w:val="278"/>
          <w:jc w:val="center"/>
        </w:trPr>
        <w:tc>
          <w:tcPr>
            <w:tcW w:w="3150" w:type="dxa"/>
            <w:tcBorders>
              <w:top w:val="nil"/>
              <w:bottom w:val="nil"/>
            </w:tcBorders>
          </w:tcPr>
          <w:p w14:paraId="05DC2222" w14:textId="51DC00DF" w:rsidR="00390B72" w:rsidRPr="00390B72" w:rsidRDefault="00390B72" w:rsidP="00390B72">
            <w:pPr>
              <w:pStyle w:val="BodyText"/>
              <w:ind w:firstLine="0"/>
              <w:rPr>
                <w:rStyle w:val="TabletextChar"/>
              </w:rPr>
            </w:pPr>
            <w:r w:rsidRPr="00390B72">
              <w:rPr>
                <w:rStyle w:val="TabletextChar"/>
              </w:rPr>
              <w:t>Length</w:t>
            </w:r>
          </w:p>
        </w:tc>
        <w:tc>
          <w:tcPr>
            <w:tcW w:w="1620" w:type="dxa"/>
            <w:tcBorders>
              <w:top w:val="nil"/>
              <w:bottom w:val="nil"/>
            </w:tcBorders>
          </w:tcPr>
          <w:p w14:paraId="6916253A" w14:textId="001A586A" w:rsidR="00390B72" w:rsidRPr="00390B72" w:rsidRDefault="00390B72" w:rsidP="00390B72">
            <w:pPr>
              <w:pStyle w:val="BodyText"/>
              <w:ind w:firstLine="0"/>
              <w:rPr>
                <w:rStyle w:val="TabletextChar"/>
              </w:rPr>
            </w:pPr>
            <w:r w:rsidRPr="00390B72">
              <w:rPr>
                <w:rStyle w:val="TabletextChar"/>
              </w:rPr>
              <w:t>0.98 cm</w:t>
            </w:r>
          </w:p>
        </w:tc>
      </w:tr>
      <w:tr w:rsidR="00722C70" w:rsidRPr="007F0154" w14:paraId="5668AAF9" w14:textId="77777777" w:rsidTr="00390B72">
        <w:trPr>
          <w:trHeight w:val="278"/>
          <w:jc w:val="center"/>
        </w:trPr>
        <w:tc>
          <w:tcPr>
            <w:tcW w:w="3150" w:type="dxa"/>
            <w:tcBorders>
              <w:top w:val="nil"/>
              <w:bottom w:val="nil"/>
            </w:tcBorders>
          </w:tcPr>
          <w:p w14:paraId="19758E66" w14:textId="3ED746B1" w:rsidR="00722C70" w:rsidRPr="00390B72" w:rsidRDefault="00722C70" w:rsidP="00390B72">
            <w:pPr>
              <w:pStyle w:val="BodyText"/>
              <w:ind w:firstLine="0"/>
              <w:rPr>
                <w:rStyle w:val="TabletextChar"/>
              </w:rPr>
            </w:pPr>
            <w:r w:rsidRPr="00390B72">
              <w:rPr>
                <w:rStyle w:val="TabletextChar"/>
              </w:rPr>
              <w:t>Mass of UO2</w:t>
            </w:r>
          </w:p>
        </w:tc>
        <w:tc>
          <w:tcPr>
            <w:tcW w:w="1620" w:type="dxa"/>
            <w:tcBorders>
              <w:top w:val="nil"/>
              <w:bottom w:val="nil"/>
            </w:tcBorders>
          </w:tcPr>
          <w:p w14:paraId="4DE49D05" w14:textId="0AAC21A7" w:rsidR="00722C70" w:rsidRPr="00390B72" w:rsidRDefault="00722C70" w:rsidP="00390B72">
            <w:pPr>
              <w:pStyle w:val="BodyText"/>
              <w:ind w:firstLine="0"/>
              <w:rPr>
                <w:rStyle w:val="TabletextChar"/>
              </w:rPr>
            </w:pPr>
            <w:r w:rsidRPr="00390B72">
              <w:rPr>
                <w:rStyle w:val="TabletextChar"/>
              </w:rPr>
              <w:t>6.54 kg/m</w:t>
            </w:r>
          </w:p>
        </w:tc>
      </w:tr>
      <w:tr w:rsidR="00390B72" w:rsidRPr="007F0154" w14:paraId="2D1D0EFA" w14:textId="77777777" w:rsidTr="00FA38C8">
        <w:trPr>
          <w:trHeight w:val="278"/>
          <w:jc w:val="center"/>
        </w:trPr>
        <w:tc>
          <w:tcPr>
            <w:tcW w:w="4770" w:type="dxa"/>
            <w:gridSpan w:val="2"/>
            <w:tcBorders>
              <w:top w:val="nil"/>
              <w:bottom w:val="nil"/>
            </w:tcBorders>
          </w:tcPr>
          <w:p w14:paraId="28D922E9" w14:textId="53C10967" w:rsidR="00390B72" w:rsidRPr="00390B72" w:rsidRDefault="00390B72" w:rsidP="00390B72">
            <w:pPr>
              <w:pStyle w:val="BodyText"/>
              <w:ind w:firstLine="0"/>
              <w:jc w:val="center"/>
              <w:rPr>
                <w:rStyle w:val="TabletextChar"/>
              </w:rPr>
            </w:pPr>
            <w:r>
              <w:rPr>
                <w:rStyle w:val="TabletextChar"/>
              </w:rPr>
              <w:t xml:space="preserve">Fuel Rods </w:t>
            </w:r>
          </w:p>
        </w:tc>
      </w:tr>
      <w:tr w:rsidR="00722C70" w:rsidRPr="007F0154" w14:paraId="23DA6F64" w14:textId="77777777" w:rsidTr="00390B72">
        <w:trPr>
          <w:trHeight w:val="278"/>
          <w:jc w:val="center"/>
        </w:trPr>
        <w:tc>
          <w:tcPr>
            <w:tcW w:w="3150" w:type="dxa"/>
            <w:tcBorders>
              <w:top w:val="nil"/>
            </w:tcBorders>
          </w:tcPr>
          <w:p w14:paraId="0873EA5A" w14:textId="0167D632" w:rsidR="00722C70" w:rsidRPr="00390B72" w:rsidRDefault="00722C70" w:rsidP="00390B72">
            <w:pPr>
              <w:pStyle w:val="BodyText"/>
              <w:ind w:firstLine="0"/>
              <w:rPr>
                <w:rStyle w:val="TabletextChar"/>
              </w:rPr>
            </w:pPr>
            <w:r w:rsidRPr="00390B72">
              <w:rPr>
                <w:rStyle w:val="TabletextChar"/>
              </w:rPr>
              <w:t>Length</w:t>
            </w:r>
          </w:p>
        </w:tc>
        <w:tc>
          <w:tcPr>
            <w:tcW w:w="1620" w:type="dxa"/>
            <w:tcBorders>
              <w:top w:val="nil"/>
            </w:tcBorders>
          </w:tcPr>
          <w:p w14:paraId="61F234A4" w14:textId="0893BA38" w:rsidR="00722C70" w:rsidRPr="00390B72" w:rsidRDefault="00722C70" w:rsidP="00390B72">
            <w:pPr>
              <w:pStyle w:val="BodyText"/>
              <w:ind w:firstLine="0"/>
              <w:rPr>
                <w:rStyle w:val="TabletextChar"/>
              </w:rPr>
            </w:pPr>
            <w:r w:rsidRPr="00390B72">
              <w:rPr>
                <w:rStyle w:val="TabletextChar"/>
              </w:rPr>
              <w:t>0.98 cm</w:t>
            </w:r>
          </w:p>
        </w:tc>
      </w:tr>
      <w:tr w:rsidR="00722C70" w:rsidRPr="007F0154" w14:paraId="5F7ABBCC" w14:textId="77777777" w:rsidTr="00390B72">
        <w:trPr>
          <w:trHeight w:val="278"/>
          <w:jc w:val="center"/>
        </w:trPr>
        <w:tc>
          <w:tcPr>
            <w:tcW w:w="3150" w:type="dxa"/>
          </w:tcPr>
          <w:p w14:paraId="0DF013D1" w14:textId="2AF3496D" w:rsidR="00722C70" w:rsidRPr="00390B72" w:rsidRDefault="00722C70" w:rsidP="00390B72">
            <w:pPr>
              <w:pStyle w:val="BodyText"/>
              <w:ind w:firstLine="0"/>
              <w:rPr>
                <w:rStyle w:val="TabletextChar"/>
              </w:rPr>
            </w:pPr>
            <w:r w:rsidRPr="00390B72">
              <w:rPr>
                <w:rStyle w:val="TabletextChar"/>
              </w:rPr>
              <w:t>Mass of UO2</w:t>
            </w:r>
          </w:p>
        </w:tc>
        <w:tc>
          <w:tcPr>
            <w:tcW w:w="1620" w:type="dxa"/>
          </w:tcPr>
          <w:p w14:paraId="4E34ED26" w14:textId="26E79F72" w:rsidR="00722C70" w:rsidRPr="00390B72" w:rsidRDefault="00722C70" w:rsidP="00390B72">
            <w:pPr>
              <w:pStyle w:val="BodyText"/>
              <w:ind w:firstLine="0"/>
              <w:rPr>
                <w:rStyle w:val="TabletextChar"/>
              </w:rPr>
            </w:pPr>
            <w:r w:rsidRPr="00390B72">
              <w:rPr>
                <w:rStyle w:val="TabletextChar"/>
              </w:rPr>
              <w:t>6.54 kg/m</w:t>
            </w:r>
          </w:p>
        </w:tc>
      </w:tr>
      <w:tr w:rsidR="00722C70" w:rsidRPr="007F0154" w14:paraId="71E6BC69" w14:textId="77777777" w:rsidTr="00390B72">
        <w:trPr>
          <w:trHeight w:val="278"/>
          <w:jc w:val="center"/>
        </w:trPr>
        <w:tc>
          <w:tcPr>
            <w:tcW w:w="3150" w:type="dxa"/>
          </w:tcPr>
          <w:p w14:paraId="2828B785" w14:textId="26623476" w:rsidR="00722C70" w:rsidRPr="00390B72" w:rsidRDefault="00722C70" w:rsidP="00390B72">
            <w:pPr>
              <w:pStyle w:val="BodyText"/>
              <w:ind w:firstLine="0"/>
              <w:rPr>
                <w:rStyle w:val="TabletextChar"/>
              </w:rPr>
            </w:pPr>
            <w:r w:rsidRPr="00390B72">
              <w:rPr>
                <w:rStyle w:val="TabletextChar"/>
              </w:rPr>
              <w:t>Number</w:t>
            </w:r>
          </w:p>
        </w:tc>
        <w:tc>
          <w:tcPr>
            <w:tcW w:w="1620" w:type="dxa"/>
          </w:tcPr>
          <w:p w14:paraId="3D1536DE" w14:textId="20834BE4" w:rsidR="00722C70" w:rsidRPr="00390B72" w:rsidRDefault="00722C70" w:rsidP="00390B72">
            <w:pPr>
              <w:pStyle w:val="BodyText"/>
              <w:ind w:firstLine="0"/>
              <w:rPr>
                <w:rStyle w:val="TabletextChar"/>
              </w:rPr>
            </w:pPr>
            <w:r w:rsidRPr="00390B72">
              <w:rPr>
                <w:rStyle w:val="TabletextChar"/>
              </w:rPr>
              <w:t>41448</w:t>
            </w:r>
          </w:p>
        </w:tc>
      </w:tr>
      <w:tr w:rsidR="00722C70" w:rsidRPr="007F0154" w14:paraId="57404E06" w14:textId="77777777" w:rsidTr="00390B72">
        <w:trPr>
          <w:trHeight w:val="278"/>
          <w:jc w:val="center"/>
        </w:trPr>
        <w:tc>
          <w:tcPr>
            <w:tcW w:w="3150" w:type="dxa"/>
          </w:tcPr>
          <w:p w14:paraId="06AE21B7" w14:textId="3F42BD58" w:rsidR="00722C70" w:rsidRPr="00390B72" w:rsidRDefault="00722C70" w:rsidP="00390B72">
            <w:pPr>
              <w:pStyle w:val="BodyText"/>
              <w:ind w:firstLine="0"/>
              <w:rPr>
                <w:rStyle w:val="TabletextChar"/>
              </w:rPr>
            </w:pPr>
            <w:r w:rsidRPr="00390B72">
              <w:rPr>
                <w:rStyle w:val="TabletextChar"/>
              </w:rPr>
              <w:t>Gap diameter</w:t>
            </w:r>
          </w:p>
        </w:tc>
        <w:tc>
          <w:tcPr>
            <w:tcW w:w="1620" w:type="dxa"/>
          </w:tcPr>
          <w:p w14:paraId="61500E45" w14:textId="2B9372DE" w:rsidR="00722C70" w:rsidRPr="00390B72" w:rsidRDefault="00722C70" w:rsidP="00390B72">
            <w:pPr>
              <w:pStyle w:val="BodyText"/>
              <w:ind w:firstLine="0"/>
              <w:rPr>
                <w:rStyle w:val="TabletextChar"/>
              </w:rPr>
            </w:pPr>
            <w:r w:rsidRPr="00390B72">
              <w:rPr>
                <w:rStyle w:val="TabletextChar"/>
              </w:rPr>
              <w:t>0.0161 cm</w:t>
            </w:r>
          </w:p>
        </w:tc>
      </w:tr>
      <w:tr w:rsidR="00722C70" w:rsidRPr="007F0154" w14:paraId="4F92CDE6" w14:textId="77777777" w:rsidTr="00390B72">
        <w:trPr>
          <w:trHeight w:val="278"/>
          <w:jc w:val="center"/>
        </w:trPr>
        <w:tc>
          <w:tcPr>
            <w:tcW w:w="3150" w:type="dxa"/>
          </w:tcPr>
          <w:p w14:paraId="4C5DA165" w14:textId="7E66C0E4" w:rsidR="00722C70" w:rsidRPr="00390B72" w:rsidRDefault="00722C70" w:rsidP="00390B72">
            <w:pPr>
              <w:pStyle w:val="BodyText"/>
              <w:ind w:firstLine="0"/>
              <w:rPr>
                <w:rStyle w:val="TabletextChar"/>
              </w:rPr>
            </w:pPr>
            <w:r w:rsidRPr="00390B72">
              <w:rPr>
                <w:rStyle w:val="TabletextChar"/>
              </w:rPr>
              <w:t>Outside diameter</w:t>
            </w:r>
          </w:p>
        </w:tc>
        <w:tc>
          <w:tcPr>
            <w:tcW w:w="1620" w:type="dxa"/>
          </w:tcPr>
          <w:p w14:paraId="3F057629" w14:textId="7D3698C2" w:rsidR="00722C70" w:rsidRPr="00390B72" w:rsidRDefault="00722C70" w:rsidP="00390B72">
            <w:pPr>
              <w:pStyle w:val="BodyText"/>
              <w:ind w:firstLine="0"/>
              <w:rPr>
                <w:rStyle w:val="TabletextChar"/>
              </w:rPr>
            </w:pPr>
            <w:r w:rsidRPr="00390B72">
              <w:rPr>
                <w:rStyle w:val="TabletextChar"/>
              </w:rPr>
              <w:t>0.95 cm</w:t>
            </w:r>
          </w:p>
        </w:tc>
      </w:tr>
      <w:tr w:rsidR="00722C70" w:rsidRPr="007F0154" w14:paraId="271C9F94" w14:textId="77777777" w:rsidTr="00390B72">
        <w:trPr>
          <w:trHeight w:val="278"/>
          <w:jc w:val="center"/>
        </w:trPr>
        <w:tc>
          <w:tcPr>
            <w:tcW w:w="3150" w:type="dxa"/>
          </w:tcPr>
          <w:p w14:paraId="526C6320" w14:textId="73EC0B8C" w:rsidR="00722C70" w:rsidRPr="00390B72" w:rsidRDefault="00722C70" w:rsidP="00390B72">
            <w:pPr>
              <w:pStyle w:val="BodyText"/>
              <w:ind w:firstLine="0"/>
              <w:rPr>
                <w:rStyle w:val="TabletextChar"/>
              </w:rPr>
            </w:pPr>
            <w:r w:rsidRPr="00390B72">
              <w:rPr>
                <w:rStyle w:val="TabletextChar"/>
              </w:rPr>
              <w:t>Cladding thickness</w:t>
            </w:r>
          </w:p>
        </w:tc>
        <w:tc>
          <w:tcPr>
            <w:tcW w:w="1620" w:type="dxa"/>
          </w:tcPr>
          <w:p w14:paraId="23239520" w14:textId="328F3819" w:rsidR="00722C70" w:rsidRPr="00390B72" w:rsidRDefault="00722C70" w:rsidP="00390B72">
            <w:pPr>
              <w:pStyle w:val="BodyText"/>
              <w:ind w:firstLine="0"/>
              <w:rPr>
                <w:rStyle w:val="TabletextChar"/>
              </w:rPr>
            </w:pPr>
            <w:r w:rsidRPr="00390B72">
              <w:rPr>
                <w:rStyle w:val="TabletextChar"/>
              </w:rPr>
              <w:t>0.057 cm</w:t>
            </w:r>
          </w:p>
        </w:tc>
      </w:tr>
      <w:tr w:rsidR="00390B72" w:rsidRPr="007F0154" w14:paraId="3DD01DBD" w14:textId="77777777" w:rsidTr="00390B72">
        <w:trPr>
          <w:trHeight w:val="278"/>
          <w:jc w:val="center"/>
        </w:trPr>
        <w:tc>
          <w:tcPr>
            <w:tcW w:w="4770" w:type="dxa"/>
            <w:gridSpan w:val="2"/>
            <w:tcBorders>
              <w:bottom w:val="nil"/>
            </w:tcBorders>
          </w:tcPr>
          <w:p w14:paraId="73D497CA" w14:textId="1B1AB6C1" w:rsidR="00390B72" w:rsidRPr="00390B72" w:rsidRDefault="00390B72" w:rsidP="00390B72">
            <w:pPr>
              <w:pStyle w:val="BodyText"/>
              <w:ind w:firstLine="0"/>
              <w:jc w:val="center"/>
              <w:rPr>
                <w:rStyle w:val="TabletextChar"/>
              </w:rPr>
            </w:pPr>
            <w:r>
              <w:rPr>
                <w:rStyle w:val="TabletextChar"/>
              </w:rPr>
              <w:lastRenderedPageBreak/>
              <w:t>Fuel Assemblies</w:t>
            </w:r>
          </w:p>
        </w:tc>
      </w:tr>
      <w:tr w:rsidR="00722C70" w:rsidRPr="007F0154" w14:paraId="094F70BC" w14:textId="77777777" w:rsidTr="00390B72">
        <w:trPr>
          <w:trHeight w:val="278"/>
          <w:jc w:val="center"/>
        </w:trPr>
        <w:tc>
          <w:tcPr>
            <w:tcW w:w="3150" w:type="dxa"/>
            <w:tcBorders>
              <w:top w:val="nil"/>
              <w:bottom w:val="nil"/>
            </w:tcBorders>
          </w:tcPr>
          <w:p w14:paraId="0D287AB1" w14:textId="4702E88F" w:rsidR="00722C70" w:rsidRPr="00390B72" w:rsidRDefault="00722C70" w:rsidP="00390B72">
            <w:pPr>
              <w:pStyle w:val="BodyText"/>
              <w:ind w:firstLine="0"/>
              <w:rPr>
                <w:rStyle w:val="TabletextChar"/>
              </w:rPr>
            </w:pPr>
            <w:r w:rsidRPr="00390B72">
              <w:rPr>
                <w:rStyle w:val="TabletextChar"/>
              </w:rPr>
              <w:t>Number</w:t>
            </w:r>
          </w:p>
        </w:tc>
        <w:tc>
          <w:tcPr>
            <w:tcW w:w="1620" w:type="dxa"/>
            <w:tcBorders>
              <w:top w:val="nil"/>
              <w:bottom w:val="nil"/>
            </w:tcBorders>
          </w:tcPr>
          <w:p w14:paraId="64F79657" w14:textId="5E9109E1" w:rsidR="00722C70" w:rsidRPr="00390B72" w:rsidRDefault="00722C70" w:rsidP="00390B72">
            <w:pPr>
              <w:pStyle w:val="BodyText"/>
              <w:ind w:firstLine="0"/>
              <w:rPr>
                <w:rStyle w:val="TabletextChar"/>
              </w:rPr>
            </w:pPr>
            <w:r w:rsidRPr="00390B72">
              <w:rPr>
                <w:rStyle w:val="TabletextChar"/>
              </w:rPr>
              <w:t>157</w:t>
            </w:r>
          </w:p>
        </w:tc>
      </w:tr>
      <w:tr w:rsidR="00722C70" w:rsidRPr="007F0154" w14:paraId="09E852C0" w14:textId="77777777" w:rsidTr="00390B72">
        <w:trPr>
          <w:trHeight w:val="278"/>
          <w:jc w:val="center"/>
        </w:trPr>
        <w:tc>
          <w:tcPr>
            <w:tcW w:w="3150" w:type="dxa"/>
            <w:tcBorders>
              <w:top w:val="nil"/>
              <w:bottom w:val="nil"/>
            </w:tcBorders>
          </w:tcPr>
          <w:p w14:paraId="6E67F157" w14:textId="55A087FF" w:rsidR="00722C70" w:rsidRPr="00390B72" w:rsidRDefault="00722C70" w:rsidP="00390B72">
            <w:pPr>
              <w:pStyle w:val="BodyText"/>
              <w:ind w:firstLine="0"/>
              <w:rPr>
                <w:rStyle w:val="TabletextChar"/>
              </w:rPr>
            </w:pPr>
            <w:r w:rsidRPr="00390B72">
              <w:rPr>
                <w:rStyle w:val="TabletextChar"/>
              </w:rPr>
              <w:t>Rod array</w:t>
            </w:r>
          </w:p>
        </w:tc>
        <w:tc>
          <w:tcPr>
            <w:tcW w:w="1620" w:type="dxa"/>
            <w:tcBorders>
              <w:top w:val="nil"/>
              <w:bottom w:val="nil"/>
            </w:tcBorders>
          </w:tcPr>
          <w:p w14:paraId="24A28580" w14:textId="6F551AB8" w:rsidR="00722C70" w:rsidRPr="00390B72" w:rsidRDefault="00722C70" w:rsidP="00390B72">
            <w:pPr>
              <w:pStyle w:val="BodyText"/>
              <w:ind w:firstLine="0"/>
              <w:rPr>
                <w:rStyle w:val="TabletextChar"/>
              </w:rPr>
            </w:pPr>
            <w:r w:rsidRPr="00390B72">
              <w:rPr>
                <w:rStyle w:val="TabletextChar"/>
              </w:rPr>
              <w:t>17*17</w:t>
            </w:r>
          </w:p>
        </w:tc>
      </w:tr>
      <w:tr w:rsidR="00722C70" w:rsidRPr="007F0154" w14:paraId="180D8EC9" w14:textId="77777777" w:rsidTr="00390B72">
        <w:trPr>
          <w:trHeight w:val="278"/>
          <w:jc w:val="center"/>
        </w:trPr>
        <w:tc>
          <w:tcPr>
            <w:tcW w:w="3150" w:type="dxa"/>
            <w:tcBorders>
              <w:top w:val="nil"/>
              <w:bottom w:val="nil"/>
            </w:tcBorders>
          </w:tcPr>
          <w:p w14:paraId="21FC6075" w14:textId="2EEEFADB" w:rsidR="00722C70" w:rsidRPr="00390B72" w:rsidRDefault="00722C70" w:rsidP="00390B72">
            <w:pPr>
              <w:pStyle w:val="BodyText"/>
              <w:ind w:firstLine="0"/>
              <w:rPr>
                <w:rStyle w:val="TabletextChar"/>
              </w:rPr>
            </w:pPr>
            <w:r w:rsidRPr="00390B72">
              <w:rPr>
                <w:rStyle w:val="TabletextChar"/>
              </w:rPr>
              <w:t>Rod pitch</w:t>
            </w:r>
          </w:p>
        </w:tc>
        <w:tc>
          <w:tcPr>
            <w:tcW w:w="1620" w:type="dxa"/>
            <w:tcBorders>
              <w:top w:val="nil"/>
              <w:bottom w:val="nil"/>
            </w:tcBorders>
          </w:tcPr>
          <w:p w14:paraId="6A0D3740" w14:textId="211A80B2" w:rsidR="00722C70" w:rsidRPr="00390B72" w:rsidRDefault="00722C70" w:rsidP="00390B72">
            <w:pPr>
              <w:pStyle w:val="BodyText"/>
              <w:ind w:firstLine="0"/>
              <w:rPr>
                <w:rStyle w:val="TabletextChar"/>
              </w:rPr>
            </w:pPr>
            <w:r w:rsidRPr="00390B72">
              <w:rPr>
                <w:rStyle w:val="TabletextChar"/>
              </w:rPr>
              <w:t>1.26 cm</w:t>
            </w:r>
          </w:p>
        </w:tc>
      </w:tr>
      <w:tr w:rsidR="00722C70" w:rsidRPr="007F0154" w14:paraId="3CBEEC21" w14:textId="77777777" w:rsidTr="00390B72">
        <w:trPr>
          <w:trHeight w:val="278"/>
          <w:jc w:val="center"/>
        </w:trPr>
        <w:tc>
          <w:tcPr>
            <w:tcW w:w="3150" w:type="dxa"/>
            <w:tcBorders>
              <w:top w:val="nil"/>
              <w:bottom w:val="single" w:sz="4" w:space="0" w:color="auto"/>
            </w:tcBorders>
          </w:tcPr>
          <w:p w14:paraId="6CDC5DEE" w14:textId="10C7FE0A" w:rsidR="00722C70" w:rsidRPr="00390B72" w:rsidRDefault="00722C70" w:rsidP="00390B72">
            <w:pPr>
              <w:pStyle w:val="BodyText"/>
              <w:ind w:firstLine="0"/>
              <w:rPr>
                <w:rStyle w:val="TabletextChar"/>
              </w:rPr>
            </w:pPr>
            <w:r w:rsidRPr="00390B72">
              <w:rPr>
                <w:rStyle w:val="TabletextChar"/>
              </w:rPr>
              <w:t>Overall transverse</w:t>
            </w:r>
          </w:p>
        </w:tc>
        <w:tc>
          <w:tcPr>
            <w:tcW w:w="1620" w:type="dxa"/>
            <w:tcBorders>
              <w:top w:val="nil"/>
              <w:bottom w:val="single" w:sz="4" w:space="0" w:color="auto"/>
            </w:tcBorders>
          </w:tcPr>
          <w:p w14:paraId="5D0C5252" w14:textId="63698326" w:rsidR="00722C70" w:rsidRPr="00390B72" w:rsidRDefault="00722C70" w:rsidP="00390B72">
            <w:pPr>
              <w:pStyle w:val="BodyText"/>
              <w:ind w:firstLine="0"/>
              <w:rPr>
                <w:rStyle w:val="TabletextChar"/>
              </w:rPr>
            </w:pPr>
            <w:r w:rsidRPr="00390B72">
              <w:rPr>
                <w:rStyle w:val="TabletextChar"/>
              </w:rPr>
              <w:t>21.40*21.40 cm</w:t>
            </w:r>
          </w:p>
        </w:tc>
      </w:tr>
    </w:tbl>
    <w:p w14:paraId="64BF1E1B" w14:textId="77777777" w:rsidR="00722C70" w:rsidRPr="00F17B72" w:rsidRDefault="00722C70" w:rsidP="00F17B72">
      <w:pPr>
        <w:pStyle w:val="BodyText"/>
      </w:pPr>
    </w:p>
    <w:p w14:paraId="769CF423" w14:textId="4E04B259" w:rsidR="006F7264" w:rsidRPr="006F7264" w:rsidRDefault="006F7264" w:rsidP="00B830F1">
      <w:pPr>
        <w:ind w:firstLine="567"/>
        <w:rPr>
          <w:sz w:val="20"/>
        </w:rPr>
      </w:pPr>
      <w:r w:rsidRPr="006F7264">
        <w:rPr>
          <w:sz w:val="20"/>
        </w:rPr>
        <w:t xml:space="preserve">The reactor core geometry and fuel assembly’s different configurations explained below. The fuel assemblies have different enrichment levels with different number of control rods, shutdown rods (Black and grey types), instrumentation guide tube, plug cells and burnable poisons rods (BP). Some fuel assemblies have 12BP and some have 24BP in the beginning of cycle (BOC). </w:t>
      </w:r>
    </w:p>
    <w:p w14:paraId="70116252" w14:textId="43C5A76D" w:rsidR="00F17B72" w:rsidRDefault="00F17B72" w:rsidP="00F17B72">
      <w:pPr>
        <w:jc w:val="both"/>
        <w:rPr>
          <w:color w:val="3C3C3C"/>
          <w:sz w:val="28"/>
          <w:szCs w:val="28"/>
          <w:shd w:val="clear" w:color="auto" w:fill="FFFFFF"/>
          <w:vertAlign w:val="superscript"/>
        </w:rPr>
      </w:pPr>
    </w:p>
    <w:p w14:paraId="10B4D798" w14:textId="5309FC8A" w:rsidR="006F7264" w:rsidRDefault="006F7264" w:rsidP="006F7264">
      <w:pPr>
        <w:jc w:val="center"/>
        <w:rPr>
          <w:color w:val="3C3C3C"/>
          <w:sz w:val="28"/>
          <w:szCs w:val="28"/>
          <w:shd w:val="clear" w:color="auto" w:fill="FFFFFF"/>
          <w:vertAlign w:val="superscript"/>
        </w:rPr>
      </w:pPr>
      <w:r>
        <w:rPr>
          <w:noProof/>
          <w:color w:val="3C3C3C"/>
          <w:sz w:val="28"/>
          <w:szCs w:val="28"/>
          <w:shd w:val="clear" w:color="auto" w:fill="FFFFFF"/>
        </w:rPr>
        <w:drawing>
          <wp:inline distT="0" distB="0" distL="0" distR="0" wp14:anchorId="04BF9147" wp14:editId="16D4E9D4">
            <wp:extent cx="2762250" cy="1757795"/>
            <wp:effectExtent l="0" t="0" r="0" b="0"/>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7100" cy="1760881"/>
                    </a:xfrm>
                    <a:prstGeom prst="rect">
                      <a:avLst/>
                    </a:prstGeom>
                    <a:noFill/>
                    <a:ln>
                      <a:noFill/>
                    </a:ln>
                  </pic:spPr>
                </pic:pic>
              </a:graphicData>
            </a:graphic>
          </wp:inline>
        </w:drawing>
      </w:r>
    </w:p>
    <w:p w14:paraId="7EFB70BD" w14:textId="13BE416D" w:rsidR="006F7264" w:rsidRPr="006F7264" w:rsidRDefault="006F7264" w:rsidP="006F7264">
      <w:pPr>
        <w:jc w:val="center"/>
        <w:rPr>
          <w:bCs/>
          <w:i/>
          <w:sz w:val="18"/>
          <w:lang w:val="en-US"/>
        </w:rPr>
      </w:pPr>
      <w:r w:rsidRPr="006F7264">
        <w:rPr>
          <w:bCs/>
          <w:i/>
          <w:sz w:val="18"/>
          <w:lang w:val="en-US"/>
        </w:rPr>
        <w:t>F</w:t>
      </w:r>
      <w:r>
        <w:rPr>
          <w:bCs/>
          <w:i/>
          <w:sz w:val="18"/>
          <w:lang w:val="en-US"/>
        </w:rPr>
        <w:t xml:space="preserve">IG </w:t>
      </w:r>
      <w:r w:rsidRPr="006F7264">
        <w:rPr>
          <w:bCs/>
          <w:i/>
          <w:sz w:val="18"/>
          <w:lang w:val="en-US"/>
        </w:rPr>
        <w:t xml:space="preserve">.1. </w:t>
      </w:r>
      <w:r>
        <w:rPr>
          <w:bCs/>
          <w:i/>
          <w:sz w:val="18"/>
          <w:lang w:val="en-US"/>
        </w:rPr>
        <w:t>T</w:t>
      </w:r>
      <w:r w:rsidRPr="006F7264">
        <w:rPr>
          <w:bCs/>
          <w:i/>
          <w:sz w:val="18"/>
          <w:lang w:val="en-US"/>
        </w:rPr>
        <w:t>he arrangement of reactor core and fuel enrichments</w:t>
      </w:r>
      <w:r w:rsidR="00761382">
        <w:rPr>
          <w:bCs/>
          <w:i/>
          <w:sz w:val="18"/>
          <w:lang w:val="en-US"/>
        </w:rPr>
        <w:t>.</w:t>
      </w:r>
      <w:r w:rsidRPr="006F7264">
        <w:rPr>
          <w:bCs/>
          <w:i/>
          <w:sz w:val="18"/>
          <w:lang w:val="en-US"/>
        </w:rPr>
        <w:t xml:space="preserve"> </w:t>
      </w:r>
    </w:p>
    <w:p w14:paraId="6EEC4807" w14:textId="044AF45B" w:rsidR="006F7264" w:rsidRDefault="006F7264" w:rsidP="006F7264">
      <w:pPr>
        <w:jc w:val="center"/>
        <w:rPr>
          <w:color w:val="3C3C3C"/>
          <w:sz w:val="28"/>
          <w:szCs w:val="28"/>
          <w:shd w:val="clear" w:color="auto" w:fill="FFFFFF"/>
          <w:vertAlign w:val="superscript"/>
          <w:lang w:val="en-US"/>
        </w:rPr>
      </w:pPr>
    </w:p>
    <w:p w14:paraId="4A8D07DF" w14:textId="3451FB1F" w:rsidR="006F7264" w:rsidRDefault="006F7264" w:rsidP="006F7264">
      <w:pPr>
        <w:jc w:val="center"/>
        <w:rPr>
          <w:color w:val="3C3C3C"/>
          <w:sz w:val="28"/>
          <w:szCs w:val="28"/>
          <w:shd w:val="clear" w:color="auto" w:fill="FFFFFF"/>
          <w:vertAlign w:val="superscript"/>
          <w:lang w:val="en-US"/>
        </w:rPr>
      </w:pPr>
      <w:r w:rsidRPr="00F0409F">
        <w:rPr>
          <w:noProof/>
          <w:color w:val="3C3C3C"/>
          <w:sz w:val="28"/>
          <w:szCs w:val="28"/>
          <w:shd w:val="clear" w:color="auto" w:fill="FFFFFF"/>
          <w:lang w:eastAsia="zh-CN"/>
        </w:rPr>
        <w:drawing>
          <wp:inline distT="0" distB="0" distL="0" distR="0" wp14:anchorId="1F73D46C" wp14:editId="5F576169">
            <wp:extent cx="2834342" cy="25812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0208" cy="2586617"/>
                    </a:xfrm>
                    <a:prstGeom prst="rect">
                      <a:avLst/>
                    </a:prstGeom>
                    <a:noFill/>
                    <a:ln>
                      <a:noFill/>
                    </a:ln>
                  </pic:spPr>
                </pic:pic>
              </a:graphicData>
            </a:graphic>
          </wp:inline>
        </w:drawing>
      </w:r>
    </w:p>
    <w:p w14:paraId="481BAEA0" w14:textId="109FCB83" w:rsidR="006F7264" w:rsidRDefault="006F7264" w:rsidP="006F7264">
      <w:pPr>
        <w:jc w:val="center"/>
        <w:rPr>
          <w:color w:val="3C3C3C"/>
          <w:sz w:val="28"/>
          <w:szCs w:val="28"/>
          <w:shd w:val="clear" w:color="auto" w:fill="FFFFFF"/>
          <w:vertAlign w:val="superscript"/>
          <w:lang w:val="en-US"/>
        </w:rPr>
      </w:pPr>
    </w:p>
    <w:p w14:paraId="26A25EB3" w14:textId="04E0AACC" w:rsidR="006F7264" w:rsidRDefault="006F7264" w:rsidP="006F7264">
      <w:pPr>
        <w:jc w:val="center"/>
        <w:rPr>
          <w:bCs/>
          <w:i/>
          <w:sz w:val="18"/>
          <w:lang w:val="en-US"/>
        </w:rPr>
      </w:pPr>
      <w:r w:rsidRPr="006F7264">
        <w:rPr>
          <w:bCs/>
          <w:i/>
          <w:sz w:val="18"/>
          <w:lang w:val="en-US"/>
        </w:rPr>
        <w:t>FIG. 2. BP numbers and positions</w:t>
      </w:r>
      <w:r w:rsidR="00761382">
        <w:rPr>
          <w:bCs/>
          <w:i/>
          <w:sz w:val="18"/>
          <w:lang w:val="en-US"/>
        </w:rPr>
        <w:t>.</w:t>
      </w:r>
    </w:p>
    <w:p w14:paraId="74600BE0" w14:textId="77777777" w:rsidR="00761382" w:rsidRDefault="00761382" w:rsidP="006F7264">
      <w:pPr>
        <w:jc w:val="center"/>
        <w:rPr>
          <w:bCs/>
          <w:i/>
          <w:sz w:val="18"/>
          <w:lang w:val="en-US"/>
        </w:rPr>
      </w:pPr>
    </w:p>
    <w:p w14:paraId="4853B3D1" w14:textId="6B19B157" w:rsidR="00761382" w:rsidRDefault="00761382" w:rsidP="00761382">
      <w:pPr>
        <w:jc w:val="center"/>
        <w:rPr>
          <w:color w:val="3C3C3C"/>
          <w:sz w:val="28"/>
          <w:szCs w:val="28"/>
          <w:shd w:val="clear" w:color="auto" w:fill="FFFFFF"/>
        </w:rPr>
      </w:pPr>
      <w:r>
        <w:rPr>
          <w:noProof/>
          <w:color w:val="3C3C3C"/>
          <w:sz w:val="28"/>
          <w:szCs w:val="28"/>
          <w:shd w:val="clear" w:color="auto" w:fill="FFFFFF"/>
          <w:vertAlign w:val="superscript"/>
        </w:rPr>
        <w:lastRenderedPageBreak/>
        <w:drawing>
          <wp:inline distT="0" distB="0" distL="0" distR="0" wp14:anchorId="4E263EC1" wp14:editId="3C88E72E">
            <wp:extent cx="2933700" cy="1933575"/>
            <wp:effectExtent l="0" t="0" r="0" b="9525"/>
            <wp:docPr id="6" name="Picture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1933575"/>
                    </a:xfrm>
                    <a:prstGeom prst="rect">
                      <a:avLst/>
                    </a:prstGeom>
                    <a:noFill/>
                    <a:ln>
                      <a:noFill/>
                    </a:ln>
                  </pic:spPr>
                </pic:pic>
              </a:graphicData>
            </a:graphic>
          </wp:inline>
        </w:drawing>
      </w:r>
    </w:p>
    <w:p w14:paraId="2942A954" w14:textId="6806A00A" w:rsidR="00761382" w:rsidRPr="00761382" w:rsidRDefault="00761382" w:rsidP="00761382">
      <w:pPr>
        <w:jc w:val="center"/>
        <w:rPr>
          <w:bCs/>
          <w:i/>
          <w:sz w:val="18"/>
          <w:lang w:val="en-US"/>
        </w:rPr>
      </w:pPr>
      <w:r w:rsidRPr="00761382">
        <w:rPr>
          <w:bCs/>
          <w:i/>
          <w:sz w:val="18"/>
          <w:lang w:val="en-US"/>
        </w:rPr>
        <w:t>FIG.</w:t>
      </w:r>
      <w:r>
        <w:rPr>
          <w:bCs/>
          <w:i/>
          <w:sz w:val="18"/>
          <w:lang w:val="en-US"/>
        </w:rPr>
        <w:t xml:space="preserve"> </w:t>
      </w:r>
      <w:r w:rsidRPr="00761382">
        <w:rPr>
          <w:bCs/>
          <w:i/>
          <w:sz w:val="18"/>
          <w:lang w:val="en-US"/>
        </w:rPr>
        <w:t>3. fuel assembly with 24 BP</w:t>
      </w:r>
      <w:r>
        <w:rPr>
          <w:bCs/>
          <w:i/>
          <w:sz w:val="18"/>
          <w:lang w:val="en-US"/>
        </w:rPr>
        <w:t>.</w:t>
      </w:r>
    </w:p>
    <w:p w14:paraId="5D4F0F6B" w14:textId="36013832" w:rsidR="006F7264" w:rsidRDefault="00761382" w:rsidP="006F7264">
      <w:pPr>
        <w:jc w:val="center"/>
        <w:rPr>
          <w:color w:val="3C3C3C"/>
          <w:sz w:val="28"/>
          <w:szCs w:val="28"/>
          <w:shd w:val="clear" w:color="auto" w:fill="FFFFFF"/>
          <w:vertAlign w:val="superscript"/>
          <w:lang w:val="en-US"/>
        </w:rPr>
      </w:pPr>
      <w:r>
        <w:rPr>
          <w:noProof/>
          <w:sz w:val="28"/>
          <w:szCs w:val="28"/>
        </w:rPr>
        <w:drawing>
          <wp:inline distT="0" distB="0" distL="0" distR="0" wp14:anchorId="50F363B9" wp14:editId="5E6F49A0">
            <wp:extent cx="2933700" cy="2038350"/>
            <wp:effectExtent l="0" t="0" r="0" b="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2038350"/>
                    </a:xfrm>
                    <a:prstGeom prst="rect">
                      <a:avLst/>
                    </a:prstGeom>
                    <a:noFill/>
                    <a:ln>
                      <a:noFill/>
                    </a:ln>
                  </pic:spPr>
                </pic:pic>
              </a:graphicData>
            </a:graphic>
          </wp:inline>
        </w:drawing>
      </w:r>
    </w:p>
    <w:p w14:paraId="67D59806" w14:textId="0836116C" w:rsidR="00761382" w:rsidRDefault="00761382" w:rsidP="006F7264">
      <w:pPr>
        <w:jc w:val="center"/>
        <w:rPr>
          <w:color w:val="3C3C3C"/>
          <w:sz w:val="28"/>
          <w:szCs w:val="28"/>
          <w:shd w:val="clear" w:color="auto" w:fill="FFFFFF"/>
          <w:vertAlign w:val="superscript"/>
          <w:lang w:val="en-US"/>
        </w:rPr>
      </w:pPr>
    </w:p>
    <w:p w14:paraId="5146D6EB" w14:textId="4ECD1E0F" w:rsidR="00761382" w:rsidRDefault="00761382" w:rsidP="00761382">
      <w:pPr>
        <w:jc w:val="center"/>
        <w:rPr>
          <w:bCs/>
          <w:i/>
          <w:sz w:val="18"/>
          <w:lang w:val="en-US"/>
        </w:rPr>
      </w:pPr>
      <w:r w:rsidRPr="00761382">
        <w:rPr>
          <w:bCs/>
          <w:i/>
          <w:sz w:val="18"/>
          <w:lang w:val="en-US"/>
        </w:rPr>
        <w:t>FIG.</w:t>
      </w:r>
      <w:r>
        <w:rPr>
          <w:bCs/>
          <w:i/>
          <w:sz w:val="18"/>
          <w:lang w:val="en-US"/>
        </w:rPr>
        <w:t xml:space="preserve"> </w:t>
      </w:r>
      <w:r w:rsidRPr="00761382">
        <w:rPr>
          <w:bCs/>
          <w:i/>
          <w:sz w:val="18"/>
          <w:lang w:val="en-US"/>
        </w:rPr>
        <w:t>4. fuel assembly with 12 BP.</w:t>
      </w:r>
    </w:p>
    <w:p w14:paraId="2E070E93" w14:textId="77777777" w:rsidR="00761382" w:rsidRDefault="00761382" w:rsidP="00761382">
      <w:pPr>
        <w:jc w:val="center"/>
        <w:rPr>
          <w:bCs/>
          <w:i/>
          <w:sz w:val="18"/>
          <w:lang w:val="en-US"/>
        </w:rPr>
      </w:pPr>
    </w:p>
    <w:p w14:paraId="4B09F968" w14:textId="368FF169" w:rsidR="00761382" w:rsidRPr="00761382" w:rsidRDefault="00761382" w:rsidP="00761382">
      <w:pPr>
        <w:pStyle w:val="Heading3"/>
        <w:numPr>
          <w:ilvl w:val="1"/>
          <w:numId w:val="41"/>
        </w:numPr>
      </w:pPr>
      <w:r w:rsidRPr="00761382">
        <w:t xml:space="preserve"> Burnable Poison BP</w:t>
      </w:r>
    </w:p>
    <w:p w14:paraId="58B1EE36" w14:textId="77777777" w:rsidR="00761382" w:rsidRPr="00761382" w:rsidRDefault="00761382" w:rsidP="00B830F1">
      <w:pPr>
        <w:ind w:firstLine="360"/>
        <w:jc w:val="both"/>
        <w:rPr>
          <w:sz w:val="20"/>
        </w:rPr>
      </w:pPr>
      <w:r w:rsidRPr="00761382">
        <w:rPr>
          <w:sz w:val="20"/>
        </w:rPr>
        <w:t>Burnable Poison (BP) or burnable absorber (BA) are materials that have a high neutron absorption cross-section that are converted into materials of relatively low absorption cross section as the result of radiative capture. Therefore, it loaded into the reactor core to control large amounts of excess fuel reactivity. This material has negative moderator temperature coefficient of reactivity. Borosilicate Glass used as a burnable poison in pressurized water reactor. Burnable poison rod is cladded with stainless steel. The configuration of burnable poison rod shown below:</w:t>
      </w:r>
    </w:p>
    <w:p w14:paraId="41544D6C" w14:textId="77777777" w:rsidR="00761382" w:rsidRPr="00761382" w:rsidRDefault="00761382" w:rsidP="00761382">
      <w:pPr>
        <w:jc w:val="center"/>
        <w:rPr>
          <w:bCs/>
          <w:i/>
          <w:sz w:val="18"/>
        </w:rPr>
      </w:pPr>
    </w:p>
    <w:p w14:paraId="1D471DA6" w14:textId="3814E857" w:rsidR="00761382" w:rsidRDefault="00761382" w:rsidP="00761382">
      <w:pPr>
        <w:jc w:val="center"/>
        <w:rPr>
          <w:color w:val="3C3C3C"/>
          <w:sz w:val="28"/>
          <w:szCs w:val="28"/>
          <w:shd w:val="clear" w:color="auto" w:fill="FFFFFF"/>
          <w:vertAlign w:val="superscript"/>
          <w:lang w:val="en-US"/>
        </w:rPr>
      </w:pPr>
      <w:r>
        <w:rPr>
          <w:noProof/>
          <w:color w:val="3C3C3C"/>
          <w:sz w:val="28"/>
          <w:szCs w:val="28"/>
          <w:shd w:val="clear" w:color="auto" w:fill="FFFFFF"/>
        </w:rPr>
        <w:drawing>
          <wp:inline distT="0" distB="0" distL="0" distR="0" wp14:anchorId="18B02B72" wp14:editId="05AC2505">
            <wp:extent cx="2924175" cy="1438275"/>
            <wp:effectExtent l="0" t="0" r="9525" b="9525"/>
            <wp:docPr id="8"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175" cy="1438275"/>
                    </a:xfrm>
                    <a:prstGeom prst="rect">
                      <a:avLst/>
                    </a:prstGeom>
                    <a:noFill/>
                    <a:ln>
                      <a:noFill/>
                    </a:ln>
                  </pic:spPr>
                </pic:pic>
              </a:graphicData>
            </a:graphic>
          </wp:inline>
        </w:drawing>
      </w:r>
    </w:p>
    <w:p w14:paraId="589680DB" w14:textId="77777777" w:rsidR="00761382" w:rsidRPr="00761382" w:rsidRDefault="00761382" w:rsidP="006F7264">
      <w:pPr>
        <w:jc w:val="center"/>
        <w:rPr>
          <w:b/>
          <w:bCs/>
          <w:color w:val="3C3C3C"/>
          <w:sz w:val="28"/>
          <w:szCs w:val="28"/>
          <w:shd w:val="clear" w:color="auto" w:fill="FFFFFF"/>
          <w:vertAlign w:val="superscript"/>
          <w:lang w:val="en-US"/>
        </w:rPr>
      </w:pPr>
    </w:p>
    <w:p w14:paraId="4E31FA91" w14:textId="3C333155" w:rsidR="00F17B72" w:rsidRDefault="00761382" w:rsidP="00761382">
      <w:pPr>
        <w:jc w:val="center"/>
        <w:rPr>
          <w:bCs/>
          <w:i/>
          <w:sz w:val="18"/>
          <w:lang w:val="en-US"/>
        </w:rPr>
      </w:pPr>
      <w:r w:rsidRPr="00761382">
        <w:rPr>
          <w:bCs/>
          <w:i/>
          <w:sz w:val="18"/>
          <w:lang w:val="en-US"/>
        </w:rPr>
        <w:t>F</w:t>
      </w:r>
      <w:r>
        <w:rPr>
          <w:bCs/>
          <w:i/>
          <w:sz w:val="18"/>
          <w:lang w:val="en-US"/>
        </w:rPr>
        <w:t>IG</w:t>
      </w:r>
      <w:r w:rsidRPr="00761382">
        <w:rPr>
          <w:bCs/>
          <w:i/>
          <w:sz w:val="18"/>
          <w:lang w:val="en-US"/>
        </w:rPr>
        <w:t>.</w:t>
      </w:r>
      <w:r>
        <w:rPr>
          <w:bCs/>
          <w:i/>
          <w:sz w:val="18"/>
          <w:lang w:val="en-US"/>
        </w:rPr>
        <w:t xml:space="preserve"> </w:t>
      </w:r>
      <w:r w:rsidRPr="00761382">
        <w:rPr>
          <w:bCs/>
          <w:i/>
          <w:sz w:val="18"/>
          <w:lang w:val="en-US"/>
        </w:rPr>
        <w:t>5. BP cutaway</w:t>
      </w:r>
      <w:r>
        <w:rPr>
          <w:bCs/>
          <w:i/>
          <w:sz w:val="18"/>
          <w:lang w:val="en-US"/>
        </w:rPr>
        <w:t>.</w:t>
      </w:r>
    </w:p>
    <w:p w14:paraId="12F8631F" w14:textId="77777777" w:rsidR="00761382" w:rsidRDefault="00761382" w:rsidP="00761382">
      <w:pPr>
        <w:jc w:val="center"/>
        <w:rPr>
          <w:bCs/>
          <w:i/>
          <w:sz w:val="18"/>
          <w:lang w:val="en-US"/>
        </w:rPr>
      </w:pPr>
    </w:p>
    <w:p w14:paraId="288E6138" w14:textId="6839E45B" w:rsidR="00761382" w:rsidRPr="00761382" w:rsidRDefault="00761382" w:rsidP="00761382">
      <w:pPr>
        <w:pStyle w:val="Heading2"/>
      </w:pPr>
      <w:r w:rsidRPr="00761382">
        <w:t xml:space="preserve">Loading MA materials NpO2 into the core    </w:t>
      </w:r>
    </w:p>
    <w:p w14:paraId="74CC234F" w14:textId="51BE33D2" w:rsidR="00761382" w:rsidRDefault="00761382" w:rsidP="00B830F1">
      <w:pPr>
        <w:ind w:firstLine="567"/>
        <w:jc w:val="both"/>
        <w:rPr>
          <w:sz w:val="20"/>
        </w:rPr>
      </w:pPr>
      <w:r w:rsidRPr="00761382">
        <w:rPr>
          <w:sz w:val="20"/>
        </w:rPr>
        <w:t xml:space="preserve">Based on the in the above parameters and configurations that represented above we used mcnp5 code to simulate the AP1000 core in order to study the transmutation characteristics of MA in the AP1000 such as AP1000 </w:t>
      </w:r>
      <w:r w:rsidRPr="00761382">
        <w:rPr>
          <w:sz w:val="20"/>
        </w:rPr>
        <w:lastRenderedPageBreak/>
        <w:t xml:space="preserve">reactor multiplication factor (Keff) and the loading capacity of MA in the core. We wrote Mcnp5 inputs files for all approaches and simulated. The minor actinide MA introduced as NpO2 and it loaded in three different approaches as figures below shows. First, we performed mcnp5 input file before loading the </w:t>
      </w:r>
      <w:bookmarkStart w:id="26" w:name="OLE_LINK31"/>
      <w:bookmarkStart w:id="27" w:name="OLE_LINK32"/>
      <w:r w:rsidRPr="00761382">
        <w:rPr>
          <w:sz w:val="20"/>
        </w:rPr>
        <w:t>NpO2</w:t>
      </w:r>
      <w:bookmarkEnd w:id="26"/>
      <w:bookmarkEnd w:id="27"/>
      <w:r w:rsidRPr="00761382">
        <w:rPr>
          <w:sz w:val="20"/>
        </w:rPr>
        <w:t xml:space="preserve"> the Keff the result is 1.04375 and the standard deviation is 0.00052.</w:t>
      </w:r>
    </w:p>
    <w:p w14:paraId="32B85A4D" w14:textId="0BA70213" w:rsidR="00761382" w:rsidRPr="00761382" w:rsidRDefault="00761382" w:rsidP="00761382">
      <w:pPr>
        <w:pStyle w:val="Heading3"/>
        <w:numPr>
          <w:ilvl w:val="0"/>
          <w:numId w:val="0"/>
        </w:numPr>
      </w:pPr>
      <w:r w:rsidRPr="00761382">
        <w:t xml:space="preserve">4.1. </w:t>
      </w:r>
      <w:r w:rsidR="00AF51F3">
        <w:t xml:space="preserve"> </w:t>
      </w:r>
      <w:r w:rsidRPr="00761382">
        <w:t>Firstly, Coating a thin layer of minor actinide NpO2 with burnable absorber</w:t>
      </w:r>
    </w:p>
    <w:p w14:paraId="25FC595C" w14:textId="77777777" w:rsidR="00AF51F3" w:rsidRPr="00AF51F3" w:rsidRDefault="00AF51F3" w:rsidP="00B830F1">
      <w:pPr>
        <w:ind w:firstLine="567"/>
        <w:rPr>
          <w:sz w:val="20"/>
        </w:rPr>
      </w:pPr>
      <w:r w:rsidRPr="00AF51F3">
        <w:rPr>
          <w:sz w:val="20"/>
        </w:rPr>
        <w:t>We design Coating a thin layer of NpO2 in the burnable poison region in the BP rods. The coated layer is with different thickness in order to identify the transmutation characteristics. In this approach, just we modified the structure of burnable poison. Figure below shows this approach.</w:t>
      </w:r>
    </w:p>
    <w:p w14:paraId="7202FD87" w14:textId="12B1B39A" w:rsidR="00761382" w:rsidRDefault="00761382" w:rsidP="00761382">
      <w:pPr>
        <w:jc w:val="center"/>
        <w:rPr>
          <w:sz w:val="20"/>
        </w:rPr>
      </w:pPr>
    </w:p>
    <w:p w14:paraId="4643E619" w14:textId="0A033543" w:rsidR="00AF51F3" w:rsidRDefault="00AF51F3" w:rsidP="00761382">
      <w:pPr>
        <w:jc w:val="center"/>
        <w:rPr>
          <w:sz w:val="20"/>
        </w:rPr>
      </w:pPr>
      <w:r>
        <w:rPr>
          <w:noProof/>
          <w:color w:val="3C3C3C"/>
          <w:sz w:val="28"/>
          <w:szCs w:val="28"/>
          <w:shd w:val="clear" w:color="auto" w:fill="FFFFFF"/>
        </w:rPr>
        <w:drawing>
          <wp:inline distT="0" distB="0" distL="0" distR="0" wp14:anchorId="4D5BF580" wp14:editId="3F90D199">
            <wp:extent cx="2924175" cy="1581150"/>
            <wp:effectExtent l="0" t="0" r="9525" b="0"/>
            <wp:docPr id="9" name="Picture 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1581150"/>
                    </a:xfrm>
                    <a:prstGeom prst="rect">
                      <a:avLst/>
                    </a:prstGeom>
                    <a:noFill/>
                    <a:ln>
                      <a:noFill/>
                    </a:ln>
                  </pic:spPr>
                </pic:pic>
              </a:graphicData>
            </a:graphic>
          </wp:inline>
        </w:drawing>
      </w:r>
    </w:p>
    <w:p w14:paraId="381EFE71" w14:textId="23A4397C" w:rsidR="00AF51F3" w:rsidRDefault="00AF51F3" w:rsidP="00761382">
      <w:pPr>
        <w:jc w:val="center"/>
        <w:rPr>
          <w:sz w:val="20"/>
        </w:rPr>
      </w:pPr>
    </w:p>
    <w:p w14:paraId="61FCDA7F" w14:textId="2D8DC0FF" w:rsidR="00AF51F3" w:rsidRDefault="00AF51F3" w:rsidP="00AF51F3">
      <w:pPr>
        <w:jc w:val="center"/>
        <w:rPr>
          <w:bCs/>
          <w:i/>
          <w:sz w:val="18"/>
          <w:lang w:val="en-US"/>
        </w:rPr>
      </w:pPr>
      <w:r w:rsidRPr="00AF51F3">
        <w:rPr>
          <w:bCs/>
          <w:i/>
          <w:sz w:val="18"/>
          <w:lang w:val="en-US"/>
        </w:rPr>
        <w:t>F</w:t>
      </w:r>
      <w:r>
        <w:rPr>
          <w:bCs/>
          <w:i/>
          <w:sz w:val="18"/>
          <w:lang w:val="en-US"/>
        </w:rPr>
        <w:t xml:space="preserve">IG. </w:t>
      </w:r>
      <w:r w:rsidRPr="00AF51F3">
        <w:rPr>
          <w:bCs/>
          <w:i/>
          <w:sz w:val="18"/>
          <w:lang w:val="en-US"/>
        </w:rPr>
        <w:t>6. a thin layer of MA coated in BP region</w:t>
      </w:r>
      <w:r>
        <w:rPr>
          <w:bCs/>
          <w:i/>
          <w:sz w:val="18"/>
          <w:lang w:val="en-US"/>
        </w:rPr>
        <w:t>.</w:t>
      </w:r>
    </w:p>
    <w:p w14:paraId="36D2A7BF" w14:textId="4A7A207B" w:rsidR="00AF51F3" w:rsidRPr="00AF51F3" w:rsidRDefault="00AF51F3" w:rsidP="00AF51F3">
      <w:pPr>
        <w:jc w:val="center"/>
        <w:rPr>
          <w:sz w:val="20"/>
        </w:rPr>
      </w:pPr>
    </w:p>
    <w:p w14:paraId="25C39699" w14:textId="594527B6" w:rsidR="00AF51F3" w:rsidRDefault="00AF51F3" w:rsidP="00B830F1">
      <w:pPr>
        <w:ind w:firstLine="567"/>
        <w:rPr>
          <w:sz w:val="20"/>
        </w:rPr>
      </w:pPr>
      <w:r w:rsidRPr="00AF51F3">
        <w:rPr>
          <w:sz w:val="20"/>
        </w:rPr>
        <w:t xml:space="preserve">The results of applying this approach after performing the input files and simulating all of them using mcnp5 arranged in the next table. </w:t>
      </w:r>
    </w:p>
    <w:p w14:paraId="4D1166C1" w14:textId="2F9FDAB2" w:rsidR="00AF51F3" w:rsidRDefault="00AF51F3" w:rsidP="00AF51F3">
      <w:pPr>
        <w:rPr>
          <w:sz w:val="20"/>
        </w:rPr>
      </w:pPr>
    </w:p>
    <w:p w14:paraId="659A559C" w14:textId="2DC3161E" w:rsidR="00AF51F3" w:rsidRPr="00AF51F3" w:rsidRDefault="00AF51F3" w:rsidP="00AF51F3">
      <w:pPr>
        <w:pStyle w:val="BodyText"/>
        <w:ind w:firstLine="0"/>
      </w:pPr>
      <w:r w:rsidRPr="00AF51F3">
        <w:t>T</w:t>
      </w:r>
      <w:r>
        <w:t xml:space="preserve">ABLE </w:t>
      </w:r>
      <w:r w:rsidRPr="00AF51F3">
        <w:t>3.</w:t>
      </w:r>
      <w:r>
        <w:t xml:space="preserve"> </w:t>
      </w:r>
      <w:r w:rsidRPr="00AF51F3">
        <w:t xml:space="preserve"> </w:t>
      </w:r>
      <w:r>
        <w:t>FIRST APPROACH</w:t>
      </w:r>
      <w:r w:rsidR="00FA3C69">
        <w:t xml:space="preserve"> RESULTS</w:t>
      </w:r>
    </w:p>
    <w:p w14:paraId="3454853A" w14:textId="1AB7BE6B" w:rsidR="00AF51F3" w:rsidRDefault="00AF51F3" w:rsidP="00AF51F3">
      <w:pPr>
        <w:rPr>
          <w:sz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2598"/>
        <w:gridCol w:w="2469"/>
        <w:gridCol w:w="2469"/>
      </w:tblGrid>
      <w:tr w:rsidR="00AF51F3" w14:paraId="7D62D455" w14:textId="0B63759D" w:rsidTr="00AF51F3">
        <w:trPr>
          <w:trHeight w:val="278"/>
          <w:jc w:val="center"/>
        </w:trPr>
        <w:tc>
          <w:tcPr>
            <w:tcW w:w="1491" w:type="dxa"/>
            <w:tcBorders>
              <w:top w:val="single" w:sz="4" w:space="0" w:color="auto"/>
              <w:bottom w:val="single" w:sz="4" w:space="0" w:color="auto"/>
            </w:tcBorders>
          </w:tcPr>
          <w:p w14:paraId="5A4669DC" w14:textId="7F78F1E6" w:rsidR="00AF51F3" w:rsidRDefault="00AF51F3" w:rsidP="00AF51F3">
            <w:pPr>
              <w:pStyle w:val="BodyText"/>
              <w:ind w:firstLine="0"/>
            </w:pPr>
            <w:r w:rsidRPr="00AF51F3">
              <w:t>Thickness</w:t>
            </w:r>
            <w:r w:rsidR="00FA3C69">
              <w:t>(cm)</w:t>
            </w:r>
          </w:p>
        </w:tc>
        <w:tc>
          <w:tcPr>
            <w:tcW w:w="2598" w:type="dxa"/>
            <w:tcBorders>
              <w:top w:val="single" w:sz="4" w:space="0" w:color="auto"/>
              <w:bottom w:val="single" w:sz="4" w:space="0" w:color="auto"/>
            </w:tcBorders>
          </w:tcPr>
          <w:p w14:paraId="5A580273" w14:textId="77C1948C" w:rsidR="00AF51F3" w:rsidRDefault="00AF51F3" w:rsidP="00AF51F3">
            <w:pPr>
              <w:pStyle w:val="BodyText"/>
              <w:ind w:firstLine="0"/>
              <w:jc w:val="center"/>
            </w:pPr>
            <w:r w:rsidRPr="00AF51F3">
              <w:t>Keff</w:t>
            </w:r>
          </w:p>
        </w:tc>
        <w:tc>
          <w:tcPr>
            <w:tcW w:w="2469" w:type="dxa"/>
            <w:tcBorders>
              <w:top w:val="single" w:sz="4" w:space="0" w:color="auto"/>
              <w:bottom w:val="single" w:sz="4" w:space="0" w:color="auto"/>
            </w:tcBorders>
          </w:tcPr>
          <w:p w14:paraId="6D96562F" w14:textId="586CA4C3" w:rsidR="00AF51F3" w:rsidRPr="007F0154" w:rsidRDefault="00AF51F3" w:rsidP="00AF51F3">
            <w:pPr>
              <w:pStyle w:val="BodyText"/>
              <w:ind w:firstLine="0"/>
              <w:jc w:val="center"/>
            </w:pPr>
            <w:r w:rsidRPr="00AF51F3">
              <w:t>SD</w:t>
            </w:r>
          </w:p>
        </w:tc>
        <w:tc>
          <w:tcPr>
            <w:tcW w:w="2469" w:type="dxa"/>
            <w:tcBorders>
              <w:top w:val="single" w:sz="4" w:space="0" w:color="auto"/>
              <w:bottom w:val="single" w:sz="4" w:space="0" w:color="auto"/>
            </w:tcBorders>
          </w:tcPr>
          <w:p w14:paraId="01A3CFF8" w14:textId="5AF9A7E0" w:rsidR="00AF51F3" w:rsidRPr="007F0154" w:rsidRDefault="00AF51F3" w:rsidP="00AF51F3">
            <w:pPr>
              <w:pStyle w:val="BodyText"/>
              <w:ind w:firstLine="0"/>
              <w:jc w:val="center"/>
            </w:pPr>
            <w:r w:rsidRPr="00AF51F3">
              <w:t>Mass(kg)</w:t>
            </w:r>
          </w:p>
        </w:tc>
      </w:tr>
      <w:tr w:rsidR="00AF51F3" w:rsidRPr="007F0154" w14:paraId="52535655" w14:textId="046E1EF6" w:rsidTr="00AF51F3">
        <w:trPr>
          <w:trHeight w:val="278"/>
          <w:jc w:val="center"/>
        </w:trPr>
        <w:tc>
          <w:tcPr>
            <w:tcW w:w="1491" w:type="dxa"/>
            <w:tcBorders>
              <w:top w:val="single" w:sz="4" w:space="0" w:color="auto"/>
            </w:tcBorders>
          </w:tcPr>
          <w:p w14:paraId="5378C9EC" w14:textId="36AA30D1" w:rsidR="00AF51F3" w:rsidRPr="00AF51F3" w:rsidRDefault="00AF51F3" w:rsidP="00AF51F3">
            <w:pPr>
              <w:pStyle w:val="BodyText"/>
              <w:ind w:firstLine="0"/>
            </w:pPr>
            <w:r w:rsidRPr="00AF51F3">
              <w:t>0.0</w:t>
            </w:r>
          </w:p>
        </w:tc>
        <w:tc>
          <w:tcPr>
            <w:tcW w:w="2598" w:type="dxa"/>
            <w:tcBorders>
              <w:top w:val="single" w:sz="4" w:space="0" w:color="auto"/>
            </w:tcBorders>
          </w:tcPr>
          <w:p w14:paraId="5BE7451D" w14:textId="3A1F7FBE" w:rsidR="00AF51F3" w:rsidRPr="00AF51F3" w:rsidRDefault="00AF51F3" w:rsidP="00AF51F3">
            <w:pPr>
              <w:pStyle w:val="BodyText"/>
              <w:ind w:firstLine="0"/>
              <w:jc w:val="center"/>
            </w:pPr>
            <w:r w:rsidRPr="00AF51F3">
              <w:t>1.04375</w:t>
            </w:r>
          </w:p>
        </w:tc>
        <w:tc>
          <w:tcPr>
            <w:tcW w:w="2469" w:type="dxa"/>
            <w:tcBorders>
              <w:top w:val="single" w:sz="4" w:space="0" w:color="auto"/>
            </w:tcBorders>
          </w:tcPr>
          <w:p w14:paraId="1B2795F6" w14:textId="6574703E" w:rsidR="00AF51F3" w:rsidRPr="00AF51F3" w:rsidRDefault="00AF51F3" w:rsidP="00AF51F3">
            <w:pPr>
              <w:pStyle w:val="BodyText"/>
              <w:ind w:firstLine="0"/>
              <w:jc w:val="center"/>
            </w:pPr>
            <w:r w:rsidRPr="00AF51F3">
              <w:t>0.00052</w:t>
            </w:r>
          </w:p>
        </w:tc>
        <w:tc>
          <w:tcPr>
            <w:tcW w:w="2469" w:type="dxa"/>
            <w:tcBorders>
              <w:top w:val="single" w:sz="4" w:space="0" w:color="auto"/>
            </w:tcBorders>
          </w:tcPr>
          <w:p w14:paraId="0FA669E3" w14:textId="3F02DAA8" w:rsidR="00AF51F3" w:rsidRPr="00AF51F3" w:rsidRDefault="00AF51F3" w:rsidP="00AF51F3">
            <w:pPr>
              <w:pStyle w:val="BodyText"/>
              <w:ind w:firstLine="0"/>
              <w:jc w:val="center"/>
            </w:pPr>
            <w:r w:rsidRPr="00AF51F3">
              <w:t>0.0</w:t>
            </w:r>
          </w:p>
        </w:tc>
      </w:tr>
      <w:tr w:rsidR="00AF51F3" w:rsidRPr="007F0154" w14:paraId="48FBCFC6" w14:textId="7E38D002" w:rsidTr="00AF51F3">
        <w:trPr>
          <w:trHeight w:val="278"/>
          <w:jc w:val="center"/>
        </w:trPr>
        <w:tc>
          <w:tcPr>
            <w:tcW w:w="1491" w:type="dxa"/>
          </w:tcPr>
          <w:p w14:paraId="6223CAD3" w14:textId="6B8B3A97" w:rsidR="00AF51F3" w:rsidRPr="00AF51F3" w:rsidRDefault="00AF51F3" w:rsidP="00AF51F3">
            <w:pPr>
              <w:pStyle w:val="BodyText"/>
              <w:ind w:firstLine="0"/>
            </w:pPr>
            <w:r w:rsidRPr="00AF51F3">
              <w:t>0.01</w:t>
            </w:r>
          </w:p>
        </w:tc>
        <w:tc>
          <w:tcPr>
            <w:tcW w:w="2598" w:type="dxa"/>
          </w:tcPr>
          <w:p w14:paraId="1228F997" w14:textId="5753B1B5" w:rsidR="00AF51F3" w:rsidRPr="00AF51F3" w:rsidRDefault="00AF51F3" w:rsidP="00AF51F3">
            <w:pPr>
              <w:pStyle w:val="BodyText"/>
              <w:ind w:firstLine="0"/>
              <w:jc w:val="center"/>
            </w:pPr>
            <w:r w:rsidRPr="00AF51F3">
              <w:t>1.0367</w:t>
            </w:r>
          </w:p>
        </w:tc>
        <w:tc>
          <w:tcPr>
            <w:tcW w:w="2469" w:type="dxa"/>
          </w:tcPr>
          <w:p w14:paraId="0D5020E5" w14:textId="40D55A86" w:rsidR="00AF51F3" w:rsidRPr="00AF51F3" w:rsidRDefault="00AF51F3" w:rsidP="00AF51F3">
            <w:pPr>
              <w:pStyle w:val="BodyText"/>
              <w:ind w:firstLine="0"/>
              <w:jc w:val="center"/>
            </w:pPr>
            <w:r w:rsidRPr="00AF51F3">
              <w:t>0.00053</w:t>
            </w:r>
          </w:p>
        </w:tc>
        <w:tc>
          <w:tcPr>
            <w:tcW w:w="2469" w:type="dxa"/>
          </w:tcPr>
          <w:p w14:paraId="6490D38B" w14:textId="53FEA47D" w:rsidR="00AF51F3" w:rsidRPr="00AF51F3" w:rsidRDefault="00AF51F3" w:rsidP="00AF51F3">
            <w:pPr>
              <w:pStyle w:val="BodyText"/>
              <w:ind w:firstLine="0"/>
              <w:jc w:val="center"/>
            </w:pPr>
            <w:r w:rsidRPr="00AF51F3">
              <w:t>196.367</w:t>
            </w:r>
          </w:p>
        </w:tc>
      </w:tr>
      <w:tr w:rsidR="00AF51F3" w:rsidRPr="007F0154" w14:paraId="011483C7" w14:textId="2310606D" w:rsidTr="00AF51F3">
        <w:trPr>
          <w:trHeight w:val="278"/>
          <w:jc w:val="center"/>
        </w:trPr>
        <w:tc>
          <w:tcPr>
            <w:tcW w:w="1491" w:type="dxa"/>
          </w:tcPr>
          <w:p w14:paraId="7F5EC86D" w14:textId="6AF93922" w:rsidR="00AF51F3" w:rsidRPr="00AF51F3" w:rsidRDefault="00AF51F3" w:rsidP="00AF51F3">
            <w:pPr>
              <w:pStyle w:val="BodyText"/>
              <w:ind w:firstLine="0"/>
            </w:pPr>
            <w:r w:rsidRPr="00AF51F3">
              <w:t>0.02</w:t>
            </w:r>
          </w:p>
        </w:tc>
        <w:tc>
          <w:tcPr>
            <w:tcW w:w="2598" w:type="dxa"/>
          </w:tcPr>
          <w:p w14:paraId="723BF435" w14:textId="7611B280" w:rsidR="00AF51F3" w:rsidRPr="00AF51F3" w:rsidRDefault="00AF51F3" w:rsidP="00AF51F3">
            <w:pPr>
              <w:pStyle w:val="BodyText"/>
              <w:ind w:firstLine="0"/>
              <w:jc w:val="center"/>
            </w:pPr>
            <w:r w:rsidRPr="00AF51F3">
              <w:t>1.02684</w:t>
            </w:r>
          </w:p>
        </w:tc>
        <w:tc>
          <w:tcPr>
            <w:tcW w:w="2469" w:type="dxa"/>
          </w:tcPr>
          <w:p w14:paraId="71F45EF0" w14:textId="1FF9E119" w:rsidR="00AF51F3" w:rsidRPr="00AF51F3" w:rsidRDefault="00AF51F3" w:rsidP="00AF51F3">
            <w:pPr>
              <w:pStyle w:val="BodyText"/>
              <w:ind w:firstLine="0"/>
              <w:jc w:val="center"/>
            </w:pPr>
            <w:r w:rsidRPr="00AF51F3">
              <w:t>0.00050</w:t>
            </w:r>
          </w:p>
        </w:tc>
        <w:tc>
          <w:tcPr>
            <w:tcW w:w="2469" w:type="dxa"/>
          </w:tcPr>
          <w:p w14:paraId="465002C6" w14:textId="503D34A7" w:rsidR="00AF51F3" w:rsidRPr="00AF51F3" w:rsidRDefault="00AF51F3" w:rsidP="00AF51F3">
            <w:pPr>
              <w:pStyle w:val="BodyText"/>
              <w:ind w:firstLine="0"/>
              <w:jc w:val="center"/>
            </w:pPr>
            <w:r w:rsidRPr="00AF51F3">
              <w:t>386.7082</w:t>
            </w:r>
          </w:p>
        </w:tc>
      </w:tr>
      <w:tr w:rsidR="00AF51F3" w:rsidRPr="007F0154" w14:paraId="581FB0DB" w14:textId="77777777" w:rsidTr="00AF51F3">
        <w:trPr>
          <w:trHeight w:val="278"/>
          <w:jc w:val="center"/>
        </w:trPr>
        <w:tc>
          <w:tcPr>
            <w:tcW w:w="1491" w:type="dxa"/>
          </w:tcPr>
          <w:p w14:paraId="4D5D6C9A" w14:textId="5719C9D3" w:rsidR="00AF51F3" w:rsidRPr="00AF51F3" w:rsidRDefault="00AF51F3" w:rsidP="00AF51F3">
            <w:pPr>
              <w:pStyle w:val="BodyText"/>
              <w:ind w:firstLine="0"/>
            </w:pPr>
            <w:r w:rsidRPr="00AF51F3">
              <w:t>0.03</w:t>
            </w:r>
          </w:p>
        </w:tc>
        <w:tc>
          <w:tcPr>
            <w:tcW w:w="2598" w:type="dxa"/>
          </w:tcPr>
          <w:p w14:paraId="141C2285" w14:textId="136097B8" w:rsidR="00AF51F3" w:rsidRPr="00AF51F3" w:rsidRDefault="00AF51F3" w:rsidP="00AF51F3">
            <w:pPr>
              <w:pStyle w:val="BodyText"/>
              <w:ind w:firstLine="0"/>
              <w:jc w:val="center"/>
            </w:pPr>
            <w:r w:rsidRPr="00AF51F3">
              <w:t>1.02246</w:t>
            </w:r>
          </w:p>
        </w:tc>
        <w:tc>
          <w:tcPr>
            <w:tcW w:w="2469" w:type="dxa"/>
          </w:tcPr>
          <w:p w14:paraId="1665023D" w14:textId="7BA92F2E" w:rsidR="00AF51F3" w:rsidRPr="00AF51F3" w:rsidRDefault="00AF51F3" w:rsidP="00AF51F3">
            <w:pPr>
              <w:pStyle w:val="BodyText"/>
              <w:ind w:firstLine="0"/>
              <w:jc w:val="center"/>
            </w:pPr>
            <w:r w:rsidRPr="00AF51F3">
              <w:t>0.00049</w:t>
            </w:r>
          </w:p>
        </w:tc>
        <w:tc>
          <w:tcPr>
            <w:tcW w:w="2469" w:type="dxa"/>
          </w:tcPr>
          <w:p w14:paraId="3C13A14C" w14:textId="2483E08A" w:rsidR="00AF51F3" w:rsidRPr="00AF51F3" w:rsidRDefault="00AF51F3" w:rsidP="00AF51F3">
            <w:pPr>
              <w:pStyle w:val="BodyText"/>
              <w:ind w:firstLine="0"/>
              <w:jc w:val="center"/>
            </w:pPr>
            <w:r w:rsidRPr="00AF51F3">
              <w:t>573.021</w:t>
            </w:r>
          </w:p>
        </w:tc>
      </w:tr>
      <w:tr w:rsidR="00AF51F3" w:rsidRPr="007F0154" w14:paraId="00E1D3DF" w14:textId="77777777" w:rsidTr="00AF51F3">
        <w:trPr>
          <w:trHeight w:val="278"/>
          <w:jc w:val="center"/>
        </w:trPr>
        <w:tc>
          <w:tcPr>
            <w:tcW w:w="1491" w:type="dxa"/>
          </w:tcPr>
          <w:p w14:paraId="79B09171" w14:textId="7249C61A" w:rsidR="00AF51F3" w:rsidRPr="00AF51F3" w:rsidRDefault="00AF51F3" w:rsidP="00AF51F3">
            <w:pPr>
              <w:pStyle w:val="BodyText"/>
              <w:ind w:firstLine="0"/>
            </w:pPr>
            <w:r w:rsidRPr="00AF51F3">
              <w:t>0.04</w:t>
            </w:r>
          </w:p>
        </w:tc>
        <w:tc>
          <w:tcPr>
            <w:tcW w:w="2598" w:type="dxa"/>
          </w:tcPr>
          <w:p w14:paraId="05C899B6" w14:textId="1341C796" w:rsidR="00AF51F3" w:rsidRPr="00AF51F3" w:rsidRDefault="00AF51F3" w:rsidP="00AF51F3">
            <w:pPr>
              <w:pStyle w:val="BodyText"/>
              <w:ind w:firstLine="0"/>
              <w:jc w:val="center"/>
            </w:pPr>
            <w:r w:rsidRPr="00AF51F3">
              <w:t>1.01785</w:t>
            </w:r>
          </w:p>
        </w:tc>
        <w:tc>
          <w:tcPr>
            <w:tcW w:w="2469" w:type="dxa"/>
          </w:tcPr>
          <w:p w14:paraId="7BBD7FC1" w14:textId="5D928DF2" w:rsidR="00AF51F3" w:rsidRPr="00AF51F3" w:rsidRDefault="00AF51F3" w:rsidP="00AF51F3">
            <w:pPr>
              <w:pStyle w:val="BodyText"/>
              <w:ind w:firstLine="0"/>
              <w:jc w:val="center"/>
            </w:pPr>
            <w:r w:rsidRPr="00AF51F3">
              <w:t>0.00048</w:t>
            </w:r>
          </w:p>
        </w:tc>
        <w:tc>
          <w:tcPr>
            <w:tcW w:w="2469" w:type="dxa"/>
          </w:tcPr>
          <w:p w14:paraId="2FDB0880" w14:textId="5A5C6F8E" w:rsidR="00AF51F3" w:rsidRPr="00AF51F3" w:rsidRDefault="00AF51F3" w:rsidP="00AF51F3">
            <w:pPr>
              <w:pStyle w:val="BodyText"/>
              <w:ind w:firstLine="0"/>
              <w:jc w:val="center"/>
            </w:pPr>
            <w:r w:rsidRPr="00AF51F3">
              <w:t>754.8559</w:t>
            </w:r>
          </w:p>
        </w:tc>
      </w:tr>
      <w:tr w:rsidR="00AF51F3" w:rsidRPr="007F0154" w14:paraId="026E2A72" w14:textId="77777777" w:rsidTr="00AF51F3">
        <w:trPr>
          <w:trHeight w:val="278"/>
          <w:jc w:val="center"/>
        </w:trPr>
        <w:tc>
          <w:tcPr>
            <w:tcW w:w="1491" w:type="dxa"/>
          </w:tcPr>
          <w:p w14:paraId="5A002627" w14:textId="273070FB" w:rsidR="00AF51F3" w:rsidRPr="00AF51F3" w:rsidRDefault="00AF51F3" w:rsidP="00AF51F3">
            <w:pPr>
              <w:pStyle w:val="BodyText"/>
              <w:ind w:firstLine="0"/>
            </w:pPr>
            <w:r w:rsidRPr="00AF51F3">
              <w:t>0.05</w:t>
            </w:r>
          </w:p>
        </w:tc>
        <w:tc>
          <w:tcPr>
            <w:tcW w:w="2598" w:type="dxa"/>
          </w:tcPr>
          <w:p w14:paraId="52C4857A" w14:textId="086B1139" w:rsidR="00AF51F3" w:rsidRPr="00AF51F3" w:rsidRDefault="00AF51F3" w:rsidP="00AF51F3">
            <w:pPr>
              <w:pStyle w:val="BodyText"/>
              <w:ind w:firstLine="0"/>
              <w:jc w:val="center"/>
            </w:pPr>
            <w:r w:rsidRPr="00AF51F3">
              <w:t>1.01295</w:t>
            </w:r>
          </w:p>
        </w:tc>
        <w:tc>
          <w:tcPr>
            <w:tcW w:w="2469" w:type="dxa"/>
          </w:tcPr>
          <w:p w14:paraId="584174F5" w14:textId="0E80687D" w:rsidR="00AF51F3" w:rsidRPr="00AF51F3" w:rsidRDefault="00AF51F3" w:rsidP="00AF51F3">
            <w:pPr>
              <w:pStyle w:val="BodyText"/>
              <w:ind w:firstLine="0"/>
              <w:jc w:val="center"/>
            </w:pPr>
            <w:r w:rsidRPr="00AF51F3">
              <w:t>0.00054</w:t>
            </w:r>
          </w:p>
        </w:tc>
        <w:tc>
          <w:tcPr>
            <w:tcW w:w="2469" w:type="dxa"/>
          </w:tcPr>
          <w:p w14:paraId="6230BA76" w14:textId="6F354066" w:rsidR="00AF51F3" w:rsidRPr="00AF51F3" w:rsidRDefault="00AF51F3" w:rsidP="00AF51F3">
            <w:pPr>
              <w:pStyle w:val="BodyText"/>
              <w:ind w:firstLine="0"/>
              <w:jc w:val="center"/>
            </w:pPr>
            <w:r w:rsidRPr="00AF51F3">
              <w:t>931.9695</w:t>
            </w:r>
          </w:p>
        </w:tc>
      </w:tr>
      <w:tr w:rsidR="00AF51F3" w:rsidRPr="007F0154" w14:paraId="04DA4538" w14:textId="77777777" w:rsidTr="00AF51F3">
        <w:trPr>
          <w:trHeight w:val="278"/>
          <w:jc w:val="center"/>
        </w:trPr>
        <w:tc>
          <w:tcPr>
            <w:tcW w:w="1491" w:type="dxa"/>
          </w:tcPr>
          <w:p w14:paraId="3744593B" w14:textId="68F483B6" w:rsidR="00AF51F3" w:rsidRPr="00AF51F3" w:rsidRDefault="00AF51F3" w:rsidP="00AF51F3">
            <w:pPr>
              <w:pStyle w:val="BodyText"/>
              <w:ind w:firstLine="0"/>
            </w:pPr>
            <w:r w:rsidRPr="00AF51F3">
              <w:t>0.06</w:t>
            </w:r>
          </w:p>
        </w:tc>
        <w:tc>
          <w:tcPr>
            <w:tcW w:w="2598" w:type="dxa"/>
          </w:tcPr>
          <w:p w14:paraId="541FEC7F" w14:textId="076DC44C" w:rsidR="00AF51F3" w:rsidRPr="00AF51F3" w:rsidRDefault="00AF51F3" w:rsidP="00AF51F3">
            <w:pPr>
              <w:pStyle w:val="BodyText"/>
              <w:ind w:firstLine="0"/>
              <w:jc w:val="center"/>
            </w:pPr>
            <w:r w:rsidRPr="00AF51F3">
              <w:t>1.00917</w:t>
            </w:r>
          </w:p>
        </w:tc>
        <w:tc>
          <w:tcPr>
            <w:tcW w:w="2469" w:type="dxa"/>
          </w:tcPr>
          <w:p w14:paraId="67C0A996" w14:textId="19104FA9" w:rsidR="00AF51F3" w:rsidRPr="00AF51F3" w:rsidRDefault="00AF51F3" w:rsidP="00AF51F3">
            <w:pPr>
              <w:pStyle w:val="BodyText"/>
              <w:ind w:firstLine="0"/>
              <w:jc w:val="center"/>
            </w:pPr>
            <w:r w:rsidRPr="00AF51F3">
              <w:t>0.00047</w:t>
            </w:r>
          </w:p>
        </w:tc>
        <w:tc>
          <w:tcPr>
            <w:tcW w:w="2469" w:type="dxa"/>
          </w:tcPr>
          <w:p w14:paraId="6536DD72" w14:textId="21CCB4C7" w:rsidR="00AF51F3" w:rsidRPr="00AF51F3" w:rsidRDefault="00AF51F3" w:rsidP="00AF51F3">
            <w:pPr>
              <w:pStyle w:val="BodyText"/>
              <w:ind w:firstLine="0"/>
              <w:jc w:val="center"/>
            </w:pPr>
            <w:r w:rsidRPr="00AF51F3">
              <w:t>1104.443</w:t>
            </w:r>
          </w:p>
        </w:tc>
      </w:tr>
      <w:tr w:rsidR="00AF51F3" w:rsidRPr="007F0154" w14:paraId="6E2692A8" w14:textId="77777777" w:rsidTr="00AF51F3">
        <w:trPr>
          <w:trHeight w:val="278"/>
          <w:jc w:val="center"/>
        </w:trPr>
        <w:tc>
          <w:tcPr>
            <w:tcW w:w="1491" w:type="dxa"/>
          </w:tcPr>
          <w:p w14:paraId="46FAFBFF" w14:textId="453FFA7A" w:rsidR="00AF51F3" w:rsidRPr="00AF51F3" w:rsidRDefault="00AF51F3" w:rsidP="00AF51F3">
            <w:pPr>
              <w:pStyle w:val="BodyText"/>
              <w:ind w:firstLine="0"/>
            </w:pPr>
            <w:r w:rsidRPr="00AF51F3">
              <w:t>0.07</w:t>
            </w:r>
          </w:p>
        </w:tc>
        <w:tc>
          <w:tcPr>
            <w:tcW w:w="2598" w:type="dxa"/>
          </w:tcPr>
          <w:p w14:paraId="25A23151" w14:textId="4278FF66" w:rsidR="00AF51F3" w:rsidRPr="00AF51F3" w:rsidRDefault="00AF51F3" w:rsidP="00AF51F3">
            <w:pPr>
              <w:pStyle w:val="BodyText"/>
              <w:ind w:firstLine="0"/>
              <w:jc w:val="center"/>
            </w:pPr>
            <w:r w:rsidRPr="00AF51F3">
              <w:t>1.00732</w:t>
            </w:r>
          </w:p>
        </w:tc>
        <w:tc>
          <w:tcPr>
            <w:tcW w:w="2469" w:type="dxa"/>
          </w:tcPr>
          <w:p w14:paraId="5A4AB56F" w14:textId="36EAC72B" w:rsidR="00AF51F3" w:rsidRPr="00AF51F3" w:rsidRDefault="00AF51F3" w:rsidP="00AF51F3">
            <w:pPr>
              <w:pStyle w:val="BodyText"/>
              <w:ind w:firstLine="0"/>
              <w:jc w:val="center"/>
            </w:pPr>
            <w:r w:rsidRPr="00AF51F3">
              <w:t>0.00049</w:t>
            </w:r>
          </w:p>
        </w:tc>
        <w:tc>
          <w:tcPr>
            <w:tcW w:w="2469" w:type="dxa"/>
          </w:tcPr>
          <w:p w14:paraId="7F1F4853" w14:textId="67E791AA" w:rsidR="00AF51F3" w:rsidRPr="00AF51F3" w:rsidRDefault="00AF51F3" w:rsidP="00AF51F3">
            <w:pPr>
              <w:pStyle w:val="BodyText"/>
              <w:ind w:firstLine="0"/>
              <w:jc w:val="center"/>
            </w:pPr>
            <w:r w:rsidRPr="00AF51F3">
              <w:t>1272.276</w:t>
            </w:r>
          </w:p>
        </w:tc>
      </w:tr>
      <w:tr w:rsidR="00AF51F3" w:rsidRPr="007F0154" w14:paraId="39627738" w14:textId="77777777" w:rsidTr="00AF51F3">
        <w:trPr>
          <w:trHeight w:val="278"/>
          <w:jc w:val="center"/>
        </w:trPr>
        <w:tc>
          <w:tcPr>
            <w:tcW w:w="1491" w:type="dxa"/>
          </w:tcPr>
          <w:p w14:paraId="63652002" w14:textId="39CC06D1" w:rsidR="00AF51F3" w:rsidRPr="00AF51F3" w:rsidRDefault="00AF51F3" w:rsidP="00AF51F3">
            <w:pPr>
              <w:pStyle w:val="BodyText"/>
              <w:ind w:firstLine="0"/>
            </w:pPr>
            <w:r w:rsidRPr="00AF51F3">
              <w:t>0.08</w:t>
            </w:r>
          </w:p>
        </w:tc>
        <w:tc>
          <w:tcPr>
            <w:tcW w:w="2598" w:type="dxa"/>
          </w:tcPr>
          <w:p w14:paraId="3989C78A" w14:textId="632E5485" w:rsidR="00AF51F3" w:rsidRPr="00AF51F3" w:rsidRDefault="00AF51F3" w:rsidP="00AF51F3">
            <w:pPr>
              <w:pStyle w:val="BodyText"/>
              <w:ind w:firstLine="0"/>
              <w:jc w:val="center"/>
            </w:pPr>
            <w:r w:rsidRPr="00AF51F3">
              <w:t>1.0034</w:t>
            </w:r>
          </w:p>
        </w:tc>
        <w:tc>
          <w:tcPr>
            <w:tcW w:w="2469" w:type="dxa"/>
          </w:tcPr>
          <w:p w14:paraId="75B8D8AA" w14:textId="036D4EEF" w:rsidR="00AF51F3" w:rsidRPr="00AF51F3" w:rsidRDefault="00AF51F3" w:rsidP="00AF51F3">
            <w:pPr>
              <w:pStyle w:val="BodyText"/>
              <w:ind w:firstLine="0"/>
              <w:jc w:val="center"/>
            </w:pPr>
            <w:r w:rsidRPr="00AF51F3">
              <w:t>0.0005</w:t>
            </w:r>
          </w:p>
        </w:tc>
        <w:tc>
          <w:tcPr>
            <w:tcW w:w="2469" w:type="dxa"/>
          </w:tcPr>
          <w:p w14:paraId="4F5CE24D" w14:textId="1379C76C" w:rsidR="00AF51F3" w:rsidRPr="00AF51F3" w:rsidRDefault="00AF51F3" w:rsidP="00AF51F3">
            <w:pPr>
              <w:pStyle w:val="BodyText"/>
              <w:ind w:firstLine="0"/>
              <w:jc w:val="center"/>
            </w:pPr>
            <w:r w:rsidRPr="00AF51F3">
              <w:t>1435.47</w:t>
            </w:r>
          </w:p>
        </w:tc>
      </w:tr>
      <w:tr w:rsidR="00AF51F3" w:rsidRPr="007F0154" w14:paraId="74E399CE" w14:textId="77777777" w:rsidTr="00AF51F3">
        <w:trPr>
          <w:trHeight w:val="278"/>
          <w:jc w:val="center"/>
        </w:trPr>
        <w:tc>
          <w:tcPr>
            <w:tcW w:w="1491" w:type="dxa"/>
          </w:tcPr>
          <w:p w14:paraId="42282ECD" w14:textId="41E42E3C" w:rsidR="00AF51F3" w:rsidRPr="00AF51F3" w:rsidRDefault="00AF51F3" w:rsidP="00AF51F3">
            <w:pPr>
              <w:pStyle w:val="BodyText"/>
              <w:ind w:firstLine="0"/>
            </w:pPr>
            <w:r w:rsidRPr="00AF51F3">
              <w:t>0.09</w:t>
            </w:r>
          </w:p>
        </w:tc>
        <w:tc>
          <w:tcPr>
            <w:tcW w:w="2598" w:type="dxa"/>
          </w:tcPr>
          <w:p w14:paraId="1A98441E" w14:textId="69CE8FE2" w:rsidR="00AF51F3" w:rsidRPr="00AF51F3" w:rsidRDefault="00AF51F3" w:rsidP="00AF51F3">
            <w:pPr>
              <w:pStyle w:val="BodyText"/>
              <w:ind w:firstLine="0"/>
              <w:jc w:val="center"/>
            </w:pPr>
            <w:r w:rsidRPr="00AF51F3">
              <w:t>1.001</w:t>
            </w:r>
          </w:p>
        </w:tc>
        <w:tc>
          <w:tcPr>
            <w:tcW w:w="2469" w:type="dxa"/>
          </w:tcPr>
          <w:p w14:paraId="5E79FDFA" w14:textId="3472B402" w:rsidR="00AF51F3" w:rsidRPr="00AF51F3" w:rsidRDefault="00AF51F3" w:rsidP="00AF51F3">
            <w:pPr>
              <w:pStyle w:val="BodyText"/>
              <w:ind w:firstLine="0"/>
              <w:jc w:val="center"/>
            </w:pPr>
            <w:r w:rsidRPr="00AF51F3">
              <w:t>0.0005</w:t>
            </w:r>
          </w:p>
        </w:tc>
        <w:tc>
          <w:tcPr>
            <w:tcW w:w="2469" w:type="dxa"/>
          </w:tcPr>
          <w:p w14:paraId="091139D0" w14:textId="2F708193" w:rsidR="00AF51F3" w:rsidRPr="00AF51F3" w:rsidRDefault="00AF51F3" w:rsidP="00AF51F3">
            <w:pPr>
              <w:pStyle w:val="BodyText"/>
              <w:ind w:firstLine="0"/>
              <w:jc w:val="center"/>
            </w:pPr>
            <w:r w:rsidRPr="00AF51F3">
              <w:t>1594.023</w:t>
            </w:r>
          </w:p>
        </w:tc>
      </w:tr>
      <w:tr w:rsidR="00AF51F3" w:rsidRPr="007F0154" w14:paraId="43414F2F" w14:textId="77777777" w:rsidTr="00AF51F3">
        <w:trPr>
          <w:trHeight w:val="278"/>
          <w:jc w:val="center"/>
        </w:trPr>
        <w:tc>
          <w:tcPr>
            <w:tcW w:w="1491" w:type="dxa"/>
          </w:tcPr>
          <w:p w14:paraId="27A38A01" w14:textId="0A27BDDF" w:rsidR="00AF51F3" w:rsidRPr="00AF51F3" w:rsidRDefault="00AF51F3" w:rsidP="00AF51F3">
            <w:pPr>
              <w:pStyle w:val="BodyText"/>
              <w:ind w:firstLine="0"/>
            </w:pPr>
            <w:r w:rsidRPr="00AF51F3">
              <w:t>0.10</w:t>
            </w:r>
          </w:p>
        </w:tc>
        <w:tc>
          <w:tcPr>
            <w:tcW w:w="2598" w:type="dxa"/>
          </w:tcPr>
          <w:p w14:paraId="47F21444" w14:textId="31ABC2D8" w:rsidR="00AF51F3" w:rsidRPr="00AF51F3" w:rsidRDefault="00AF51F3" w:rsidP="00AF51F3">
            <w:pPr>
              <w:pStyle w:val="BodyText"/>
              <w:ind w:firstLine="0"/>
              <w:jc w:val="center"/>
            </w:pPr>
            <w:r w:rsidRPr="00AF51F3">
              <w:t>0.99996</w:t>
            </w:r>
          </w:p>
        </w:tc>
        <w:tc>
          <w:tcPr>
            <w:tcW w:w="2469" w:type="dxa"/>
          </w:tcPr>
          <w:p w14:paraId="2D005A1F" w14:textId="255EA01A" w:rsidR="00AF51F3" w:rsidRPr="00AF51F3" w:rsidRDefault="00AF51F3" w:rsidP="00AF51F3">
            <w:pPr>
              <w:pStyle w:val="BodyText"/>
              <w:ind w:firstLine="0"/>
              <w:jc w:val="center"/>
            </w:pPr>
            <w:r w:rsidRPr="00AF51F3">
              <w:t>0.00048</w:t>
            </w:r>
          </w:p>
        </w:tc>
        <w:tc>
          <w:tcPr>
            <w:tcW w:w="2469" w:type="dxa"/>
          </w:tcPr>
          <w:p w14:paraId="018E1827" w14:textId="3A30D1CC" w:rsidR="00AF51F3" w:rsidRPr="00AF51F3" w:rsidRDefault="00AF51F3" w:rsidP="00AF51F3">
            <w:pPr>
              <w:pStyle w:val="BodyText"/>
              <w:ind w:firstLine="0"/>
              <w:jc w:val="center"/>
            </w:pPr>
            <w:r w:rsidRPr="00AF51F3">
              <w:t>1747.936</w:t>
            </w:r>
          </w:p>
        </w:tc>
      </w:tr>
      <w:tr w:rsidR="00AF51F3" w:rsidRPr="007F0154" w14:paraId="062768CA" w14:textId="77777777" w:rsidTr="00AF51F3">
        <w:trPr>
          <w:trHeight w:val="278"/>
          <w:jc w:val="center"/>
        </w:trPr>
        <w:tc>
          <w:tcPr>
            <w:tcW w:w="1491" w:type="dxa"/>
          </w:tcPr>
          <w:p w14:paraId="73BAEF5F" w14:textId="7DED5C77" w:rsidR="00AF51F3" w:rsidRPr="00AF51F3" w:rsidRDefault="00AF51F3" w:rsidP="00AF51F3">
            <w:pPr>
              <w:pStyle w:val="BodyText"/>
              <w:ind w:firstLine="0"/>
            </w:pPr>
            <w:r w:rsidRPr="00AF51F3">
              <w:t>0.11</w:t>
            </w:r>
          </w:p>
        </w:tc>
        <w:tc>
          <w:tcPr>
            <w:tcW w:w="2598" w:type="dxa"/>
          </w:tcPr>
          <w:p w14:paraId="657E02AD" w14:textId="16014DE0" w:rsidR="00AF51F3" w:rsidRPr="00AF51F3" w:rsidRDefault="00AF51F3" w:rsidP="00AF51F3">
            <w:pPr>
              <w:pStyle w:val="BodyText"/>
              <w:ind w:firstLine="0"/>
              <w:jc w:val="center"/>
            </w:pPr>
            <w:r w:rsidRPr="00AF51F3">
              <w:t>0.99736</w:t>
            </w:r>
          </w:p>
        </w:tc>
        <w:tc>
          <w:tcPr>
            <w:tcW w:w="2469" w:type="dxa"/>
          </w:tcPr>
          <w:p w14:paraId="2E3987BB" w14:textId="4B153B9A" w:rsidR="00AF51F3" w:rsidRPr="00AF51F3" w:rsidRDefault="00AF51F3" w:rsidP="00AF51F3">
            <w:pPr>
              <w:pStyle w:val="BodyText"/>
              <w:ind w:firstLine="0"/>
              <w:jc w:val="center"/>
            </w:pPr>
            <w:r w:rsidRPr="00AF51F3">
              <w:t>0.00048</w:t>
            </w:r>
          </w:p>
        </w:tc>
        <w:tc>
          <w:tcPr>
            <w:tcW w:w="2469" w:type="dxa"/>
          </w:tcPr>
          <w:p w14:paraId="7018E573" w14:textId="089C69C0" w:rsidR="00AF51F3" w:rsidRPr="00AF51F3" w:rsidRDefault="00AF51F3" w:rsidP="00AF51F3">
            <w:pPr>
              <w:pStyle w:val="BodyText"/>
              <w:ind w:firstLine="0"/>
              <w:jc w:val="center"/>
            </w:pPr>
            <w:r w:rsidRPr="00AF51F3">
              <w:t>1897.209</w:t>
            </w:r>
          </w:p>
        </w:tc>
      </w:tr>
      <w:tr w:rsidR="00AF51F3" w:rsidRPr="007F0154" w14:paraId="29D736B5" w14:textId="77777777" w:rsidTr="00AF51F3">
        <w:trPr>
          <w:trHeight w:val="278"/>
          <w:jc w:val="center"/>
        </w:trPr>
        <w:tc>
          <w:tcPr>
            <w:tcW w:w="1491" w:type="dxa"/>
          </w:tcPr>
          <w:p w14:paraId="01C061FD" w14:textId="7391A651" w:rsidR="00AF51F3" w:rsidRPr="00AF51F3" w:rsidRDefault="00AF51F3" w:rsidP="00AF51F3">
            <w:pPr>
              <w:pStyle w:val="BodyText"/>
              <w:ind w:firstLine="0"/>
            </w:pPr>
            <w:r w:rsidRPr="00AF51F3">
              <w:t>0.12</w:t>
            </w:r>
          </w:p>
        </w:tc>
        <w:tc>
          <w:tcPr>
            <w:tcW w:w="2598" w:type="dxa"/>
          </w:tcPr>
          <w:p w14:paraId="4C7BD704" w14:textId="35A65AC7" w:rsidR="00AF51F3" w:rsidRPr="00AF51F3" w:rsidRDefault="00AF51F3" w:rsidP="00AF51F3">
            <w:pPr>
              <w:pStyle w:val="BodyText"/>
              <w:ind w:firstLine="0"/>
              <w:jc w:val="center"/>
            </w:pPr>
            <w:r w:rsidRPr="00AF51F3">
              <w:t>0.99467</w:t>
            </w:r>
          </w:p>
        </w:tc>
        <w:tc>
          <w:tcPr>
            <w:tcW w:w="2469" w:type="dxa"/>
          </w:tcPr>
          <w:p w14:paraId="45F47F75" w14:textId="49F546C1" w:rsidR="00AF51F3" w:rsidRPr="00AF51F3" w:rsidRDefault="00AF51F3" w:rsidP="00AF51F3">
            <w:pPr>
              <w:pStyle w:val="BodyText"/>
              <w:ind w:firstLine="0"/>
              <w:jc w:val="center"/>
            </w:pPr>
            <w:r w:rsidRPr="00AF51F3">
              <w:t>0.00054</w:t>
            </w:r>
          </w:p>
        </w:tc>
        <w:tc>
          <w:tcPr>
            <w:tcW w:w="2469" w:type="dxa"/>
          </w:tcPr>
          <w:p w14:paraId="4FCA9587" w14:textId="61A8385F" w:rsidR="00AF51F3" w:rsidRPr="00AF51F3" w:rsidRDefault="00AF51F3" w:rsidP="00AF51F3">
            <w:pPr>
              <w:pStyle w:val="BodyText"/>
              <w:ind w:firstLine="0"/>
              <w:jc w:val="center"/>
            </w:pPr>
            <w:r w:rsidRPr="00AF51F3">
              <w:t>2041.841</w:t>
            </w:r>
          </w:p>
        </w:tc>
      </w:tr>
      <w:tr w:rsidR="00AF51F3" w:rsidRPr="007F0154" w14:paraId="49E39767" w14:textId="77777777" w:rsidTr="00AF51F3">
        <w:trPr>
          <w:trHeight w:val="278"/>
          <w:jc w:val="center"/>
        </w:trPr>
        <w:tc>
          <w:tcPr>
            <w:tcW w:w="1491" w:type="dxa"/>
          </w:tcPr>
          <w:p w14:paraId="432E8F26" w14:textId="0D8781B0" w:rsidR="00AF51F3" w:rsidRPr="00AF51F3" w:rsidRDefault="00AF51F3" w:rsidP="00AF51F3">
            <w:pPr>
              <w:pStyle w:val="BodyText"/>
              <w:ind w:firstLine="0"/>
            </w:pPr>
            <w:r w:rsidRPr="00AF51F3">
              <w:t>0.13</w:t>
            </w:r>
          </w:p>
        </w:tc>
        <w:tc>
          <w:tcPr>
            <w:tcW w:w="2598" w:type="dxa"/>
          </w:tcPr>
          <w:p w14:paraId="6C3676C6" w14:textId="2286E301" w:rsidR="00AF51F3" w:rsidRPr="00AF51F3" w:rsidRDefault="00AF51F3" w:rsidP="00AF51F3">
            <w:pPr>
              <w:pStyle w:val="BodyText"/>
              <w:ind w:firstLine="0"/>
              <w:jc w:val="center"/>
            </w:pPr>
            <w:r w:rsidRPr="00AF51F3">
              <w:t>0.99363</w:t>
            </w:r>
          </w:p>
        </w:tc>
        <w:tc>
          <w:tcPr>
            <w:tcW w:w="2469" w:type="dxa"/>
          </w:tcPr>
          <w:p w14:paraId="00777F32" w14:textId="2BBF5B55" w:rsidR="00AF51F3" w:rsidRPr="00AF51F3" w:rsidRDefault="00AF51F3" w:rsidP="00AF51F3">
            <w:pPr>
              <w:pStyle w:val="BodyText"/>
              <w:ind w:firstLine="0"/>
              <w:jc w:val="center"/>
            </w:pPr>
            <w:r w:rsidRPr="00AF51F3">
              <w:t>0.00055</w:t>
            </w:r>
          </w:p>
        </w:tc>
        <w:tc>
          <w:tcPr>
            <w:tcW w:w="2469" w:type="dxa"/>
          </w:tcPr>
          <w:p w14:paraId="03575EFC" w14:textId="671F87AB" w:rsidR="00AF51F3" w:rsidRPr="00AF51F3" w:rsidRDefault="00AF51F3" w:rsidP="00AF51F3">
            <w:pPr>
              <w:pStyle w:val="BodyText"/>
              <w:ind w:firstLine="0"/>
              <w:jc w:val="center"/>
            </w:pPr>
            <w:r w:rsidRPr="00AF51F3">
              <w:t>2181.834</w:t>
            </w:r>
          </w:p>
        </w:tc>
      </w:tr>
      <w:tr w:rsidR="00AF51F3" w:rsidRPr="007F0154" w14:paraId="46BF3955" w14:textId="77777777" w:rsidTr="00AF51F3">
        <w:trPr>
          <w:trHeight w:val="278"/>
          <w:jc w:val="center"/>
        </w:trPr>
        <w:tc>
          <w:tcPr>
            <w:tcW w:w="1491" w:type="dxa"/>
          </w:tcPr>
          <w:p w14:paraId="48921078" w14:textId="3FA4A960" w:rsidR="00AF51F3" w:rsidRPr="00AF51F3" w:rsidRDefault="00AF51F3" w:rsidP="00AF51F3">
            <w:pPr>
              <w:pStyle w:val="BodyText"/>
              <w:ind w:firstLine="0"/>
            </w:pPr>
            <w:r w:rsidRPr="00AF51F3">
              <w:t>0.14</w:t>
            </w:r>
          </w:p>
        </w:tc>
        <w:tc>
          <w:tcPr>
            <w:tcW w:w="2598" w:type="dxa"/>
          </w:tcPr>
          <w:p w14:paraId="268EAF40" w14:textId="2B02A430" w:rsidR="00AF51F3" w:rsidRPr="00AF51F3" w:rsidRDefault="00AF51F3" w:rsidP="00AF51F3">
            <w:pPr>
              <w:pStyle w:val="BodyText"/>
              <w:ind w:firstLine="0"/>
              <w:jc w:val="center"/>
            </w:pPr>
            <w:r w:rsidRPr="00AF51F3">
              <w:t>0.99195</w:t>
            </w:r>
          </w:p>
        </w:tc>
        <w:tc>
          <w:tcPr>
            <w:tcW w:w="2469" w:type="dxa"/>
          </w:tcPr>
          <w:p w14:paraId="4AE5F40E" w14:textId="1F6196E3" w:rsidR="00AF51F3" w:rsidRPr="00AF51F3" w:rsidRDefault="00AF51F3" w:rsidP="00AF51F3">
            <w:pPr>
              <w:pStyle w:val="BodyText"/>
              <w:ind w:firstLine="0"/>
              <w:jc w:val="center"/>
            </w:pPr>
            <w:r w:rsidRPr="00AF51F3">
              <w:t>0.00051</w:t>
            </w:r>
          </w:p>
        </w:tc>
        <w:tc>
          <w:tcPr>
            <w:tcW w:w="2469" w:type="dxa"/>
          </w:tcPr>
          <w:p w14:paraId="72D093B3" w14:textId="7DE646F2" w:rsidR="00AF51F3" w:rsidRPr="00AF51F3" w:rsidRDefault="00AF51F3" w:rsidP="00AF51F3">
            <w:pPr>
              <w:pStyle w:val="BodyText"/>
              <w:ind w:firstLine="0"/>
              <w:jc w:val="center"/>
            </w:pPr>
            <w:r w:rsidRPr="00AF51F3">
              <w:t>2317.187</w:t>
            </w:r>
          </w:p>
        </w:tc>
      </w:tr>
      <w:tr w:rsidR="00AF51F3" w:rsidRPr="007F0154" w14:paraId="3495C860" w14:textId="77777777" w:rsidTr="00AF51F3">
        <w:trPr>
          <w:trHeight w:val="278"/>
          <w:jc w:val="center"/>
        </w:trPr>
        <w:tc>
          <w:tcPr>
            <w:tcW w:w="1491" w:type="dxa"/>
          </w:tcPr>
          <w:p w14:paraId="7C1AC5FC" w14:textId="063CB2DF" w:rsidR="00AF51F3" w:rsidRPr="00AF51F3" w:rsidRDefault="00AF51F3" w:rsidP="00AF51F3">
            <w:pPr>
              <w:pStyle w:val="BodyText"/>
              <w:ind w:firstLine="0"/>
            </w:pPr>
            <w:r w:rsidRPr="00AF51F3">
              <w:t>0.15</w:t>
            </w:r>
          </w:p>
        </w:tc>
        <w:tc>
          <w:tcPr>
            <w:tcW w:w="2598" w:type="dxa"/>
          </w:tcPr>
          <w:p w14:paraId="2A2A52F4" w14:textId="61A6B95A" w:rsidR="00AF51F3" w:rsidRPr="00AF51F3" w:rsidRDefault="00AF51F3" w:rsidP="00AF51F3">
            <w:pPr>
              <w:pStyle w:val="BodyText"/>
              <w:ind w:firstLine="0"/>
              <w:jc w:val="center"/>
            </w:pPr>
            <w:r w:rsidRPr="00AF51F3">
              <w:t>0.99054</w:t>
            </w:r>
          </w:p>
        </w:tc>
        <w:tc>
          <w:tcPr>
            <w:tcW w:w="2469" w:type="dxa"/>
          </w:tcPr>
          <w:p w14:paraId="34BD1E9A" w14:textId="54218F34" w:rsidR="00AF51F3" w:rsidRPr="00AF51F3" w:rsidRDefault="00AF51F3" w:rsidP="00AF51F3">
            <w:pPr>
              <w:pStyle w:val="BodyText"/>
              <w:ind w:firstLine="0"/>
              <w:jc w:val="center"/>
            </w:pPr>
            <w:r w:rsidRPr="00AF51F3">
              <w:t>0.00051</w:t>
            </w:r>
          </w:p>
        </w:tc>
        <w:tc>
          <w:tcPr>
            <w:tcW w:w="2469" w:type="dxa"/>
          </w:tcPr>
          <w:p w14:paraId="564BCA1E" w14:textId="267FB21B" w:rsidR="00AF51F3" w:rsidRPr="00AF51F3" w:rsidRDefault="00AF51F3" w:rsidP="00AF51F3">
            <w:pPr>
              <w:pStyle w:val="BodyText"/>
              <w:ind w:firstLine="0"/>
              <w:jc w:val="center"/>
            </w:pPr>
            <w:r w:rsidRPr="00AF51F3">
              <w:t>2447.899</w:t>
            </w:r>
          </w:p>
        </w:tc>
      </w:tr>
      <w:tr w:rsidR="00AF51F3" w:rsidRPr="007F0154" w14:paraId="74DFD894" w14:textId="77777777" w:rsidTr="00AF51F3">
        <w:trPr>
          <w:trHeight w:val="278"/>
          <w:jc w:val="center"/>
        </w:trPr>
        <w:tc>
          <w:tcPr>
            <w:tcW w:w="1491" w:type="dxa"/>
          </w:tcPr>
          <w:p w14:paraId="518C9CFD" w14:textId="0BE08516" w:rsidR="00AF51F3" w:rsidRPr="00AF51F3" w:rsidRDefault="00AF51F3" w:rsidP="00AF51F3">
            <w:pPr>
              <w:pStyle w:val="BodyText"/>
              <w:ind w:firstLine="0"/>
            </w:pPr>
            <w:r w:rsidRPr="00AF51F3">
              <w:t>0.11</w:t>
            </w:r>
          </w:p>
        </w:tc>
        <w:tc>
          <w:tcPr>
            <w:tcW w:w="2598" w:type="dxa"/>
          </w:tcPr>
          <w:p w14:paraId="1A6F80D6" w14:textId="3F5E5736" w:rsidR="00AF51F3" w:rsidRPr="00AF51F3" w:rsidRDefault="00AF51F3" w:rsidP="00AF51F3">
            <w:pPr>
              <w:pStyle w:val="BodyText"/>
              <w:ind w:firstLine="0"/>
              <w:jc w:val="center"/>
            </w:pPr>
            <w:r w:rsidRPr="00AF51F3">
              <w:t>0.99736</w:t>
            </w:r>
          </w:p>
        </w:tc>
        <w:tc>
          <w:tcPr>
            <w:tcW w:w="2469" w:type="dxa"/>
          </w:tcPr>
          <w:p w14:paraId="42AE4CF0" w14:textId="214491A1" w:rsidR="00AF51F3" w:rsidRPr="00AF51F3" w:rsidRDefault="00AF51F3" w:rsidP="00AF51F3">
            <w:pPr>
              <w:pStyle w:val="BodyText"/>
              <w:ind w:firstLine="0"/>
              <w:jc w:val="center"/>
            </w:pPr>
            <w:r w:rsidRPr="00AF51F3">
              <w:t>0.00048</w:t>
            </w:r>
          </w:p>
        </w:tc>
        <w:tc>
          <w:tcPr>
            <w:tcW w:w="2469" w:type="dxa"/>
          </w:tcPr>
          <w:p w14:paraId="33CA59B2" w14:textId="5E938D40" w:rsidR="00AF51F3" w:rsidRPr="00AF51F3" w:rsidRDefault="00AF51F3" w:rsidP="00AF51F3">
            <w:pPr>
              <w:pStyle w:val="BodyText"/>
              <w:ind w:firstLine="0"/>
              <w:jc w:val="center"/>
            </w:pPr>
            <w:r w:rsidRPr="00AF51F3">
              <w:t>1897.209</w:t>
            </w:r>
          </w:p>
        </w:tc>
      </w:tr>
    </w:tbl>
    <w:p w14:paraId="1610DC5A" w14:textId="77777777" w:rsidR="00AF51F3" w:rsidRDefault="00AF51F3" w:rsidP="00AF51F3">
      <w:pPr>
        <w:rPr>
          <w:sz w:val="20"/>
        </w:rPr>
      </w:pPr>
    </w:p>
    <w:p w14:paraId="0D24BF93" w14:textId="7B286B46" w:rsidR="00AF51F3" w:rsidRDefault="00AF51F3" w:rsidP="00AF51F3">
      <w:pPr>
        <w:pStyle w:val="Heading3"/>
        <w:numPr>
          <w:ilvl w:val="0"/>
          <w:numId w:val="0"/>
        </w:numPr>
        <w:rPr>
          <w:b w:val="0"/>
          <w:bCs/>
          <w:spacing w:val="-3"/>
          <w:sz w:val="24"/>
          <w:szCs w:val="24"/>
          <w:lang w:eastAsia="zh-CN"/>
        </w:rPr>
      </w:pPr>
      <w:r w:rsidRPr="00AF51F3">
        <w:t>4.2.</w:t>
      </w:r>
      <w:r>
        <w:t xml:space="preserve"> </w:t>
      </w:r>
      <w:r w:rsidRPr="00AF51F3">
        <w:t xml:space="preserve"> Secondly, Coating a thin layer of minor actinide NpO2 in the water gap in BP</w:t>
      </w:r>
      <w:r>
        <w:rPr>
          <w:b w:val="0"/>
          <w:bCs/>
          <w:spacing w:val="-3"/>
          <w:sz w:val="24"/>
          <w:szCs w:val="24"/>
          <w:lang w:eastAsia="zh-CN"/>
        </w:rPr>
        <w:t xml:space="preserve"> </w:t>
      </w:r>
    </w:p>
    <w:p w14:paraId="0730A602" w14:textId="77777777" w:rsidR="00AF51F3" w:rsidRPr="00AF51F3" w:rsidRDefault="00AF51F3" w:rsidP="00B830F1">
      <w:pPr>
        <w:ind w:firstLine="567"/>
        <w:rPr>
          <w:sz w:val="20"/>
        </w:rPr>
      </w:pPr>
      <w:r w:rsidRPr="00AF51F3">
        <w:rPr>
          <w:sz w:val="20"/>
        </w:rPr>
        <w:t>The second approach is introducing the minor actinide materials to the reactor core by coating thing layer with different thickness in the water gap of the burnable poison rods. There is figure to explain this approach. The results arranged in a table as below.</w:t>
      </w:r>
    </w:p>
    <w:p w14:paraId="58A85F54" w14:textId="0C2389D5" w:rsidR="00AF51F3" w:rsidRDefault="00AF51F3" w:rsidP="00AF51F3">
      <w:pPr>
        <w:pStyle w:val="BodyText"/>
        <w:jc w:val="center"/>
        <w:rPr>
          <w:lang w:eastAsia="zh-CN"/>
        </w:rPr>
      </w:pPr>
      <w:r>
        <w:rPr>
          <w:noProof/>
          <w:color w:val="3C3C3C"/>
          <w:sz w:val="28"/>
          <w:szCs w:val="28"/>
          <w:shd w:val="clear" w:color="auto" w:fill="FFFFFF"/>
        </w:rPr>
        <w:lastRenderedPageBreak/>
        <w:drawing>
          <wp:inline distT="0" distB="0" distL="0" distR="0" wp14:anchorId="77323564" wp14:editId="2FB2DD80">
            <wp:extent cx="2924175" cy="1533525"/>
            <wp:effectExtent l="0" t="0" r="9525" b="9525"/>
            <wp:docPr id="10" name="Picture 1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175" cy="1533525"/>
                    </a:xfrm>
                    <a:prstGeom prst="rect">
                      <a:avLst/>
                    </a:prstGeom>
                    <a:noFill/>
                    <a:ln>
                      <a:noFill/>
                    </a:ln>
                  </pic:spPr>
                </pic:pic>
              </a:graphicData>
            </a:graphic>
          </wp:inline>
        </w:drawing>
      </w:r>
    </w:p>
    <w:p w14:paraId="4A6B6EDE" w14:textId="77777777" w:rsidR="00AF51F3" w:rsidRPr="00AF51F3" w:rsidRDefault="00AF51F3" w:rsidP="00AF51F3">
      <w:pPr>
        <w:pStyle w:val="BodyText"/>
        <w:jc w:val="center"/>
        <w:rPr>
          <w:lang w:eastAsia="zh-CN"/>
        </w:rPr>
      </w:pPr>
    </w:p>
    <w:p w14:paraId="52F5B202" w14:textId="2EF1C51C" w:rsidR="00AF51F3" w:rsidRPr="00AF51F3" w:rsidRDefault="00AF51F3" w:rsidP="00AF51F3">
      <w:pPr>
        <w:jc w:val="center"/>
        <w:rPr>
          <w:bCs/>
          <w:i/>
          <w:sz w:val="18"/>
          <w:lang w:val="en-US"/>
        </w:rPr>
      </w:pPr>
      <w:r w:rsidRPr="00AF51F3">
        <w:rPr>
          <w:bCs/>
          <w:i/>
          <w:sz w:val="18"/>
          <w:lang w:val="en-US"/>
        </w:rPr>
        <w:t>FIG.</w:t>
      </w:r>
      <w:r>
        <w:rPr>
          <w:bCs/>
          <w:i/>
          <w:sz w:val="18"/>
          <w:lang w:val="en-US"/>
        </w:rPr>
        <w:t xml:space="preserve">  </w:t>
      </w:r>
      <w:r w:rsidRPr="00AF51F3">
        <w:rPr>
          <w:bCs/>
          <w:i/>
          <w:sz w:val="18"/>
          <w:lang w:val="en-US"/>
        </w:rPr>
        <w:t>7. coating a thin layer in the water gap</w:t>
      </w:r>
      <w:r>
        <w:rPr>
          <w:bCs/>
          <w:i/>
          <w:sz w:val="18"/>
          <w:lang w:val="en-US"/>
        </w:rPr>
        <w:t>.</w:t>
      </w:r>
    </w:p>
    <w:p w14:paraId="5A9C5BDE" w14:textId="741DF743" w:rsidR="00AF51F3" w:rsidRPr="00FA3C69" w:rsidRDefault="00FA3C69" w:rsidP="00FA3C69">
      <w:pPr>
        <w:pStyle w:val="BodyText"/>
        <w:ind w:firstLine="0"/>
      </w:pPr>
      <w:r w:rsidRPr="00FA3C69">
        <w:t>T</w:t>
      </w:r>
      <w:r>
        <w:t xml:space="preserve">ABLE  </w:t>
      </w:r>
      <w:r w:rsidRPr="00FA3C69">
        <w:t>4.</w:t>
      </w:r>
      <w:r>
        <w:t xml:space="preserve"> </w:t>
      </w:r>
      <w:r w:rsidRPr="00FA3C69">
        <w:t xml:space="preserve"> </w:t>
      </w:r>
      <w:r>
        <w:t xml:space="preserve">  SECOND APPROACH RESULTS</w:t>
      </w:r>
    </w:p>
    <w:p w14:paraId="61B84014" w14:textId="77777777" w:rsidR="00FA3C69" w:rsidRPr="00AF51F3" w:rsidRDefault="00FA3C69" w:rsidP="00AF51F3">
      <w:pPr>
        <w:rPr>
          <w:sz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2598"/>
        <w:gridCol w:w="2469"/>
        <w:gridCol w:w="2469"/>
      </w:tblGrid>
      <w:tr w:rsidR="00FA3C69" w14:paraId="6ECEEACB" w14:textId="77777777" w:rsidTr="00FA38C8">
        <w:trPr>
          <w:trHeight w:val="278"/>
          <w:jc w:val="center"/>
        </w:trPr>
        <w:tc>
          <w:tcPr>
            <w:tcW w:w="1491" w:type="dxa"/>
            <w:tcBorders>
              <w:top w:val="single" w:sz="4" w:space="0" w:color="auto"/>
              <w:bottom w:val="single" w:sz="4" w:space="0" w:color="auto"/>
            </w:tcBorders>
          </w:tcPr>
          <w:p w14:paraId="1ACA9BED" w14:textId="0D7B401D" w:rsidR="00FA3C69" w:rsidRDefault="00FA3C69" w:rsidP="00FA3C69">
            <w:pPr>
              <w:pStyle w:val="BodyText"/>
              <w:ind w:firstLine="0"/>
            </w:pPr>
            <w:r w:rsidRPr="00FA3C69">
              <w:t>Thickness</w:t>
            </w:r>
            <w:r>
              <w:t>(cm)</w:t>
            </w:r>
          </w:p>
        </w:tc>
        <w:tc>
          <w:tcPr>
            <w:tcW w:w="2598" w:type="dxa"/>
            <w:tcBorders>
              <w:top w:val="single" w:sz="4" w:space="0" w:color="auto"/>
              <w:bottom w:val="single" w:sz="4" w:space="0" w:color="auto"/>
            </w:tcBorders>
          </w:tcPr>
          <w:p w14:paraId="69CC94BC" w14:textId="74A3AF07" w:rsidR="00FA3C69" w:rsidRDefault="00FA3C69" w:rsidP="00FA3C69">
            <w:pPr>
              <w:pStyle w:val="BodyText"/>
              <w:ind w:firstLine="0"/>
              <w:jc w:val="center"/>
            </w:pPr>
            <w:r w:rsidRPr="00FA3C69">
              <w:t>Keff</w:t>
            </w:r>
          </w:p>
        </w:tc>
        <w:tc>
          <w:tcPr>
            <w:tcW w:w="2469" w:type="dxa"/>
            <w:tcBorders>
              <w:top w:val="single" w:sz="4" w:space="0" w:color="auto"/>
              <w:bottom w:val="single" w:sz="4" w:space="0" w:color="auto"/>
            </w:tcBorders>
          </w:tcPr>
          <w:p w14:paraId="6872CEA1" w14:textId="7E622691" w:rsidR="00FA3C69" w:rsidRPr="007F0154" w:rsidRDefault="00FA3C69" w:rsidP="00FA3C69">
            <w:pPr>
              <w:pStyle w:val="BodyText"/>
              <w:ind w:firstLine="0"/>
              <w:jc w:val="center"/>
            </w:pPr>
            <w:r w:rsidRPr="00FA3C69">
              <w:t>SD</w:t>
            </w:r>
          </w:p>
        </w:tc>
        <w:tc>
          <w:tcPr>
            <w:tcW w:w="2469" w:type="dxa"/>
            <w:tcBorders>
              <w:top w:val="single" w:sz="4" w:space="0" w:color="auto"/>
              <w:bottom w:val="single" w:sz="4" w:space="0" w:color="auto"/>
            </w:tcBorders>
          </w:tcPr>
          <w:p w14:paraId="176DEAA1" w14:textId="29E4CD25" w:rsidR="00FA3C69" w:rsidRPr="007F0154" w:rsidRDefault="00FA3C69" w:rsidP="00FA3C69">
            <w:pPr>
              <w:pStyle w:val="BodyText"/>
              <w:ind w:firstLine="0"/>
              <w:jc w:val="center"/>
            </w:pPr>
            <w:r w:rsidRPr="00FA3C69">
              <w:t>Mass(kg)</w:t>
            </w:r>
          </w:p>
        </w:tc>
      </w:tr>
      <w:tr w:rsidR="00FA3C69" w:rsidRPr="007F0154" w14:paraId="1BE816AA" w14:textId="77777777" w:rsidTr="00FA38C8">
        <w:trPr>
          <w:trHeight w:val="278"/>
          <w:jc w:val="center"/>
        </w:trPr>
        <w:tc>
          <w:tcPr>
            <w:tcW w:w="1491" w:type="dxa"/>
            <w:tcBorders>
              <w:top w:val="single" w:sz="4" w:space="0" w:color="auto"/>
            </w:tcBorders>
            <w:vAlign w:val="bottom"/>
          </w:tcPr>
          <w:p w14:paraId="13125274" w14:textId="6B8F06AF" w:rsidR="00FA3C69" w:rsidRPr="00AF51F3" w:rsidRDefault="00FA3C69" w:rsidP="00FA3C69">
            <w:pPr>
              <w:pStyle w:val="BodyText"/>
              <w:ind w:firstLine="0"/>
            </w:pPr>
            <w:r w:rsidRPr="00FA3C69">
              <w:t>0.00</w:t>
            </w:r>
          </w:p>
        </w:tc>
        <w:tc>
          <w:tcPr>
            <w:tcW w:w="2598" w:type="dxa"/>
            <w:tcBorders>
              <w:top w:val="single" w:sz="4" w:space="0" w:color="auto"/>
            </w:tcBorders>
            <w:vAlign w:val="bottom"/>
          </w:tcPr>
          <w:p w14:paraId="40F1E469" w14:textId="4D528938" w:rsidR="00FA3C69" w:rsidRPr="00AF51F3" w:rsidRDefault="00FA3C69" w:rsidP="00FA3C69">
            <w:pPr>
              <w:pStyle w:val="BodyText"/>
              <w:ind w:firstLine="0"/>
              <w:jc w:val="center"/>
            </w:pPr>
            <w:r w:rsidRPr="00FA3C69">
              <w:t>1.04375</w:t>
            </w:r>
          </w:p>
        </w:tc>
        <w:tc>
          <w:tcPr>
            <w:tcW w:w="2469" w:type="dxa"/>
            <w:tcBorders>
              <w:top w:val="single" w:sz="4" w:space="0" w:color="auto"/>
            </w:tcBorders>
            <w:vAlign w:val="bottom"/>
          </w:tcPr>
          <w:p w14:paraId="1AD479CC" w14:textId="73C42153" w:rsidR="00FA3C69" w:rsidRPr="00AF51F3" w:rsidRDefault="00FA3C69" w:rsidP="00FA3C69">
            <w:pPr>
              <w:pStyle w:val="BodyText"/>
              <w:ind w:firstLine="0"/>
              <w:jc w:val="center"/>
            </w:pPr>
            <w:r w:rsidRPr="00FA3C69">
              <w:t>0.00052</w:t>
            </w:r>
          </w:p>
        </w:tc>
        <w:tc>
          <w:tcPr>
            <w:tcW w:w="2469" w:type="dxa"/>
            <w:tcBorders>
              <w:top w:val="single" w:sz="4" w:space="0" w:color="auto"/>
            </w:tcBorders>
            <w:vAlign w:val="bottom"/>
          </w:tcPr>
          <w:p w14:paraId="64513EEE" w14:textId="061FFE2D" w:rsidR="00FA3C69" w:rsidRPr="00AF51F3" w:rsidRDefault="00FA3C69" w:rsidP="00FA3C69">
            <w:pPr>
              <w:pStyle w:val="BodyText"/>
              <w:ind w:firstLine="0"/>
              <w:jc w:val="center"/>
            </w:pPr>
            <w:r w:rsidRPr="00FA3C69">
              <w:t>0.00000</w:t>
            </w:r>
          </w:p>
        </w:tc>
      </w:tr>
      <w:tr w:rsidR="00FA3C69" w:rsidRPr="007F0154" w14:paraId="51FD29DA" w14:textId="77777777" w:rsidTr="00FA38C8">
        <w:trPr>
          <w:trHeight w:val="278"/>
          <w:jc w:val="center"/>
        </w:trPr>
        <w:tc>
          <w:tcPr>
            <w:tcW w:w="1491" w:type="dxa"/>
            <w:vAlign w:val="bottom"/>
          </w:tcPr>
          <w:p w14:paraId="31BA484F" w14:textId="45A3B46F" w:rsidR="00FA3C69" w:rsidRPr="00AF51F3" w:rsidRDefault="00FA3C69" w:rsidP="00FA3C69">
            <w:pPr>
              <w:pStyle w:val="BodyText"/>
              <w:ind w:firstLine="0"/>
            </w:pPr>
            <w:r w:rsidRPr="00FA3C69">
              <w:t>0.01</w:t>
            </w:r>
          </w:p>
        </w:tc>
        <w:tc>
          <w:tcPr>
            <w:tcW w:w="2598" w:type="dxa"/>
            <w:vAlign w:val="bottom"/>
          </w:tcPr>
          <w:p w14:paraId="5274BC4A" w14:textId="2A781E9D" w:rsidR="00FA3C69" w:rsidRPr="00AF51F3" w:rsidRDefault="00FA3C69" w:rsidP="00FA3C69">
            <w:pPr>
              <w:pStyle w:val="BodyText"/>
              <w:ind w:firstLine="0"/>
              <w:jc w:val="center"/>
            </w:pPr>
            <w:r w:rsidRPr="00FA3C69">
              <w:t>1.02629</w:t>
            </w:r>
          </w:p>
        </w:tc>
        <w:tc>
          <w:tcPr>
            <w:tcW w:w="2469" w:type="dxa"/>
            <w:vAlign w:val="bottom"/>
          </w:tcPr>
          <w:p w14:paraId="6368488F" w14:textId="429159C9" w:rsidR="00FA3C69" w:rsidRPr="00AF51F3" w:rsidRDefault="00FA3C69" w:rsidP="00FA3C69">
            <w:pPr>
              <w:pStyle w:val="BodyText"/>
              <w:ind w:firstLine="0"/>
              <w:jc w:val="center"/>
            </w:pPr>
            <w:r w:rsidRPr="00FA3C69">
              <w:t>0.00051</w:t>
            </w:r>
          </w:p>
        </w:tc>
        <w:tc>
          <w:tcPr>
            <w:tcW w:w="2469" w:type="dxa"/>
            <w:vAlign w:val="bottom"/>
          </w:tcPr>
          <w:p w14:paraId="32B48272" w14:textId="536DEE1A" w:rsidR="00FA3C69" w:rsidRPr="00AF51F3" w:rsidRDefault="00FA3C69" w:rsidP="00FA3C69">
            <w:pPr>
              <w:pStyle w:val="BodyText"/>
              <w:ind w:firstLine="0"/>
              <w:jc w:val="center"/>
            </w:pPr>
            <w:r w:rsidRPr="00FA3C69">
              <w:t>226.8326</w:t>
            </w:r>
          </w:p>
        </w:tc>
      </w:tr>
      <w:tr w:rsidR="00FA3C69" w:rsidRPr="007F0154" w14:paraId="6BAD6352" w14:textId="77777777" w:rsidTr="00FA38C8">
        <w:trPr>
          <w:trHeight w:val="278"/>
          <w:jc w:val="center"/>
        </w:trPr>
        <w:tc>
          <w:tcPr>
            <w:tcW w:w="1491" w:type="dxa"/>
            <w:vAlign w:val="bottom"/>
          </w:tcPr>
          <w:p w14:paraId="783B733F" w14:textId="2BB4BEDA" w:rsidR="00FA3C69" w:rsidRPr="00AF51F3" w:rsidRDefault="00FA3C69" w:rsidP="00FA3C69">
            <w:pPr>
              <w:pStyle w:val="BodyText"/>
              <w:ind w:firstLine="0"/>
            </w:pPr>
            <w:r w:rsidRPr="00FA3C69">
              <w:t>0.02</w:t>
            </w:r>
          </w:p>
        </w:tc>
        <w:tc>
          <w:tcPr>
            <w:tcW w:w="2598" w:type="dxa"/>
            <w:vAlign w:val="bottom"/>
          </w:tcPr>
          <w:p w14:paraId="1BC13D09" w14:textId="3E625701" w:rsidR="00FA3C69" w:rsidRPr="00AF51F3" w:rsidRDefault="00FA3C69" w:rsidP="00FA3C69">
            <w:pPr>
              <w:pStyle w:val="BodyText"/>
              <w:ind w:firstLine="0"/>
              <w:jc w:val="center"/>
            </w:pPr>
            <w:r w:rsidRPr="00FA3C69">
              <w:t>1.01566</w:t>
            </w:r>
          </w:p>
        </w:tc>
        <w:tc>
          <w:tcPr>
            <w:tcW w:w="2469" w:type="dxa"/>
            <w:vAlign w:val="bottom"/>
          </w:tcPr>
          <w:p w14:paraId="5F4F5391" w14:textId="5A50564C" w:rsidR="00FA3C69" w:rsidRPr="00AF51F3" w:rsidRDefault="00FA3C69" w:rsidP="00FA3C69">
            <w:pPr>
              <w:pStyle w:val="BodyText"/>
              <w:ind w:firstLine="0"/>
              <w:jc w:val="center"/>
            </w:pPr>
            <w:r w:rsidRPr="00FA3C69">
              <w:t>0.00054</w:t>
            </w:r>
          </w:p>
        </w:tc>
        <w:tc>
          <w:tcPr>
            <w:tcW w:w="2469" w:type="dxa"/>
            <w:vAlign w:val="bottom"/>
          </w:tcPr>
          <w:p w14:paraId="0145BE97" w14:textId="6DFEE2C9" w:rsidR="00FA3C69" w:rsidRPr="00AF51F3" w:rsidRDefault="00FA3C69" w:rsidP="00FA3C69">
            <w:pPr>
              <w:pStyle w:val="BodyText"/>
              <w:ind w:firstLine="0"/>
              <w:jc w:val="center"/>
            </w:pPr>
            <w:r w:rsidRPr="00FA3C69">
              <w:t>458.3053</w:t>
            </w:r>
          </w:p>
        </w:tc>
      </w:tr>
      <w:tr w:rsidR="00FA3C69" w:rsidRPr="007F0154" w14:paraId="30130796" w14:textId="77777777" w:rsidTr="00FA38C8">
        <w:trPr>
          <w:trHeight w:val="278"/>
          <w:jc w:val="center"/>
        </w:trPr>
        <w:tc>
          <w:tcPr>
            <w:tcW w:w="1491" w:type="dxa"/>
            <w:vAlign w:val="bottom"/>
          </w:tcPr>
          <w:p w14:paraId="75C83108" w14:textId="040622EA" w:rsidR="00FA3C69" w:rsidRPr="00AF51F3" w:rsidRDefault="00FA3C69" w:rsidP="00FA3C69">
            <w:pPr>
              <w:pStyle w:val="BodyText"/>
              <w:ind w:firstLine="0"/>
            </w:pPr>
            <w:r w:rsidRPr="00FA3C69">
              <w:t>0.03</w:t>
            </w:r>
          </w:p>
        </w:tc>
        <w:tc>
          <w:tcPr>
            <w:tcW w:w="2598" w:type="dxa"/>
            <w:vAlign w:val="bottom"/>
          </w:tcPr>
          <w:p w14:paraId="1C0DE908" w14:textId="213CE40E" w:rsidR="00FA3C69" w:rsidRPr="00AF51F3" w:rsidRDefault="00FA3C69" w:rsidP="00FA3C69">
            <w:pPr>
              <w:pStyle w:val="BodyText"/>
              <w:ind w:firstLine="0"/>
              <w:jc w:val="center"/>
            </w:pPr>
            <w:r w:rsidRPr="00FA3C69">
              <w:t>1.00631</w:t>
            </w:r>
          </w:p>
        </w:tc>
        <w:tc>
          <w:tcPr>
            <w:tcW w:w="2469" w:type="dxa"/>
            <w:vAlign w:val="bottom"/>
          </w:tcPr>
          <w:p w14:paraId="5CB1ABC0" w14:textId="4F7C917A" w:rsidR="00FA3C69" w:rsidRPr="00AF51F3" w:rsidRDefault="00FA3C69" w:rsidP="00FA3C69">
            <w:pPr>
              <w:pStyle w:val="BodyText"/>
              <w:ind w:firstLine="0"/>
              <w:jc w:val="center"/>
            </w:pPr>
            <w:r w:rsidRPr="00FA3C69">
              <w:t>0.00049</w:t>
            </w:r>
          </w:p>
        </w:tc>
        <w:tc>
          <w:tcPr>
            <w:tcW w:w="2469" w:type="dxa"/>
            <w:vAlign w:val="bottom"/>
          </w:tcPr>
          <w:p w14:paraId="2716C868" w14:textId="257110BD" w:rsidR="00FA3C69" w:rsidRPr="00AF51F3" w:rsidRDefault="00FA3C69" w:rsidP="00FA3C69">
            <w:pPr>
              <w:pStyle w:val="BodyText"/>
              <w:ind w:firstLine="0"/>
              <w:jc w:val="center"/>
            </w:pPr>
            <w:r w:rsidRPr="00FA3C69">
              <w:t>694.4182</w:t>
            </w:r>
          </w:p>
        </w:tc>
      </w:tr>
      <w:tr w:rsidR="00FA3C69" w:rsidRPr="007F0154" w14:paraId="4BF7A93A" w14:textId="77777777" w:rsidTr="00FA38C8">
        <w:trPr>
          <w:trHeight w:val="278"/>
          <w:jc w:val="center"/>
        </w:trPr>
        <w:tc>
          <w:tcPr>
            <w:tcW w:w="1491" w:type="dxa"/>
            <w:vAlign w:val="bottom"/>
          </w:tcPr>
          <w:p w14:paraId="6516DC1B" w14:textId="608F3612" w:rsidR="00FA3C69" w:rsidRPr="00AF51F3" w:rsidRDefault="00FA3C69" w:rsidP="00FA3C69">
            <w:pPr>
              <w:pStyle w:val="BodyText"/>
              <w:ind w:firstLine="0"/>
            </w:pPr>
            <w:r w:rsidRPr="00FA3C69">
              <w:t>0.04</w:t>
            </w:r>
          </w:p>
        </w:tc>
        <w:tc>
          <w:tcPr>
            <w:tcW w:w="2598" w:type="dxa"/>
            <w:vAlign w:val="bottom"/>
          </w:tcPr>
          <w:p w14:paraId="3906F71D" w14:textId="186D6826" w:rsidR="00FA3C69" w:rsidRPr="00AF51F3" w:rsidRDefault="00FA3C69" w:rsidP="00FA3C69">
            <w:pPr>
              <w:pStyle w:val="BodyText"/>
              <w:ind w:firstLine="0"/>
              <w:jc w:val="center"/>
            </w:pPr>
            <w:r w:rsidRPr="00FA3C69">
              <w:t>0.99911</w:t>
            </w:r>
          </w:p>
        </w:tc>
        <w:tc>
          <w:tcPr>
            <w:tcW w:w="2469" w:type="dxa"/>
            <w:vAlign w:val="bottom"/>
          </w:tcPr>
          <w:p w14:paraId="5B42DE50" w14:textId="386469F7" w:rsidR="00FA3C69" w:rsidRPr="00AF51F3" w:rsidRDefault="00FA3C69" w:rsidP="00FA3C69">
            <w:pPr>
              <w:pStyle w:val="BodyText"/>
              <w:ind w:firstLine="0"/>
              <w:jc w:val="center"/>
            </w:pPr>
            <w:r w:rsidRPr="00FA3C69">
              <w:t>0.00054</w:t>
            </w:r>
          </w:p>
        </w:tc>
        <w:tc>
          <w:tcPr>
            <w:tcW w:w="2469" w:type="dxa"/>
            <w:vAlign w:val="bottom"/>
          </w:tcPr>
          <w:p w14:paraId="2F57878B" w14:textId="2235AF0A" w:rsidR="00FA3C69" w:rsidRPr="00AF51F3" w:rsidRDefault="00FA3C69" w:rsidP="00FA3C69">
            <w:pPr>
              <w:pStyle w:val="BodyText"/>
              <w:ind w:firstLine="0"/>
              <w:jc w:val="center"/>
            </w:pPr>
            <w:r w:rsidRPr="00FA3C69">
              <w:t>935.1712</w:t>
            </w:r>
          </w:p>
        </w:tc>
      </w:tr>
      <w:tr w:rsidR="00FA3C69" w:rsidRPr="007F0154" w14:paraId="7AEC5484" w14:textId="77777777" w:rsidTr="00FA38C8">
        <w:trPr>
          <w:trHeight w:val="278"/>
          <w:jc w:val="center"/>
        </w:trPr>
        <w:tc>
          <w:tcPr>
            <w:tcW w:w="1491" w:type="dxa"/>
            <w:vAlign w:val="bottom"/>
          </w:tcPr>
          <w:p w14:paraId="7723E5B7" w14:textId="1F71B4CE" w:rsidR="00FA3C69" w:rsidRPr="00AF51F3" w:rsidRDefault="00FA3C69" w:rsidP="00FA3C69">
            <w:pPr>
              <w:pStyle w:val="BodyText"/>
              <w:ind w:firstLine="0"/>
            </w:pPr>
            <w:r w:rsidRPr="00FA3C69">
              <w:t>0.05</w:t>
            </w:r>
          </w:p>
        </w:tc>
        <w:tc>
          <w:tcPr>
            <w:tcW w:w="2598" w:type="dxa"/>
            <w:vAlign w:val="bottom"/>
          </w:tcPr>
          <w:p w14:paraId="3730A0E8" w14:textId="6166E55A" w:rsidR="00FA3C69" w:rsidRPr="00AF51F3" w:rsidRDefault="00FA3C69" w:rsidP="00FA3C69">
            <w:pPr>
              <w:pStyle w:val="BodyText"/>
              <w:ind w:firstLine="0"/>
              <w:jc w:val="center"/>
            </w:pPr>
            <w:r w:rsidRPr="00FA3C69">
              <w:t>0.99113</w:t>
            </w:r>
          </w:p>
        </w:tc>
        <w:tc>
          <w:tcPr>
            <w:tcW w:w="2469" w:type="dxa"/>
            <w:vAlign w:val="bottom"/>
          </w:tcPr>
          <w:p w14:paraId="5F99AED5" w14:textId="2C42570D" w:rsidR="00FA3C69" w:rsidRPr="00AF51F3" w:rsidRDefault="00FA3C69" w:rsidP="00FA3C69">
            <w:pPr>
              <w:pStyle w:val="BodyText"/>
              <w:ind w:firstLine="0"/>
              <w:jc w:val="center"/>
            </w:pPr>
            <w:r w:rsidRPr="00FA3C69">
              <w:t>0.00048</w:t>
            </w:r>
          </w:p>
        </w:tc>
        <w:tc>
          <w:tcPr>
            <w:tcW w:w="2469" w:type="dxa"/>
            <w:vAlign w:val="bottom"/>
          </w:tcPr>
          <w:p w14:paraId="25D51751" w14:textId="40FCE072" w:rsidR="00FA3C69" w:rsidRPr="00AF51F3" w:rsidRDefault="00FA3C69" w:rsidP="00FA3C69">
            <w:pPr>
              <w:pStyle w:val="BodyText"/>
              <w:ind w:firstLine="0"/>
              <w:jc w:val="center"/>
            </w:pPr>
            <w:r w:rsidRPr="00FA3C69">
              <w:t>1180.564</w:t>
            </w:r>
          </w:p>
        </w:tc>
      </w:tr>
      <w:tr w:rsidR="00FA3C69" w:rsidRPr="007F0154" w14:paraId="59404A60" w14:textId="77777777" w:rsidTr="00FA38C8">
        <w:trPr>
          <w:trHeight w:val="278"/>
          <w:jc w:val="center"/>
        </w:trPr>
        <w:tc>
          <w:tcPr>
            <w:tcW w:w="1491" w:type="dxa"/>
            <w:vAlign w:val="bottom"/>
          </w:tcPr>
          <w:p w14:paraId="577340D7" w14:textId="40BAC6FF" w:rsidR="00FA3C69" w:rsidRPr="00AF51F3" w:rsidRDefault="00FA3C69" w:rsidP="00FA3C69">
            <w:pPr>
              <w:pStyle w:val="BodyText"/>
              <w:ind w:firstLine="0"/>
            </w:pPr>
            <w:r w:rsidRPr="00FA3C69">
              <w:t>0.06</w:t>
            </w:r>
          </w:p>
        </w:tc>
        <w:tc>
          <w:tcPr>
            <w:tcW w:w="2598" w:type="dxa"/>
            <w:vAlign w:val="bottom"/>
          </w:tcPr>
          <w:p w14:paraId="7B8B5FBA" w14:textId="03B9AAA8" w:rsidR="00FA3C69" w:rsidRPr="00AF51F3" w:rsidRDefault="00FA3C69" w:rsidP="00FA3C69">
            <w:pPr>
              <w:pStyle w:val="BodyText"/>
              <w:ind w:firstLine="0"/>
              <w:jc w:val="center"/>
            </w:pPr>
            <w:r w:rsidRPr="00FA3C69">
              <w:t>0.98682</w:t>
            </w:r>
          </w:p>
        </w:tc>
        <w:tc>
          <w:tcPr>
            <w:tcW w:w="2469" w:type="dxa"/>
            <w:vAlign w:val="bottom"/>
          </w:tcPr>
          <w:p w14:paraId="2CE46ACB" w14:textId="6DEF3570" w:rsidR="00FA3C69" w:rsidRPr="00AF51F3" w:rsidRDefault="00FA3C69" w:rsidP="00FA3C69">
            <w:pPr>
              <w:pStyle w:val="BodyText"/>
              <w:ind w:firstLine="0"/>
              <w:jc w:val="center"/>
            </w:pPr>
            <w:r w:rsidRPr="00FA3C69">
              <w:t>0.00050</w:t>
            </w:r>
          </w:p>
        </w:tc>
        <w:tc>
          <w:tcPr>
            <w:tcW w:w="2469" w:type="dxa"/>
            <w:vAlign w:val="bottom"/>
          </w:tcPr>
          <w:p w14:paraId="51E1A9EA" w14:textId="53AE4383" w:rsidR="00FA3C69" w:rsidRPr="00AF51F3" w:rsidRDefault="00FA3C69" w:rsidP="00FA3C69">
            <w:pPr>
              <w:pStyle w:val="BodyText"/>
              <w:ind w:firstLine="0"/>
              <w:jc w:val="center"/>
            </w:pPr>
            <w:r w:rsidRPr="00FA3C69">
              <w:t>1430.598</w:t>
            </w:r>
          </w:p>
        </w:tc>
      </w:tr>
      <w:tr w:rsidR="00FA3C69" w:rsidRPr="007F0154" w14:paraId="71DE28BA" w14:textId="77777777" w:rsidTr="00FA38C8">
        <w:trPr>
          <w:trHeight w:val="278"/>
          <w:jc w:val="center"/>
        </w:trPr>
        <w:tc>
          <w:tcPr>
            <w:tcW w:w="1491" w:type="dxa"/>
            <w:vAlign w:val="bottom"/>
          </w:tcPr>
          <w:p w14:paraId="127232F3" w14:textId="21D727BA" w:rsidR="00FA3C69" w:rsidRPr="00AF51F3" w:rsidRDefault="00FA3C69" w:rsidP="00FA3C69">
            <w:pPr>
              <w:pStyle w:val="BodyText"/>
              <w:ind w:firstLine="0"/>
            </w:pPr>
            <w:r w:rsidRPr="00FA3C69">
              <w:t>0.07</w:t>
            </w:r>
          </w:p>
        </w:tc>
        <w:tc>
          <w:tcPr>
            <w:tcW w:w="2598" w:type="dxa"/>
            <w:vAlign w:val="bottom"/>
          </w:tcPr>
          <w:p w14:paraId="4219413C" w14:textId="05CBD0B1" w:rsidR="00FA3C69" w:rsidRPr="00AF51F3" w:rsidRDefault="00FA3C69" w:rsidP="00FA3C69">
            <w:pPr>
              <w:pStyle w:val="BodyText"/>
              <w:ind w:firstLine="0"/>
              <w:jc w:val="center"/>
            </w:pPr>
            <w:r w:rsidRPr="00FA3C69">
              <w:t>0.98088</w:t>
            </w:r>
          </w:p>
        </w:tc>
        <w:tc>
          <w:tcPr>
            <w:tcW w:w="2469" w:type="dxa"/>
            <w:vAlign w:val="bottom"/>
          </w:tcPr>
          <w:p w14:paraId="5DE87409" w14:textId="026DB256" w:rsidR="00FA3C69" w:rsidRPr="00AF51F3" w:rsidRDefault="00FA3C69" w:rsidP="00FA3C69">
            <w:pPr>
              <w:pStyle w:val="BodyText"/>
              <w:ind w:firstLine="0"/>
              <w:jc w:val="center"/>
            </w:pPr>
            <w:r w:rsidRPr="00FA3C69">
              <w:t>0.00054</w:t>
            </w:r>
          </w:p>
        </w:tc>
        <w:tc>
          <w:tcPr>
            <w:tcW w:w="2469" w:type="dxa"/>
            <w:vAlign w:val="bottom"/>
          </w:tcPr>
          <w:p w14:paraId="39B863EC" w14:textId="735C57D7" w:rsidR="00FA3C69" w:rsidRPr="00AF51F3" w:rsidRDefault="00FA3C69" w:rsidP="00FA3C69">
            <w:pPr>
              <w:pStyle w:val="BodyText"/>
              <w:ind w:firstLine="0"/>
              <w:jc w:val="center"/>
            </w:pPr>
            <w:r w:rsidRPr="00FA3C69">
              <w:t>1685.271</w:t>
            </w:r>
          </w:p>
        </w:tc>
      </w:tr>
    </w:tbl>
    <w:p w14:paraId="60700BAD" w14:textId="77777777" w:rsidR="00FA3C69" w:rsidRDefault="00FA3C69" w:rsidP="00FA3C69">
      <w:pPr>
        <w:rPr>
          <w:sz w:val="20"/>
        </w:rPr>
      </w:pPr>
    </w:p>
    <w:p w14:paraId="4A3CDD35" w14:textId="77777777" w:rsidR="00AF51F3" w:rsidRPr="00AF51F3" w:rsidRDefault="00AF51F3" w:rsidP="00AF51F3">
      <w:pPr>
        <w:jc w:val="center"/>
        <w:rPr>
          <w:bCs/>
          <w:i/>
          <w:sz w:val="18"/>
        </w:rPr>
      </w:pPr>
    </w:p>
    <w:p w14:paraId="4E2288B5" w14:textId="5CBE8144" w:rsidR="00FA3C69" w:rsidRDefault="00FA3C69" w:rsidP="00FA3C69">
      <w:pPr>
        <w:pStyle w:val="Heading3"/>
        <w:numPr>
          <w:ilvl w:val="0"/>
          <w:numId w:val="0"/>
        </w:numPr>
      </w:pPr>
      <w:r w:rsidRPr="00FA3C69">
        <w:t>4.3. Thirdly, homogenous mixing of MA (NpO2) with the Burnable poison materials</w:t>
      </w:r>
    </w:p>
    <w:p w14:paraId="48F3CA91" w14:textId="27941DF5" w:rsidR="00FA3C69" w:rsidRDefault="00FA3C69" w:rsidP="00B830F1">
      <w:pPr>
        <w:ind w:firstLine="567"/>
        <w:rPr>
          <w:sz w:val="20"/>
        </w:rPr>
      </w:pPr>
      <w:r w:rsidRPr="00FA3C69">
        <w:rPr>
          <w:sz w:val="20"/>
        </w:rPr>
        <w:t>The third approach of loading the MA materials NpO2 is the homogeneous mixing of NP-237 in the burnable poison rod in this technique, the NpO2 mixed uniformly with burnable poison rod materials, which is made of Borosilicate glass. The concentration of The NpO2 in the poison materials is varied from 1%-5% to observe their effect on the reactor reactivity. Below the table, explain the calculated results:</w:t>
      </w:r>
    </w:p>
    <w:p w14:paraId="784E0157" w14:textId="63964F6E" w:rsidR="00FA3C69" w:rsidRDefault="00FA3C69" w:rsidP="00FA3C69">
      <w:pPr>
        <w:rPr>
          <w:sz w:val="20"/>
        </w:rPr>
      </w:pPr>
    </w:p>
    <w:p w14:paraId="18720D4C" w14:textId="5A4FB6BB" w:rsidR="00FA3C69" w:rsidRPr="00FA3C69" w:rsidRDefault="00FA3C69" w:rsidP="00FA3C69">
      <w:pPr>
        <w:pStyle w:val="BodyText"/>
        <w:ind w:firstLine="0"/>
      </w:pPr>
      <w:r w:rsidRPr="00FA3C69">
        <w:t>T</w:t>
      </w:r>
      <w:r>
        <w:t xml:space="preserve">ABLE  </w:t>
      </w:r>
      <w:r w:rsidRPr="00FA3C69">
        <w:t>5.</w:t>
      </w:r>
      <w:r>
        <w:t xml:space="preserve"> </w:t>
      </w:r>
      <w:r w:rsidRPr="00FA3C69">
        <w:t xml:space="preserve"> </w:t>
      </w:r>
      <w:r>
        <w:t xml:space="preserve">  THIRD APPROACH RESULTS</w:t>
      </w:r>
    </w:p>
    <w:p w14:paraId="1371FA5A" w14:textId="77777777" w:rsidR="00FA3C69" w:rsidRPr="00FA3C69" w:rsidRDefault="00FA3C69" w:rsidP="00FA3C69">
      <w:pPr>
        <w:pStyle w:val="BodyText"/>
        <w:rPr>
          <w:b/>
          <w:bCs/>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2598"/>
        <w:gridCol w:w="2469"/>
        <w:gridCol w:w="2469"/>
      </w:tblGrid>
      <w:tr w:rsidR="00FA3C69" w:rsidRPr="007F0154" w14:paraId="68D047E1" w14:textId="77777777" w:rsidTr="00FA38C8">
        <w:trPr>
          <w:trHeight w:val="278"/>
          <w:jc w:val="center"/>
        </w:trPr>
        <w:tc>
          <w:tcPr>
            <w:tcW w:w="1491" w:type="dxa"/>
            <w:tcBorders>
              <w:top w:val="single" w:sz="4" w:space="0" w:color="auto"/>
              <w:bottom w:val="single" w:sz="4" w:space="0" w:color="auto"/>
            </w:tcBorders>
          </w:tcPr>
          <w:p w14:paraId="5EC15C80" w14:textId="64E82A42" w:rsidR="00FA3C69" w:rsidRDefault="00FA3C69" w:rsidP="00FA3C69">
            <w:pPr>
              <w:pStyle w:val="BodyText"/>
              <w:ind w:firstLine="0"/>
            </w:pPr>
            <w:r w:rsidRPr="00FA3C69">
              <w:t xml:space="preserve">Percentage </w:t>
            </w:r>
          </w:p>
        </w:tc>
        <w:tc>
          <w:tcPr>
            <w:tcW w:w="2598" w:type="dxa"/>
            <w:tcBorders>
              <w:top w:val="single" w:sz="4" w:space="0" w:color="auto"/>
              <w:bottom w:val="single" w:sz="4" w:space="0" w:color="auto"/>
            </w:tcBorders>
          </w:tcPr>
          <w:p w14:paraId="3B0673D1" w14:textId="4ABC1B9B" w:rsidR="00FA3C69" w:rsidRDefault="00FA3C69" w:rsidP="00FA3C69">
            <w:pPr>
              <w:pStyle w:val="BodyText"/>
              <w:ind w:firstLine="0"/>
              <w:jc w:val="center"/>
            </w:pPr>
            <w:r w:rsidRPr="00FA3C69">
              <w:t>Keff</w:t>
            </w:r>
          </w:p>
        </w:tc>
        <w:tc>
          <w:tcPr>
            <w:tcW w:w="2469" w:type="dxa"/>
            <w:tcBorders>
              <w:top w:val="single" w:sz="4" w:space="0" w:color="auto"/>
              <w:bottom w:val="single" w:sz="4" w:space="0" w:color="auto"/>
            </w:tcBorders>
          </w:tcPr>
          <w:p w14:paraId="0195E030" w14:textId="03F423EC" w:rsidR="00FA3C69" w:rsidRPr="007F0154" w:rsidRDefault="00FA3C69" w:rsidP="00FA3C69">
            <w:pPr>
              <w:pStyle w:val="BodyText"/>
              <w:ind w:firstLine="0"/>
              <w:jc w:val="center"/>
            </w:pPr>
            <w:r w:rsidRPr="00FA3C69">
              <w:t>SD</w:t>
            </w:r>
          </w:p>
        </w:tc>
        <w:tc>
          <w:tcPr>
            <w:tcW w:w="2469" w:type="dxa"/>
            <w:tcBorders>
              <w:top w:val="single" w:sz="4" w:space="0" w:color="auto"/>
              <w:bottom w:val="single" w:sz="4" w:space="0" w:color="auto"/>
            </w:tcBorders>
          </w:tcPr>
          <w:p w14:paraId="6DC63AF2" w14:textId="129D7C8B" w:rsidR="00FA3C69" w:rsidRPr="007F0154" w:rsidRDefault="00FA3C69" w:rsidP="00FA3C69">
            <w:pPr>
              <w:pStyle w:val="BodyText"/>
              <w:ind w:firstLine="0"/>
              <w:jc w:val="center"/>
            </w:pPr>
            <w:r w:rsidRPr="00FA3C69">
              <w:t>Mass(kg)</w:t>
            </w:r>
          </w:p>
        </w:tc>
      </w:tr>
      <w:tr w:rsidR="00FA3C69" w:rsidRPr="00AF51F3" w14:paraId="535D549E" w14:textId="77777777" w:rsidTr="00FA38C8">
        <w:trPr>
          <w:trHeight w:val="278"/>
          <w:jc w:val="center"/>
        </w:trPr>
        <w:tc>
          <w:tcPr>
            <w:tcW w:w="1491" w:type="dxa"/>
            <w:tcBorders>
              <w:top w:val="single" w:sz="4" w:space="0" w:color="auto"/>
            </w:tcBorders>
          </w:tcPr>
          <w:p w14:paraId="196272C2" w14:textId="58881303" w:rsidR="00FA3C69" w:rsidRPr="00AF51F3" w:rsidRDefault="00FA3C69" w:rsidP="00FA3C69">
            <w:pPr>
              <w:pStyle w:val="BodyText"/>
              <w:ind w:firstLine="0"/>
            </w:pPr>
            <w:r w:rsidRPr="00FA3C69">
              <w:t>1%</w:t>
            </w:r>
          </w:p>
        </w:tc>
        <w:tc>
          <w:tcPr>
            <w:tcW w:w="2598" w:type="dxa"/>
            <w:tcBorders>
              <w:top w:val="single" w:sz="4" w:space="0" w:color="auto"/>
            </w:tcBorders>
            <w:vAlign w:val="bottom"/>
          </w:tcPr>
          <w:p w14:paraId="70D94528" w14:textId="11BA3A24" w:rsidR="00FA3C69" w:rsidRPr="00AF51F3" w:rsidRDefault="00FA3C69" w:rsidP="00FA3C69">
            <w:pPr>
              <w:pStyle w:val="BodyText"/>
              <w:ind w:firstLine="0"/>
              <w:jc w:val="center"/>
            </w:pPr>
            <w:r w:rsidRPr="00FA3C69">
              <w:t>1.04375</w:t>
            </w:r>
          </w:p>
        </w:tc>
        <w:tc>
          <w:tcPr>
            <w:tcW w:w="2469" w:type="dxa"/>
            <w:tcBorders>
              <w:top w:val="single" w:sz="4" w:space="0" w:color="auto"/>
            </w:tcBorders>
            <w:vAlign w:val="bottom"/>
          </w:tcPr>
          <w:p w14:paraId="5A3EF0B6" w14:textId="4DF25F65" w:rsidR="00FA3C69" w:rsidRPr="00AF51F3" w:rsidRDefault="00FA3C69" w:rsidP="00FA3C69">
            <w:pPr>
              <w:pStyle w:val="BodyText"/>
              <w:ind w:firstLine="0"/>
              <w:jc w:val="center"/>
            </w:pPr>
            <w:r w:rsidRPr="00FA3C69">
              <w:t>0.00052</w:t>
            </w:r>
          </w:p>
        </w:tc>
        <w:tc>
          <w:tcPr>
            <w:tcW w:w="2469" w:type="dxa"/>
            <w:tcBorders>
              <w:top w:val="single" w:sz="4" w:space="0" w:color="auto"/>
            </w:tcBorders>
            <w:vAlign w:val="bottom"/>
          </w:tcPr>
          <w:p w14:paraId="3BA56696" w14:textId="2295F9E3" w:rsidR="00FA3C69" w:rsidRPr="00AF51F3" w:rsidRDefault="00FA3C69" w:rsidP="00FA3C69">
            <w:pPr>
              <w:pStyle w:val="BodyText"/>
              <w:ind w:firstLine="0"/>
              <w:jc w:val="center"/>
            </w:pPr>
            <w:r w:rsidRPr="00FA3C69">
              <w:t>0</w:t>
            </w:r>
          </w:p>
        </w:tc>
      </w:tr>
      <w:tr w:rsidR="00FA3C69" w:rsidRPr="00AF51F3" w14:paraId="48B575B0" w14:textId="77777777" w:rsidTr="00FA38C8">
        <w:trPr>
          <w:trHeight w:val="278"/>
          <w:jc w:val="center"/>
        </w:trPr>
        <w:tc>
          <w:tcPr>
            <w:tcW w:w="1491" w:type="dxa"/>
          </w:tcPr>
          <w:p w14:paraId="3E842038" w14:textId="15304576" w:rsidR="00FA3C69" w:rsidRPr="00AF51F3" w:rsidRDefault="00FA3C69" w:rsidP="00FA3C69">
            <w:pPr>
              <w:pStyle w:val="BodyText"/>
              <w:ind w:firstLine="0"/>
            </w:pPr>
            <w:r w:rsidRPr="00FA3C69">
              <w:t>2%</w:t>
            </w:r>
          </w:p>
        </w:tc>
        <w:tc>
          <w:tcPr>
            <w:tcW w:w="2598" w:type="dxa"/>
            <w:vAlign w:val="bottom"/>
          </w:tcPr>
          <w:p w14:paraId="6DD4D09E" w14:textId="3C1E9F42" w:rsidR="00FA3C69" w:rsidRPr="00AF51F3" w:rsidRDefault="00FA3C69" w:rsidP="00FA3C69">
            <w:pPr>
              <w:pStyle w:val="BodyText"/>
              <w:ind w:firstLine="0"/>
              <w:jc w:val="center"/>
            </w:pPr>
            <w:r w:rsidRPr="00FA3C69">
              <w:t>1.0415</w:t>
            </w:r>
          </w:p>
        </w:tc>
        <w:tc>
          <w:tcPr>
            <w:tcW w:w="2469" w:type="dxa"/>
            <w:vAlign w:val="bottom"/>
          </w:tcPr>
          <w:p w14:paraId="18543A28" w14:textId="40B73CF2" w:rsidR="00FA3C69" w:rsidRPr="00AF51F3" w:rsidRDefault="00FA3C69" w:rsidP="00FA3C69">
            <w:pPr>
              <w:pStyle w:val="BodyText"/>
              <w:ind w:firstLine="0"/>
              <w:jc w:val="center"/>
            </w:pPr>
            <w:r w:rsidRPr="00FA3C69">
              <w:t>0.00054</w:t>
            </w:r>
          </w:p>
        </w:tc>
        <w:tc>
          <w:tcPr>
            <w:tcW w:w="2469" w:type="dxa"/>
            <w:vAlign w:val="bottom"/>
          </w:tcPr>
          <w:p w14:paraId="7247D4A3" w14:textId="21BE5FAF" w:rsidR="00FA3C69" w:rsidRPr="00AF51F3" w:rsidRDefault="00FA3C69" w:rsidP="00FA3C69">
            <w:pPr>
              <w:pStyle w:val="BodyText"/>
              <w:ind w:firstLine="0"/>
              <w:jc w:val="center"/>
            </w:pPr>
            <w:r w:rsidRPr="00FA3C69">
              <w:t>2.955372</w:t>
            </w:r>
          </w:p>
        </w:tc>
      </w:tr>
      <w:tr w:rsidR="00FA3C69" w:rsidRPr="00AF51F3" w14:paraId="29AC4283" w14:textId="77777777" w:rsidTr="00FA38C8">
        <w:trPr>
          <w:trHeight w:val="278"/>
          <w:jc w:val="center"/>
        </w:trPr>
        <w:tc>
          <w:tcPr>
            <w:tcW w:w="1491" w:type="dxa"/>
          </w:tcPr>
          <w:p w14:paraId="7470C02B" w14:textId="2D58193D" w:rsidR="00FA3C69" w:rsidRPr="00AF51F3" w:rsidRDefault="00FA3C69" w:rsidP="00FA3C69">
            <w:pPr>
              <w:pStyle w:val="BodyText"/>
              <w:ind w:firstLine="0"/>
            </w:pPr>
            <w:r w:rsidRPr="00FA3C69">
              <w:t>3%</w:t>
            </w:r>
          </w:p>
        </w:tc>
        <w:tc>
          <w:tcPr>
            <w:tcW w:w="2598" w:type="dxa"/>
            <w:vAlign w:val="bottom"/>
          </w:tcPr>
          <w:p w14:paraId="24892CA8" w14:textId="7E175E6E" w:rsidR="00FA3C69" w:rsidRPr="00AF51F3" w:rsidRDefault="00FA3C69" w:rsidP="00FA3C69">
            <w:pPr>
              <w:pStyle w:val="BodyText"/>
              <w:ind w:firstLine="0"/>
              <w:jc w:val="center"/>
            </w:pPr>
            <w:r w:rsidRPr="00FA3C69">
              <w:t>1.03832</w:t>
            </w:r>
          </w:p>
        </w:tc>
        <w:tc>
          <w:tcPr>
            <w:tcW w:w="2469" w:type="dxa"/>
            <w:vAlign w:val="bottom"/>
          </w:tcPr>
          <w:p w14:paraId="3D82E666" w14:textId="39FB1F78" w:rsidR="00FA3C69" w:rsidRPr="00AF51F3" w:rsidRDefault="00FA3C69" w:rsidP="00FA3C69">
            <w:pPr>
              <w:pStyle w:val="BodyText"/>
              <w:ind w:firstLine="0"/>
              <w:jc w:val="center"/>
            </w:pPr>
            <w:r w:rsidRPr="00FA3C69">
              <w:t>0.00049</w:t>
            </w:r>
          </w:p>
        </w:tc>
        <w:tc>
          <w:tcPr>
            <w:tcW w:w="2469" w:type="dxa"/>
            <w:vAlign w:val="bottom"/>
          </w:tcPr>
          <w:p w14:paraId="61CDA7D3" w14:textId="13CCA538" w:rsidR="00FA3C69" w:rsidRPr="00AF51F3" w:rsidRDefault="00FA3C69" w:rsidP="00FA3C69">
            <w:pPr>
              <w:pStyle w:val="BodyText"/>
              <w:ind w:firstLine="0"/>
              <w:jc w:val="center"/>
            </w:pPr>
            <w:r w:rsidRPr="00FA3C69">
              <w:t>6.136854</w:t>
            </w:r>
          </w:p>
        </w:tc>
      </w:tr>
      <w:tr w:rsidR="00FA3C69" w:rsidRPr="00AF51F3" w14:paraId="0ED34BAA" w14:textId="77777777" w:rsidTr="00FA38C8">
        <w:trPr>
          <w:trHeight w:val="278"/>
          <w:jc w:val="center"/>
        </w:trPr>
        <w:tc>
          <w:tcPr>
            <w:tcW w:w="1491" w:type="dxa"/>
          </w:tcPr>
          <w:p w14:paraId="508074E7" w14:textId="4F623619" w:rsidR="00FA3C69" w:rsidRPr="00AF51F3" w:rsidRDefault="00FA3C69" w:rsidP="00FA3C69">
            <w:pPr>
              <w:pStyle w:val="BodyText"/>
              <w:ind w:firstLine="0"/>
            </w:pPr>
            <w:r w:rsidRPr="00FA3C69">
              <w:t>4%</w:t>
            </w:r>
          </w:p>
        </w:tc>
        <w:tc>
          <w:tcPr>
            <w:tcW w:w="2598" w:type="dxa"/>
            <w:vAlign w:val="bottom"/>
          </w:tcPr>
          <w:p w14:paraId="6B11AF89" w14:textId="09347138" w:rsidR="00FA3C69" w:rsidRPr="00AF51F3" w:rsidRDefault="00FA3C69" w:rsidP="00FA3C69">
            <w:pPr>
              <w:pStyle w:val="BodyText"/>
              <w:ind w:firstLine="0"/>
              <w:jc w:val="center"/>
            </w:pPr>
            <w:r w:rsidRPr="00FA3C69">
              <w:t>1.03475</w:t>
            </w:r>
          </w:p>
        </w:tc>
        <w:tc>
          <w:tcPr>
            <w:tcW w:w="2469" w:type="dxa"/>
            <w:vAlign w:val="bottom"/>
          </w:tcPr>
          <w:p w14:paraId="20881102" w14:textId="5160FA69" w:rsidR="00FA3C69" w:rsidRPr="00AF51F3" w:rsidRDefault="00FA3C69" w:rsidP="00FA3C69">
            <w:pPr>
              <w:pStyle w:val="BodyText"/>
              <w:ind w:firstLine="0"/>
              <w:jc w:val="center"/>
            </w:pPr>
            <w:r w:rsidRPr="00FA3C69">
              <w:t>0.00054</w:t>
            </w:r>
          </w:p>
        </w:tc>
        <w:tc>
          <w:tcPr>
            <w:tcW w:w="2469" w:type="dxa"/>
            <w:vAlign w:val="bottom"/>
          </w:tcPr>
          <w:p w14:paraId="1F01457B" w14:textId="39FB1718" w:rsidR="00FA3C69" w:rsidRPr="00AF51F3" w:rsidRDefault="00FA3C69" w:rsidP="00FA3C69">
            <w:pPr>
              <w:pStyle w:val="BodyText"/>
              <w:ind w:firstLine="0"/>
              <w:jc w:val="center"/>
            </w:pPr>
            <w:r w:rsidRPr="00FA3C69">
              <w:t>9.544447</w:t>
            </w:r>
          </w:p>
        </w:tc>
      </w:tr>
      <w:tr w:rsidR="00FA3C69" w:rsidRPr="00AF51F3" w14:paraId="59F1E484" w14:textId="77777777" w:rsidTr="00FA38C8">
        <w:trPr>
          <w:trHeight w:val="278"/>
          <w:jc w:val="center"/>
        </w:trPr>
        <w:tc>
          <w:tcPr>
            <w:tcW w:w="1491" w:type="dxa"/>
          </w:tcPr>
          <w:p w14:paraId="5B0A7347" w14:textId="6F2AC400" w:rsidR="00FA3C69" w:rsidRPr="00AF51F3" w:rsidRDefault="00FA3C69" w:rsidP="00FA3C69">
            <w:pPr>
              <w:pStyle w:val="BodyText"/>
              <w:ind w:firstLine="0"/>
            </w:pPr>
            <w:r w:rsidRPr="00FA3C69">
              <w:t>5%</w:t>
            </w:r>
          </w:p>
        </w:tc>
        <w:tc>
          <w:tcPr>
            <w:tcW w:w="2598" w:type="dxa"/>
            <w:vAlign w:val="bottom"/>
          </w:tcPr>
          <w:p w14:paraId="3AF53F50" w14:textId="70E5255D" w:rsidR="00FA3C69" w:rsidRPr="00AF51F3" w:rsidRDefault="00FA3C69" w:rsidP="00FA3C69">
            <w:pPr>
              <w:pStyle w:val="BodyText"/>
              <w:ind w:firstLine="0"/>
              <w:jc w:val="center"/>
            </w:pPr>
            <w:r w:rsidRPr="00FA3C69">
              <w:t>1.03484</w:t>
            </w:r>
          </w:p>
        </w:tc>
        <w:tc>
          <w:tcPr>
            <w:tcW w:w="2469" w:type="dxa"/>
            <w:vAlign w:val="bottom"/>
          </w:tcPr>
          <w:p w14:paraId="6D8AB5B4" w14:textId="5CD65112" w:rsidR="00FA3C69" w:rsidRPr="00AF51F3" w:rsidRDefault="00FA3C69" w:rsidP="00FA3C69">
            <w:pPr>
              <w:pStyle w:val="BodyText"/>
              <w:ind w:firstLine="0"/>
              <w:jc w:val="center"/>
            </w:pPr>
            <w:r w:rsidRPr="00FA3C69">
              <w:t>0.00051</w:t>
            </w:r>
          </w:p>
        </w:tc>
        <w:tc>
          <w:tcPr>
            <w:tcW w:w="2469" w:type="dxa"/>
            <w:vAlign w:val="bottom"/>
          </w:tcPr>
          <w:p w14:paraId="7D69ABD4" w14:textId="4C0BEADE" w:rsidR="00FA3C69" w:rsidRPr="00AF51F3" w:rsidRDefault="00FA3C69" w:rsidP="00FA3C69">
            <w:pPr>
              <w:pStyle w:val="BodyText"/>
              <w:ind w:firstLine="0"/>
              <w:jc w:val="center"/>
            </w:pPr>
            <w:r w:rsidRPr="00FA3C69">
              <w:t>13.17815</w:t>
            </w:r>
          </w:p>
        </w:tc>
      </w:tr>
    </w:tbl>
    <w:p w14:paraId="6E3E09F5" w14:textId="77777777" w:rsidR="00AF51F3" w:rsidRPr="00761382" w:rsidRDefault="00AF51F3" w:rsidP="00761382">
      <w:pPr>
        <w:jc w:val="center"/>
        <w:rPr>
          <w:sz w:val="20"/>
        </w:rPr>
      </w:pPr>
    </w:p>
    <w:p w14:paraId="05B00EBC" w14:textId="77777777" w:rsidR="00F17B72" w:rsidRPr="00F17B72" w:rsidRDefault="00F17B72" w:rsidP="00F17B72">
      <w:pPr>
        <w:jc w:val="both"/>
        <w:rPr>
          <w:b/>
          <w:bCs/>
          <w:sz w:val="20"/>
          <w:lang w:val="en-US"/>
        </w:rPr>
      </w:pPr>
    </w:p>
    <w:p w14:paraId="773103C2" w14:textId="513E7253" w:rsidR="00B830F1" w:rsidRDefault="00B830F1" w:rsidP="00B830F1">
      <w:pPr>
        <w:pStyle w:val="Heading2"/>
      </w:pPr>
      <w:r>
        <w:t>Discusion and CONCLUSION</w:t>
      </w:r>
    </w:p>
    <w:p w14:paraId="614FAC3C" w14:textId="0D3C2F1E" w:rsidR="002C7C85" w:rsidRDefault="00435D7D" w:rsidP="002C7C85">
      <w:pPr>
        <w:pStyle w:val="BodyText"/>
      </w:pPr>
      <w:r>
        <w:t>I</w:t>
      </w:r>
      <w:r w:rsidR="00C879D2">
        <w:t>n</w:t>
      </w:r>
      <w:r>
        <w:t xml:space="preserve"> the paper we have </w:t>
      </w:r>
      <w:r w:rsidR="000438B0">
        <w:t>tried three approaches to transmute Minor Actinides</w:t>
      </w:r>
      <w:r w:rsidR="002C7C85">
        <w:t xml:space="preserve"> (NpO2)</w:t>
      </w:r>
      <w:r w:rsidR="000438B0">
        <w:t xml:space="preserve"> in AP1000 reactor all these approaches proved possibilities to be use</w:t>
      </w:r>
      <w:r w:rsidR="002C7C85">
        <w:t>d</w:t>
      </w:r>
      <w:r w:rsidR="000438B0">
        <w:t xml:space="preserve"> in transmuting </w:t>
      </w:r>
      <w:r w:rsidR="002C7C85">
        <w:t xml:space="preserve">of </w:t>
      </w:r>
      <w:r w:rsidR="000438B0">
        <w:t xml:space="preserve">MA but they are different in the amount that can be transmuted, the first approach which is to coat a thin layer of MA which it is NpO2 with the burnable poison </w:t>
      </w:r>
      <w:r w:rsidR="002C7C85">
        <w:t xml:space="preserve">in the burnable poison rods </w:t>
      </w:r>
      <w:r w:rsidR="000438B0">
        <w:t xml:space="preserve"> showed that the largest amount that can be transmuted is  </w:t>
      </w:r>
      <w:r w:rsidR="000438B0" w:rsidRPr="00AF51F3">
        <w:t>1897.209</w:t>
      </w:r>
      <w:r w:rsidR="006965F7">
        <w:t xml:space="preserve"> </w:t>
      </w:r>
      <w:bookmarkStart w:id="28" w:name="_GoBack"/>
      <w:bookmarkEnd w:id="28"/>
      <w:r w:rsidR="000438B0">
        <w:t>Kg when the thickness of MA the layer is 0.11 cm</w:t>
      </w:r>
      <w:r w:rsidR="002C7C85">
        <w:t xml:space="preserve">, In the Second approach which is to coat a thin layer in the water gap </w:t>
      </w:r>
      <w:r w:rsidR="000438B0">
        <w:t xml:space="preserve"> </w:t>
      </w:r>
      <w:r w:rsidR="002C7C85">
        <w:t xml:space="preserve">in the BP rods and this is limited by the space that available which can not exceed 0.07 cm of the layer thickness and at this value the largest amount that can be transmuted is  </w:t>
      </w:r>
      <w:r w:rsidR="002C7C85" w:rsidRPr="00FA3C69">
        <w:t>1685.271</w:t>
      </w:r>
      <w:r w:rsidR="002C7C85">
        <w:t xml:space="preserve"> kg. The third approach is homogenously mixing the MA materials with the BP materials and the largest percentage is 5% and the mass is 13.17815 kg.</w:t>
      </w:r>
    </w:p>
    <w:p w14:paraId="2EE9AAE5" w14:textId="71D8F673" w:rsidR="002C7C85" w:rsidRDefault="002C7C85" w:rsidP="002C7C85">
      <w:pPr>
        <w:pStyle w:val="BodyText"/>
        <w:ind w:firstLine="0"/>
      </w:pPr>
      <w:r>
        <w:lastRenderedPageBreak/>
        <w:tab/>
        <w:t>When we introduce the MA in the reactor it effects in the reactor criticality but the it can be maintained through some techniques like additive of boric acid.</w:t>
      </w:r>
    </w:p>
    <w:p w14:paraId="401AFCFF" w14:textId="6A104537" w:rsidR="002C7C85" w:rsidRPr="00B830F1" w:rsidRDefault="002C7C85" w:rsidP="002C7C85">
      <w:pPr>
        <w:pStyle w:val="BodyText"/>
        <w:ind w:firstLine="0"/>
      </w:pPr>
      <w:r>
        <w:t xml:space="preserve">I conclude </w:t>
      </w:r>
      <w:r w:rsidR="006965F7">
        <w:t>that the</w:t>
      </w:r>
      <w:r>
        <w:t xml:space="preserve"> first approach can be more effective in the matter of the MA amount as the results showed.    </w:t>
      </w:r>
    </w:p>
    <w:p w14:paraId="03C74CC2" w14:textId="23CA6527" w:rsidR="00F17B72" w:rsidRPr="00F17B72" w:rsidRDefault="00F17B72" w:rsidP="00F17B72">
      <w:pPr>
        <w:jc w:val="both"/>
        <w:rPr>
          <w:sz w:val="20"/>
        </w:rPr>
      </w:pPr>
    </w:p>
    <w:p w14:paraId="186872E0" w14:textId="1B4D2CFD" w:rsidR="00D26ADA" w:rsidRDefault="00D26ADA" w:rsidP="00537496">
      <w:pPr>
        <w:pStyle w:val="Otherunnumberedheadings"/>
      </w:pPr>
      <w:r>
        <w:t>References</w:t>
      </w:r>
    </w:p>
    <w:p w14:paraId="3D841544" w14:textId="77777777" w:rsidR="00FA3C69" w:rsidRPr="00FA3C69" w:rsidRDefault="00FA3C69" w:rsidP="00FA3C69">
      <w:pPr>
        <w:pStyle w:val="Referencelist"/>
      </w:pPr>
      <w:bookmarkStart w:id="29" w:name="OLE_LINK5"/>
      <w:r w:rsidRPr="00FA3C69">
        <w:t>EA-TECDOC-1613</w:t>
      </w:r>
      <w:bookmarkEnd w:id="29"/>
      <w:r w:rsidRPr="00FA3C69">
        <w:t>, 2009 edition nuclear fuel cycle information system, a directory of nuclear fuel cycle facilities 2009 edition</w:t>
      </w:r>
    </w:p>
    <w:bookmarkStart w:id="30" w:name="OLE_LINK6"/>
    <w:bookmarkStart w:id="31" w:name="OLE_LINK12"/>
    <w:p w14:paraId="0F30A673" w14:textId="77777777" w:rsidR="00FA3C69" w:rsidRPr="00FA3C69" w:rsidRDefault="00FA3C69" w:rsidP="00FA3C69">
      <w:pPr>
        <w:pStyle w:val="Referencelist"/>
      </w:pPr>
      <w:r w:rsidRPr="00FA3C69">
        <w:fldChar w:fldCharType="begin"/>
      </w:r>
      <w:r w:rsidRPr="00FA3C69">
        <w:instrText xml:space="preserve"> HYPERLINK "https://www.nei.org/Knowledge-Center/Nuclear-Statistics/World-Statistics" </w:instrText>
      </w:r>
      <w:r w:rsidRPr="00FA3C69">
        <w:fldChar w:fldCharType="separate"/>
      </w:r>
      <w:r w:rsidRPr="00FA3C69">
        <w:t>https://www.nei.org/Knowledge-Center/Nuclear-Statistics/World-Statistics</w:t>
      </w:r>
      <w:r w:rsidRPr="00FA3C69">
        <w:fldChar w:fldCharType="end"/>
      </w:r>
    </w:p>
    <w:p w14:paraId="586E4DF6" w14:textId="77777777" w:rsidR="00FA3C69" w:rsidRPr="00FA3C69" w:rsidRDefault="00FA3C69" w:rsidP="00FA3C69">
      <w:pPr>
        <w:pStyle w:val="Referencelist"/>
      </w:pPr>
      <w:bookmarkStart w:id="32" w:name="OLE_LINK20"/>
      <w:bookmarkStart w:id="33" w:name="OLE_LINK21"/>
      <w:r w:rsidRPr="00FA3C69">
        <w:t xml:space="preserve">NEA No- 6997 OECD, Nuclear Energy Agency Minor Actinide burning in thermal reactors. </w:t>
      </w:r>
    </w:p>
    <w:bookmarkEnd w:id="32"/>
    <w:bookmarkEnd w:id="33"/>
    <w:p w14:paraId="1AB1BB73" w14:textId="77777777" w:rsidR="00FA3C69" w:rsidRPr="00FA3C69" w:rsidRDefault="00FA3C69" w:rsidP="00FA3C69">
      <w:pPr>
        <w:pStyle w:val="Referencelist"/>
      </w:pPr>
      <w:proofErr w:type="spellStart"/>
      <w:r w:rsidRPr="00FA3C69">
        <w:t>Madic</w:t>
      </w:r>
      <w:proofErr w:type="spellEnd"/>
      <w:r w:rsidRPr="00FA3C69">
        <w:t xml:space="preserve">, C., </w:t>
      </w:r>
      <w:proofErr w:type="spellStart"/>
      <w:r w:rsidRPr="00FA3C69">
        <w:t>Boullis</w:t>
      </w:r>
      <w:proofErr w:type="spellEnd"/>
      <w:r w:rsidRPr="00FA3C69">
        <w:t xml:space="preserve">, B., Baron, P., 2007 Futuristic back-end of the nuclear fuel. cycle with the partitioning of minor </w:t>
      </w:r>
      <w:proofErr w:type="gramStart"/>
      <w:r w:rsidRPr="00FA3C69">
        <w:t>actinides .</w:t>
      </w:r>
      <w:proofErr w:type="gramEnd"/>
      <w:r w:rsidRPr="00FA3C69">
        <w:t xml:space="preserve"> </w:t>
      </w:r>
      <w:proofErr w:type="spellStart"/>
      <w:proofErr w:type="gramStart"/>
      <w:r w:rsidRPr="00FA3C69">
        <w:t>J.Alloy</w:t>
      </w:r>
      <w:proofErr w:type="spellEnd"/>
      <w:proofErr w:type="gramEnd"/>
      <w:r w:rsidRPr="00FA3C69">
        <w:t xml:space="preserve">  </w:t>
      </w:r>
      <w:proofErr w:type="spellStart"/>
      <w:r w:rsidRPr="00FA3C69">
        <w:t>compd</w:t>
      </w:r>
      <w:proofErr w:type="spellEnd"/>
      <w:r w:rsidRPr="00FA3C69">
        <w:t xml:space="preserve"> 444,23-27</w:t>
      </w:r>
    </w:p>
    <w:p w14:paraId="2F70DF87" w14:textId="77777777" w:rsidR="00FA3C69" w:rsidRPr="00FA3C69" w:rsidRDefault="00FA3C69" w:rsidP="00FA3C69">
      <w:pPr>
        <w:pStyle w:val="Referencelist"/>
      </w:pPr>
      <w:r w:rsidRPr="00FA3C69">
        <w:t>Terry A. Todd, April 22-2015, Warsaw-Poland, The US DOE R&amp;D program on MA separations, National Technical Director Idaho national lab First SACSESS Int.</w:t>
      </w:r>
    </w:p>
    <w:p w14:paraId="183C1317" w14:textId="77777777" w:rsidR="00FA3C69" w:rsidRPr="00FA3C69" w:rsidRDefault="00FA3C69" w:rsidP="00FA3C69">
      <w:pPr>
        <w:pStyle w:val="Referencelist"/>
        <w:rPr>
          <w:rtl/>
          <w:cs/>
        </w:rPr>
      </w:pPr>
      <w:hyperlink r:id="rId16" w:history="1">
        <w:r w:rsidRPr="00FA3C69">
          <w:t>www.iaea.org/inis/collection/.../_Public/</w:t>
        </w:r>
        <w:r w:rsidRPr="00FA3C69">
          <w:rPr>
            <w:rtl/>
            <w:cs/>
          </w:rPr>
          <w:t>27/.../27071162</w:t>
        </w:r>
      </w:hyperlink>
    </w:p>
    <w:p w14:paraId="53B5130D" w14:textId="77777777" w:rsidR="00FA3C69" w:rsidRPr="00FA3C69" w:rsidRDefault="00FA3C69" w:rsidP="00FA3C69">
      <w:pPr>
        <w:pStyle w:val="Referencelist"/>
      </w:pPr>
      <w:r w:rsidRPr="00FA3C69">
        <w:t>https://study.com/academy/lesson/actinides-definition-properties-uses.html</w:t>
      </w:r>
    </w:p>
    <w:p w14:paraId="64A8AE51" w14:textId="77777777" w:rsidR="00FA3C69" w:rsidRPr="00FA3C69" w:rsidRDefault="00FA3C69" w:rsidP="00FA3C69">
      <w:pPr>
        <w:pStyle w:val="Referencelist"/>
      </w:pPr>
      <w:r w:rsidRPr="00FA3C69">
        <w:t xml:space="preserve">Liu, B., Wang, K., Tu, J., Liu, F., Huang, L., Hu, W., 2014. Transmutation of     minor actinides in the pressurized water reactors. Ann. </w:t>
      </w:r>
      <w:proofErr w:type="spellStart"/>
      <w:r w:rsidRPr="00FA3C69">
        <w:t>Nucl</w:t>
      </w:r>
      <w:proofErr w:type="spellEnd"/>
      <w:r w:rsidRPr="00FA3C69">
        <w:t>. Energy 64, 86-92</w:t>
      </w:r>
    </w:p>
    <w:p w14:paraId="3634360A" w14:textId="77777777" w:rsidR="00FA3C69" w:rsidRPr="00FA3C69" w:rsidRDefault="00FA3C69" w:rsidP="00FA3C69">
      <w:pPr>
        <w:pStyle w:val="Referencelist"/>
      </w:pPr>
      <w:r w:rsidRPr="00FA3C69">
        <w:t>Position Paper, National Nuclear Laboratory-</w:t>
      </w:r>
      <w:proofErr w:type="spellStart"/>
      <w:r w:rsidRPr="00FA3C69">
        <w:t>uk</w:t>
      </w:r>
      <w:proofErr w:type="spellEnd"/>
      <w:r w:rsidRPr="00FA3C69">
        <w:t xml:space="preserve">, Minor Actinide Transmutation </w:t>
      </w:r>
    </w:p>
    <w:p w14:paraId="0C09E498" w14:textId="77777777" w:rsidR="00FA3C69" w:rsidRPr="00FA3C69" w:rsidRDefault="00FA3C69" w:rsidP="00FA3C69">
      <w:pPr>
        <w:pStyle w:val="Referencelist"/>
      </w:pPr>
      <w:r w:rsidRPr="00FA3C69">
        <w:t xml:space="preserve">C.H.M. </w:t>
      </w:r>
      <w:proofErr w:type="spellStart"/>
      <w:r w:rsidRPr="00FA3C69">
        <w:t>Broeders</w:t>
      </w:r>
      <w:proofErr w:type="spellEnd"/>
      <w:r w:rsidRPr="00FA3C69">
        <w:t xml:space="preserve">, E. </w:t>
      </w:r>
      <w:proofErr w:type="spellStart"/>
      <w:proofErr w:type="gramStart"/>
      <w:r w:rsidRPr="00FA3C69">
        <w:t>Kiefhaber</w:t>
      </w:r>
      <w:proofErr w:type="spellEnd"/>
      <w:r w:rsidRPr="00FA3C69">
        <w:t xml:space="preserve"> ,</w:t>
      </w:r>
      <w:proofErr w:type="gramEnd"/>
      <w:r w:rsidRPr="00FA3C69">
        <w:t xml:space="preserve"> H.W. Wiese </w:t>
      </w:r>
      <w:proofErr w:type="spellStart"/>
      <w:r w:rsidRPr="00FA3C69">
        <w:t>Forschungszentrum</w:t>
      </w:r>
      <w:proofErr w:type="spellEnd"/>
      <w:r w:rsidRPr="00FA3C69">
        <w:t xml:space="preserve"> Karlsruhe, 1999, Burning trans-uranium isotopes in thermal and fast reactors and fast reactor</w:t>
      </w:r>
    </w:p>
    <w:p w14:paraId="72934F37" w14:textId="77777777" w:rsidR="00FA3C69" w:rsidRPr="00FA3C69" w:rsidRDefault="00FA3C69" w:rsidP="00FA3C69">
      <w:pPr>
        <w:pStyle w:val="Referencelist"/>
      </w:pPr>
      <w:proofErr w:type="spellStart"/>
      <w:proofErr w:type="gramStart"/>
      <w:r w:rsidRPr="00FA3C69">
        <w:t>T.mukaiyama</w:t>
      </w:r>
      <w:proofErr w:type="spellEnd"/>
      <w:proofErr w:type="gramEnd"/>
      <w:r w:rsidRPr="00FA3C69">
        <w:t xml:space="preserve">, </w:t>
      </w:r>
      <w:proofErr w:type="spellStart"/>
      <w:r w:rsidRPr="00FA3C69">
        <w:t>Y.Giunji</w:t>
      </w:r>
      <w:proofErr w:type="spellEnd"/>
      <w:r w:rsidRPr="00FA3C69">
        <w:t xml:space="preserve">, Japan atomic energy research institute, Characteristics of minor actinide transmutation in minor actinide burner reactor </w:t>
      </w:r>
    </w:p>
    <w:p w14:paraId="1852F36F" w14:textId="77777777" w:rsidR="00FA3C69" w:rsidRPr="00FA3C69" w:rsidRDefault="00FA3C69" w:rsidP="00FA3C69">
      <w:pPr>
        <w:pStyle w:val="Referencelist"/>
      </w:pPr>
      <w:r w:rsidRPr="00FA3C69">
        <w:t xml:space="preserve">Production of minor actinides in thermal nuclear reactors and </w:t>
      </w:r>
      <w:proofErr w:type="spellStart"/>
      <w:r w:rsidRPr="00FA3C69">
        <w:t>nonprofileration</w:t>
      </w:r>
      <w:proofErr w:type="spellEnd"/>
    </w:p>
    <w:p w14:paraId="4151A5F1" w14:textId="77777777" w:rsidR="00FA3C69" w:rsidRPr="00FA3C69" w:rsidRDefault="00FA3C69" w:rsidP="00FA3C69">
      <w:pPr>
        <w:pStyle w:val="Referencelist"/>
      </w:pPr>
      <w:r w:rsidRPr="00FA3C69">
        <w:t xml:space="preserve">S. </w:t>
      </w:r>
      <w:proofErr w:type="spellStart"/>
      <w:r w:rsidRPr="00FA3C69">
        <w:t>Leray</w:t>
      </w:r>
      <w:proofErr w:type="spellEnd"/>
      <w:r w:rsidRPr="00FA3C69">
        <w:t>, France, National laboratory, Nuclear waste transmutation</w:t>
      </w:r>
    </w:p>
    <w:p w14:paraId="7457E65D" w14:textId="77777777" w:rsidR="00FA3C69" w:rsidRPr="00FA3C69" w:rsidRDefault="00FA3C69" w:rsidP="00FA3C69">
      <w:pPr>
        <w:pStyle w:val="Referencelist"/>
      </w:pPr>
      <w:r w:rsidRPr="00FA3C69">
        <w:t xml:space="preserve">Iwasaki, T., 2002. A study of transmutation of minor-actinide in a thermal neutron ﬁeld of the advanced neutron source. Prog. </w:t>
      </w:r>
      <w:proofErr w:type="spellStart"/>
      <w:r w:rsidRPr="00FA3C69">
        <w:t>Nucl</w:t>
      </w:r>
      <w:proofErr w:type="spellEnd"/>
      <w:r w:rsidRPr="00FA3C69">
        <w:t>. Energy 40, 481–488</w:t>
      </w:r>
    </w:p>
    <w:p w14:paraId="6B2D797D" w14:textId="77777777" w:rsidR="00FA3C69" w:rsidRPr="00FA3C69" w:rsidRDefault="00FA3C69" w:rsidP="00FA3C69">
      <w:pPr>
        <w:pStyle w:val="Referencelist"/>
      </w:pPr>
      <w:r w:rsidRPr="00FA3C69">
        <w:t xml:space="preserve">Iwasaki, T and </w:t>
      </w:r>
      <w:proofErr w:type="spellStart"/>
      <w:r w:rsidRPr="00FA3C69">
        <w:t>Hirakawa</w:t>
      </w:r>
      <w:proofErr w:type="spellEnd"/>
      <w:r w:rsidRPr="00FA3C69">
        <w:t>, H, 1995, Transmutation of minor actinide in well-thermalized neutron field and application of advanced neutron source.</w:t>
      </w:r>
    </w:p>
    <w:p w14:paraId="4A9AAC6B" w14:textId="77777777" w:rsidR="00FA3C69" w:rsidRPr="00FA3C69" w:rsidRDefault="00FA3C69" w:rsidP="00FA3C69">
      <w:pPr>
        <w:pStyle w:val="Referencelist"/>
      </w:pPr>
      <w:proofErr w:type="spellStart"/>
      <w:r w:rsidRPr="00FA3C69">
        <w:t>M.Szieberth</w:t>
      </w:r>
      <w:proofErr w:type="spellEnd"/>
      <w:r w:rsidRPr="00FA3C69">
        <w:t xml:space="preserve">, </w:t>
      </w:r>
      <w:proofErr w:type="spellStart"/>
      <w:proofErr w:type="gramStart"/>
      <w:r w:rsidRPr="00FA3C69">
        <w:t>M.Halasz</w:t>
      </w:r>
      <w:proofErr w:type="spellEnd"/>
      <w:proofErr w:type="gramEnd"/>
      <w:r w:rsidRPr="00FA3C69">
        <w:t xml:space="preserve">, T. Reiss, S. </w:t>
      </w:r>
      <w:proofErr w:type="spellStart"/>
      <w:r w:rsidRPr="00FA3C69">
        <w:t>Feher</w:t>
      </w:r>
      <w:proofErr w:type="spellEnd"/>
      <w:r w:rsidRPr="00FA3C69">
        <w:t>, Institute of nuclear techniques, Budapest, Fuel cycle studies on minor actinide burning in Gas cooled fast reactor</w:t>
      </w:r>
    </w:p>
    <w:p w14:paraId="2AD55007" w14:textId="77777777" w:rsidR="00FA3C69" w:rsidRPr="00FA3C69" w:rsidRDefault="00FA3C69" w:rsidP="00FA3C69">
      <w:pPr>
        <w:pStyle w:val="Referencelist"/>
      </w:pPr>
      <w:proofErr w:type="spellStart"/>
      <w:r w:rsidRPr="00FA3C69">
        <w:t>Bahatii</w:t>
      </w:r>
      <w:proofErr w:type="spellEnd"/>
      <w:r w:rsidRPr="00FA3C69">
        <w:t xml:space="preserve">, </w:t>
      </w:r>
      <w:proofErr w:type="spellStart"/>
      <w:r w:rsidRPr="00FA3C69">
        <w:t>Zaki</w:t>
      </w:r>
      <w:proofErr w:type="spellEnd"/>
      <w:r w:rsidRPr="00FA3C69">
        <w:t>, Hyland, B, Edward, G.W.R, Minor actinide transmutation in thorium and uranium matrices in heavy water moderated reactors.</w:t>
      </w:r>
    </w:p>
    <w:p w14:paraId="546BD723" w14:textId="77777777" w:rsidR="00FA3C69" w:rsidRPr="00FA3C69" w:rsidRDefault="00FA3C69" w:rsidP="00FA3C69">
      <w:pPr>
        <w:pStyle w:val="Referencelist"/>
      </w:pPr>
      <w:r w:rsidRPr="00FA3C69">
        <w:t xml:space="preserve">Liu, B., Hu, W., Wang, K., Huang, L., Ouyang, X., Tu, J., Zhu, Y., 2013. Transmutation of MA in the High Flux Thermal Reactor. J. </w:t>
      </w:r>
      <w:proofErr w:type="spellStart"/>
      <w:r w:rsidRPr="00FA3C69">
        <w:t>Nucl</w:t>
      </w:r>
      <w:proofErr w:type="spellEnd"/>
      <w:r w:rsidRPr="00FA3C69">
        <w:t>. Mater. 437, 95–10.</w:t>
      </w:r>
    </w:p>
    <w:p w14:paraId="48293534" w14:textId="77777777" w:rsidR="00FA3C69" w:rsidRPr="00FA3C69" w:rsidRDefault="00FA3C69" w:rsidP="00FA3C69">
      <w:pPr>
        <w:pStyle w:val="Referencelist"/>
      </w:pPr>
      <w:r w:rsidRPr="00FA3C69">
        <w:t xml:space="preserve">Carey M. Read Jr., Travis W. Knight, Kenneth </w:t>
      </w:r>
      <w:proofErr w:type="spellStart"/>
      <w:proofErr w:type="gramStart"/>
      <w:r w:rsidRPr="00FA3C69">
        <w:t>S.Allen</w:t>
      </w:r>
      <w:proofErr w:type="spellEnd"/>
      <w:proofErr w:type="gramEnd"/>
      <w:r w:rsidRPr="00FA3C69">
        <w:t>, Development of a multi-tiered recycling strategy with a sodium-cooled Heterogeneous Innovative Burner Reactor.</w:t>
      </w:r>
    </w:p>
    <w:p w14:paraId="6FEADD69" w14:textId="77777777" w:rsidR="00FA3C69" w:rsidRPr="00FA3C69" w:rsidRDefault="00FA3C69" w:rsidP="00FA3C69">
      <w:pPr>
        <w:pStyle w:val="Referencelist"/>
      </w:pPr>
      <w:r w:rsidRPr="00FA3C69">
        <w:t xml:space="preserve">Bin Liu, Kai Wang, Jing Tu, Fang Liu, Liming Huang, </w:t>
      </w:r>
      <w:proofErr w:type="spellStart"/>
      <w:r w:rsidRPr="00FA3C69">
        <w:t>Wenchao</w:t>
      </w:r>
      <w:proofErr w:type="spellEnd"/>
      <w:r w:rsidRPr="00FA3C69">
        <w:t xml:space="preserve"> Hu, transmutation of minor actinide in pressurized water reactor.</w:t>
      </w:r>
      <w:bookmarkEnd w:id="30"/>
      <w:bookmarkEnd w:id="31"/>
    </w:p>
    <w:sectPr w:rsidR="00FA3C69" w:rsidRPr="00FA3C69" w:rsidSect="0026525A">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6D126" w14:textId="77777777" w:rsidR="00FA38C8" w:rsidRDefault="00FA38C8">
      <w:r>
        <w:separator/>
      </w:r>
    </w:p>
  </w:endnote>
  <w:endnote w:type="continuationSeparator" w:id="0">
    <w:p w14:paraId="259C3D7B" w14:textId="77777777" w:rsidR="00FA38C8" w:rsidRDefault="00FA3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56B0C" w14:textId="11BFD877" w:rsidR="00FA38C8" w:rsidRDefault="00FA38C8">
    <w:pPr>
      <w:pStyle w:val="zyxClassification1"/>
    </w:pPr>
    <w:r>
      <w:fldChar w:fldCharType="begin"/>
    </w:r>
    <w:r>
      <w:instrText xml:space="preserve"> DOCPROPERTY "IaeaClassification"  \* MERGEFORMAT </w:instrText>
    </w:r>
    <w:r>
      <w:fldChar w:fldCharType="end"/>
    </w:r>
  </w:p>
  <w:p w14:paraId="291899CE" w14:textId="39A4591D" w:rsidR="00FA38C8" w:rsidRDefault="00FA38C8">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4898" w14:textId="7B548D41" w:rsidR="00FA38C8" w:rsidRDefault="00FA38C8">
    <w:pPr>
      <w:pStyle w:val="zyxClassification1"/>
    </w:pPr>
    <w:r>
      <w:fldChar w:fldCharType="begin"/>
    </w:r>
    <w:r>
      <w:instrText xml:space="preserve"> DOCPROPERTY "IaeaClassification"  \* MERGEFORMAT </w:instrText>
    </w:r>
    <w:r>
      <w:fldChar w:fldCharType="end"/>
    </w:r>
  </w:p>
  <w:p w14:paraId="6047A923" w14:textId="4360AB0F" w:rsidR="00FA38C8" w:rsidRPr="00037321" w:rsidRDefault="00FA38C8">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FA38C8" w14:paraId="5ADC0CF1" w14:textId="77777777">
      <w:trPr>
        <w:cantSplit/>
      </w:trPr>
      <w:tc>
        <w:tcPr>
          <w:tcW w:w="4644" w:type="dxa"/>
        </w:tcPr>
        <w:p w14:paraId="4E1FAC46" w14:textId="6714CC5C" w:rsidR="00FA38C8" w:rsidRDefault="00FA38C8">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020D691" w14:textId="6636BB63" w:rsidR="00FA38C8" w:rsidRDefault="00FA38C8">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5" w:name="DOC_bkmClassification2"/>
      <w:tc>
        <w:tcPr>
          <w:tcW w:w="5670" w:type="dxa"/>
          <w:tcMar>
            <w:right w:w="249" w:type="dxa"/>
          </w:tcMar>
        </w:tcPr>
        <w:p w14:paraId="76D44A0B" w14:textId="43DF1596" w:rsidR="00FA38C8" w:rsidRDefault="00FA38C8">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5"/>
        <w:p w14:paraId="4929923D" w14:textId="61C68ADC" w:rsidR="00FA38C8" w:rsidRDefault="00FA38C8">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6" w:name="DOC_bkmFileName"/>
  <w:p w14:paraId="46E97123" w14:textId="18C4188E" w:rsidR="00FA38C8" w:rsidRDefault="00FA38C8">
    <w:r>
      <w:rPr>
        <w:sz w:val="16"/>
      </w:rPr>
      <w:fldChar w:fldCharType="begin"/>
    </w:r>
    <w:r>
      <w:rPr>
        <w:sz w:val="16"/>
      </w:rPr>
      <w:instrText xml:space="preserve"> FILENAME \* MERGEFORMAT </w:instrText>
    </w:r>
    <w:r>
      <w:rPr>
        <w:sz w:val="16"/>
      </w:rPr>
      <w:fldChar w:fldCharType="separate"/>
    </w:r>
    <w:r>
      <w:rPr>
        <w:noProof/>
        <w:sz w:val="16"/>
      </w:rPr>
      <w:t>Conference_Paper</w:t>
    </w:r>
    <w:r>
      <w:rPr>
        <w:sz w:val="16"/>
      </w:rPr>
      <w:fldChar w:fldCharType="end"/>
    </w:r>
    <w:bookmarkEnd w:id="3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CF969" w14:textId="77777777" w:rsidR="00FA38C8" w:rsidRDefault="00FA38C8">
      <w:r>
        <w:t>___________________________________________________________________________</w:t>
      </w:r>
    </w:p>
  </w:footnote>
  <w:footnote w:type="continuationSeparator" w:id="0">
    <w:p w14:paraId="3BF24079" w14:textId="77777777" w:rsidR="00FA38C8" w:rsidRDefault="00FA38C8">
      <w:r>
        <w:t>___________________________________________________________________________</w:t>
      </w:r>
    </w:p>
  </w:footnote>
  <w:footnote w:type="continuationNotice" w:id="1">
    <w:p w14:paraId="3A9B61D7" w14:textId="77777777" w:rsidR="00FA38C8" w:rsidRDefault="00FA38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D644" w14:textId="65BB982B" w:rsidR="00FA38C8" w:rsidRDefault="00FA38C8" w:rsidP="00CF7AF3">
    <w:pPr>
      <w:pStyle w:val="Runninghead"/>
    </w:pPr>
    <w:r>
      <w:tab/>
      <w:t>IAEA-CN-82</w:t>
    </w:r>
  </w:p>
  <w:p w14:paraId="13808C8C" w14:textId="33B1FBF9" w:rsidR="00FA38C8" w:rsidRDefault="00FA38C8"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59CA157" w14:textId="30838B51" w:rsidR="00FA38C8" w:rsidRDefault="00FA38C8">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A4D5" w14:textId="0349365F" w:rsidR="00FA38C8" w:rsidRDefault="00FA38C8" w:rsidP="00B82FA5">
    <w:pPr>
      <w:pStyle w:val="Runninghead"/>
    </w:pPr>
    <w:r>
      <w:t>ABBAS and BIN</w:t>
    </w:r>
  </w:p>
  <w:p w14:paraId="2AB78526" w14:textId="77777777" w:rsidR="00FA38C8" w:rsidRDefault="00FA38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FA38C8" w14:paraId="7E7518E8" w14:textId="77777777">
      <w:trPr>
        <w:cantSplit/>
        <w:trHeight w:val="716"/>
      </w:trPr>
      <w:tc>
        <w:tcPr>
          <w:tcW w:w="979" w:type="dxa"/>
          <w:vMerge w:val="restart"/>
        </w:tcPr>
        <w:p w14:paraId="39A6473B" w14:textId="77777777" w:rsidR="00FA38C8" w:rsidRDefault="00FA38C8">
          <w:pPr>
            <w:spacing w:before="180"/>
            <w:ind w:left="17"/>
          </w:pPr>
        </w:p>
      </w:tc>
      <w:tc>
        <w:tcPr>
          <w:tcW w:w="3638" w:type="dxa"/>
          <w:vAlign w:val="bottom"/>
        </w:tcPr>
        <w:p w14:paraId="3B076A84" w14:textId="77777777" w:rsidR="00FA38C8" w:rsidRDefault="00FA38C8">
          <w:pPr>
            <w:spacing w:after="20"/>
          </w:pPr>
        </w:p>
      </w:tc>
      <w:bookmarkStart w:id="34" w:name="DOC_bkmClassification1"/>
      <w:tc>
        <w:tcPr>
          <w:tcW w:w="5702" w:type="dxa"/>
          <w:vMerge w:val="restart"/>
          <w:tcMar>
            <w:right w:w="193" w:type="dxa"/>
          </w:tcMar>
        </w:tcPr>
        <w:p w14:paraId="268E19C1" w14:textId="04D45E90" w:rsidR="00FA38C8" w:rsidRDefault="00FA38C8">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4"/>
        <w:p w14:paraId="347EC5C0" w14:textId="27A67122" w:rsidR="00FA38C8" w:rsidRDefault="00FA38C8">
          <w:pPr>
            <w:pStyle w:val="zyxConfid2Red"/>
          </w:pPr>
          <w:r>
            <w:fldChar w:fldCharType="begin"/>
          </w:r>
          <w:r>
            <w:instrText>DOCPROPERTY "IaeaClassification2"  \* MERGEFORMAT</w:instrText>
          </w:r>
          <w:r>
            <w:fldChar w:fldCharType="end"/>
          </w:r>
        </w:p>
      </w:tc>
    </w:tr>
    <w:tr w:rsidR="00FA38C8" w14:paraId="38F39606" w14:textId="77777777">
      <w:trPr>
        <w:cantSplit/>
        <w:trHeight w:val="167"/>
      </w:trPr>
      <w:tc>
        <w:tcPr>
          <w:tcW w:w="979" w:type="dxa"/>
          <w:vMerge/>
        </w:tcPr>
        <w:p w14:paraId="6D498B64" w14:textId="77777777" w:rsidR="00FA38C8" w:rsidRDefault="00FA38C8">
          <w:pPr>
            <w:spacing w:before="57"/>
          </w:pPr>
        </w:p>
      </w:tc>
      <w:tc>
        <w:tcPr>
          <w:tcW w:w="3638" w:type="dxa"/>
          <w:vAlign w:val="bottom"/>
        </w:tcPr>
        <w:p w14:paraId="39757922" w14:textId="77777777" w:rsidR="00FA38C8" w:rsidRDefault="00FA38C8">
          <w:pPr>
            <w:pStyle w:val="Heading9"/>
            <w:spacing w:before="0" w:after="10"/>
          </w:pPr>
        </w:p>
      </w:tc>
      <w:tc>
        <w:tcPr>
          <w:tcW w:w="5702" w:type="dxa"/>
          <w:vMerge/>
          <w:vAlign w:val="bottom"/>
        </w:tcPr>
        <w:p w14:paraId="6AB4E64A" w14:textId="77777777" w:rsidR="00FA38C8" w:rsidRDefault="00FA38C8">
          <w:pPr>
            <w:pStyle w:val="Heading9"/>
            <w:spacing w:before="0" w:after="10"/>
          </w:pPr>
        </w:p>
      </w:tc>
    </w:tr>
  </w:tbl>
  <w:p w14:paraId="73CF48A8" w14:textId="77777777" w:rsidR="00FA38C8" w:rsidRDefault="00FA38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536671E"/>
    <w:multiLevelType w:val="hybridMultilevel"/>
    <w:tmpl w:val="8DAED24C"/>
    <w:lvl w:ilvl="0" w:tplc="65C48A04">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450256"/>
    <w:multiLevelType w:val="hybridMultilevel"/>
    <w:tmpl w:val="AF4EF52A"/>
    <w:lvl w:ilvl="0" w:tplc="3F34FEC0">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15:restartNumberingAfterBreak="0">
    <w:nsid w:val="71884DB2"/>
    <w:multiLevelType w:val="multilevel"/>
    <w:tmpl w:val="BF6E66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2"/>
  </w:num>
  <w:num w:numId="4">
    <w:abstractNumId w:val="12"/>
  </w:num>
  <w:num w:numId="5">
    <w:abstractNumId w:val="12"/>
  </w:num>
  <w:num w:numId="6">
    <w:abstractNumId w:val="6"/>
  </w:num>
  <w:num w:numId="7">
    <w:abstractNumId w:val="10"/>
  </w:num>
  <w:num w:numId="8">
    <w:abstractNumId w:val="14"/>
  </w:num>
  <w:num w:numId="9">
    <w:abstractNumId w:val="1"/>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12"/>
  </w:num>
  <w:num w:numId="22">
    <w:abstractNumId w:val="4"/>
  </w:num>
  <w:num w:numId="23">
    <w:abstractNumId w:val="0"/>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7"/>
  </w:num>
  <w:num w:numId="31">
    <w:abstractNumId w:val="7"/>
  </w:num>
  <w:num w:numId="32">
    <w:abstractNumId w:val="12"/>
  </w:num>
  <w:num w:numId="33">
    <w:abstractNumId w:val="12"/>
  </w:num>
  <w:num w:numId="34">
    <w:abstractNumId w:val="12"/>
  </w:num>
  <w:num w:numId="35">
    <w:abstractNumId w:val="12"/>
  </w:num>
  <w:num w:numId="36">
    <w:abstractNumId w:val="9"/>
  </w:num>
  <w:num w:numId="37">
    <w:abstractNumId w:val="12"/>
  </w:num>
  <w:num w:numId="38">
    <w:abstractNumId w:val="12"/>
  </w:num>
  <w:num w:numId="39">
    <w:abstractNumId w:val="12"/>
  </w:num>
  <w:num w:numId="40">
    <w:abstractNumId w:val="12"/>
  </w:num>
  <w:num w:numId="41">
    <w:abstractNumId w:val="13"/>
  </w:num>
  <w:num w:numId="42">
    <w:abstractNumId w:val="12"/>
  </w:num>
  <w:num w:numId="43">
    <w:abstractNumId w:val="12"/>
  </w:num>
  <w:num w:numId="44">
    <w:abstractNumId w:val="12"/>
  </w:num>
  <w:num w:numId="45">
    <w:abstractNumId w:val="12"/>
  </w:num>
  <w:num w:numId="46">
    <w:abstractNumId w:val="12"/>
  </w:num>
  <w:num w:numId="47">
    <w:abstractNumId w:val="2"/>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438B0"/>
    <w:rsid w:val="000A0299"/>
    <w:rsid w:val="000D5EF1"/>
    <w:rsid w:val="000F7E94"/>
    <w:rsid w:val="001119D6"/>
    <w:rsid w:val="001308F2"/>
    <w:rsid w:val="001313E8"/>
    <w:rsid w:val="00160F96"/>
    <w:rsid w:val="001C58F5"/>
    <w:rsid w:val="001D5CEE"/>
    <w:rsid w:val="002071D9"/>
    <w:rsid w:val="00256822"/>
    <w:rsid w:val="0026525A"/>
    <w:rsid w:val="00274790"/>
    <w:rsid w:val="00285755"/>
    <w:rsid w:val="002906A9"/>
    <w:rsid w:val="002A1F9C"/>
    <w:rsid w:val="002B29C2"/>
    <w:rsid w:val="002C4208"/>
    <w:rsid w:val="002C7C85"/>
    <w:rsid w:val="00352DE1"/>
    <w:rsid w:val="003728E6"/>
    <w:rsid w:val="00390B72"/>
    <w:rsid w:val="003B5E0E"/>
    <w:rsid w:val="003D255A"/>
    <w:rsid w:val="00416949"/>
    <w:rsid w:val="00435D7D"/>
    <w:rsid w:val="004370D8"/>
    <w:rsid w:val="00472C43"/>
    <w:rsid w:val="00537496"/>
    <w:rsid w:val="00544ED3"/>
    <w:rsid w:val="0058477B"/>
    <w:rsid w:val="0058654F"/>
    <w:rsid w:val="00596ACA"/>
    <w:rsid w:val="005E39BC"/>
    <w:rsid w:val="005F00A0"/>
    <w:rsid w:val="00647F33"/>
    <w:rsid w:val="00662532"/>
    <w:rsid w:val="00671627"/>
    <w:rsid w:val="006965F7"/>
    <w:rsid w:val="006B2274"/>
    <w:rsid w:val="006F7264"/>
    <w:rsid w:val="0071480E"/>
    <w:rsid w:val="00717C6F"/>
    <w:rsid w:val="00722C70"/>
    <w:rsid w:val="007445DA"/>
    <w:rsid w:val="00761382"/>
    <w:rsid w:val="007B4FD1"/>
    <w:rsid w:val="007F0154"/>
    <w:rsid w:val="00802381"/>
    <w:rsid w:val="00883848"/>
    <w:rsid w:val="00897ED5"/>
    <w:rsid w:val="008B6BB9"/>
    <w:rsid w:val="00911543"/>
    <w:rsid w:val="00932D56"/>
    <w:rsid w:val="009519C9"/>
    <w:rsid w:val="009A7A36"/>
    <w:rsid w:val="009D0B86"/>
    <w:rsid w:val="009E0D5B"/>
    <w:rsid w:val="009E1558"/>
    <w:rsid w:val="00A42898"/>
    <w:rsid w:val="00A5777B"/>
    <w:rsid w:val="00AB6ACE"/>
    <w:rsid w:val="00AC5A3A"/>
    <w:rsid w:val="00AF51F3"/>
    <w:rsid w:val="00B82FA5"/>
    <w:rsid w:val="00B830F1"/>
    <w:rsid w:val="00BD1400"/>
    <w:rsid w:val="00BD605C"/>
    <w:rsid w:val="00BE2A76"/>
    <w:rsid w:val="00C65E60"/>
    <w:rsid w:val="00C879D2"/>
    <w:rsid w:val="00CE5A52"/>
    <w:rsid w:val="00CF7AF3"/>
    <w:rsid w:val="00D26ADA"/>
    <w:rsid w:val="00D35A78"/>
    <w:rsid w:val="00D555A1"/>
    <w:rsid w:val="00D64DC2"/>
    <w:rsid w:val="00DA46CA"/>
    <w:rsid w:val="00DF21EB"/>
    <w:rsid w:val="00E20E70"/>
    <w:rsid w:val="00E25B68"/>
    <w:rsid w:val="00E84003"/>
    <w:rsid w:val="00EC10FC"/>
    <w:rsid w:val="00ED6FDE"/>
    <w:rsid w:val="00EE0041"/>
    <w:rsid w:val="00EE29B9"/>
    <w:rsid w:val="00F004EE"/>
    <w:rsid w:val="00F17B72"/>
    <w:rsid w:val="00F42E23"/>
    <w:rsid w:val="00F45EEE"/>
    <w:rsid w:val="00F51E9C"/>
    <w:rsid w:val="00F523CA"/>
    <w:rsid w:val="00F74A9D"/>
    <w:rsid w:val="00FA38C8"/>
    <w:rsid w:val="00FA3C69"/>
    <w:rsid w:val="00FB3D0A"/>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F8B517"/>
  <w15:docId w15:val="{EA656EA6-B487-4F18-8312-CE8BA756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4" w:qFormat="1"/>
    <w:lsdException w:name="heading 2" w:locked="0" w:uiPriority="4"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Hyperlink">
    <w:name w:val="Hyperlink"/>
    <w:basedOn w:val="DefaultParagraphFont"/>
    <w:uiPriority w:val="49"/>
    <w:unhideWhenUsed/>
    <w:locked/>
    <w:rsid w:val="002906A9"/>
    <w:rPr>
      <w:color w:val="0000FF" w:themeColor="hyperlink"/>
      <w:u w:val="single"/>
    </w:rPr>
  </w:style>
  <w:style w:type="character" w:styleId="UnresolvedMention">
    <w:name w:val="Unresolved Mention"/>
    <w:basedOn w:val="DefaultParagraphFont"/>
    <w:uiPriority w:val="99"/>
    <w:semiHidden/>
    <w:unhideWhenUsed/>
    <w:rsid w:val="002906A9"/>
    <w:rPr>
      <w:color w:val="605E5C"/>
      <w:shd w:val="clear" w:color="auto" w:fill="E1DFDD"/>
    </w:rPr>
  </w:style>
  <w:style w:type="character" w:customStyle="1" w:styleId="Heading1Char">
    <w:name w:val="Heading 1 Char"/>
    <w:link w:val="Heading1"/>
    <w:uiPriority w:val="9"/>
    <w:rsid w:val="00932D56"/>
    <w:rPr>
      <w:rFonts w:ascii="Times New Roman Bold" w:hAnsi="Times New Roman Bold"/>
      <w:b/>
      <w:caps/>
      <w:sz w:val="24"/>
      <w:lang w:val="en-US" w:eastAsia="en-US"/>
    </w:rPr>
  </w:style>
  <w:style w:type="paragraph" w:styleId="ListParagraph">
    <w:name w:val="List Paragraph"/>
    <w:basedOn w:val="Normal"/>
    <w:uiPriority w:val="34"/>
    <w:qFormat/>
    <w:locked/>
    <w:rsid w:val="007F0154"/>
    <w:pPr>
      <w:overflowPunct/>
      <w:autoSpaceDE/>
      <w:autoSpaceDN/>
      <w:adjustRightInd/>
      <w:spacing w:after="160" w:line="256" w:lineRule="auto"/>
      <w:ind w:left="720"/>
      <w:contextualSpacing/>
      <w:textAlignment w:val="auto"/>
    </w:pPr>
    <w:rPr>
      <w:rFonts w:ascii="Calibri" w:eastAsia="DengXian" w:hAnsi="Calibri" w:cs="Arial"/>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basbashir@live.com"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aea.org/inis/collection/.../_Public/27/.../2707116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DE51744-5061-47E6-B0AF-AC2C6AC5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8</Pages>
  <Words>3209</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abbas bashir</cp:lastModifiedBy>
  <cp:revision>2</cp:revision>
  <cp:lastPrinted>2019-04-09T09:22:00Z</cp:lastPrinted>
  <dcterms:created xsi:type="dcterms:W3CDTF">2019-04-09T09:36:00Z</dcterms:created>
  <dcterms:modified xsi:type="dcterms:W3CDTF">2019-04-09T09:36:00Z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