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D9F4" w14:textId="0E3C34E3" w:rsidR="003B5E0E" w:rsidRPr="002D7F63" w:rsidRDefault="00325128" w:rsidP="00AF3FF6">
      <w:pPr>
        <w:pStyle w:val="1"/>
        <w:rPr>
          <w:rFonts w:ascii="Times New Roman" w:hAnsi="Times New Roman"/>
        </w:rPr>
      </w:pPr>
      <w:r w:rsidRPr="002D7F63">
        <w:rPr>
          <w:rFonts w:ascii="Times New Roman" w:hAnsi="Times New Roman"/>
        </w:rPr>
        <w:t>ENVIRONMENTAL LOAD REDUCTION OF GEOLOGICAL REPOSITORY BY MINOR ACTINIDE SEPARATION: UTILIZATION OF MOX FUEL IN FUTURE FUEL CYCLE SYSTEM</w:t>
      </w:r>
    </w:p>
    <w:p w14:paraId="121C31D9" w14:textId="5CBD7A28" w:rsidR="00802381" w:rsidRPr="002D7F63" w:rsidRDefault="00802381" w:rsidP="00537496">
      <w:pPr>
        <w:pStyle w:val="Authornameandaffiliation"/>
      </w:pPr>
    </w:p>
    <w:p w14:paraId="3DDF934C" w14:textId="707F41E5" w:rsidR="007B6B60" w:rsidRPr="002D7F63" w:rsidRDefault="007B6B60" w:rsidP="007B6B60">
      <w:pPr>
        <w:pStyle w:val="Authornameandaffiliation"/>
      </w:pPr>
      <w:r w:rsidRPr="002D7F63">
        <w:t>E</w:t>
      </w:r>
      <w:r w:rsidR="00485ED4" w:rsidRPr="002D7F63">
        <w:t>RIKO</w:t>
      </w:r>
      <w:r w:rsidRPr="002D7F63">
        <w:t xml:space="preserve"> MINARI</w:t>
      </w:r>
    </w:p>
    <w:p w14:paraId="45229191" w14:textId="77777777" w:rsidR="007B6B60" w:rsidRPr="002D7F63" w:rsidRDefault="007B6B60" w:rsidP="007B6B60">
      <w:pPr>
        <w:pStyle w:val="Authornameandaffiliation"/>
      </w:pPr>
      <w:r w:rsidRPr="002D7F63">
        <w:t>Laboratory for Advanced Nuclear Energy, Institute of Innovative Research, Tokyo Institute of Technology</w:t>
      </w:r>
    </w:p>
    <w:p w14:paraId="457581F5" w14:textId="446A53F9" w:rsidR="00FF386F" w:rsidRPr="002D7F63" w:rsidRDefault="007B6B60" w:rsidP="007B6B60">
      <w:pPr>
        <w:pStyle w:val="Authornameandaffiliation"/>
      </w:pPr>
      <w:r w:rsidRPr="002D7F63">
        <w:t xml:space="preserve">2-12-1 </w:t>
      </w:r>
      <w:proofErr w:type="spellStart"/>
      <w:r w:rsidRPr="002D7F63">
        <w:t>Ookayama</w:t>
      </w:r>
      <w:proofErr w:type="spellEnd"/>
      <w:r w:rsidRPr="002D7F63">
        <w:t>, Meguro-</w:t>
      </w:r>
      <w:proofErr w:type="spellStart"/>
      <w:r w:rsidRPr="002D7F63">
        <w:rPr>
          <w:noProof/>
        </w:rPr>
        <w:t>ku</w:t>
      </w:r>
      <w:proofErr w:type="spellEnd"/>
      <w:r w:rsidRPr="002D7F63">
        <w:t>, Tokyo, 152-8550, Japan</w:t>
      </w:r>
    </w:p>
    <w:p w14:paraId="3E245844" w14:textId="5148DFE0" w:rsidR="007B6B60" w:rsidRPr="002D7F63" w:rsidRDefault="007B6B60" w:rsidP="007B6B60">
      <w:pPr>
        <w:pStyle w:val="Authornameandaffiliation"/>
      </w:pPr>
      <w:r w:rsidRPr="002D7F63">
        <w:t>Email: minari.e.aa@m.titech.ac.jp</w:t>
      </w:r>
    </w:p>
    <w:p w14:paraId="735EEA99" w14:textId="77777777" w:rsidR="00A05F8F" w:rsidRPr="002D7F63" w:rsidRDefault="00A05F8F" w:rsidP="007B6B60">
      <w:pPr>
        <w:pStyle w:val="Authornameandaffiliation"/>
      </w:pPr>
    </w:p>
    <w:p w14:paraId="1DDE19A7" w14:textId="2A5ADB9C" w:rsidR="00DD5057" w:rsidRPr="002D7F63" w:rsidRDefault="00412868" w:rsidP="00DD5057">
      <w:pPr>
        <w:pStyle w:val="Authornameandaffiliation"/>
      </w:pPr>
      <w:r w:rsidRPr="002D7F63">
        <w:t>TOMOHIRO OKAMURA</w:t>
      </w:r>
      <w:r w:rsidR="00DD5057" w:rsidRPr="002D7F63">
        <w:rPr>
          <w:vertAlign w:val="superscript"/>
        </w:rPr>
        <w:t>1</w:t>
      </w:r>
      <w:r w:rsidR="00DD5057" w:rsidRPr="002D7F63">
        <w:t>, MASAHIKO NAKASE</w:t>
      </w:r>
      <w:r w:rsidR="00DD5057" w:rsidRPr="002D7F63">
        <w:rPr>
          <w:vertAlign w:val="superscript"/>
        </w:rPr>
        <w:t>1</w:t>
      </w:r>
      <w:r w:rsidR="00DD5057" w:rsidRPr="002D7F63">
        <w:t>, HIDEKAZU ASANO</w:t>
      </w:r>
      <w:r w:rsidR="00DD5057" w:rsidRPr="002D7F63">
        <w:rPr>
          <w:vertAlign w:val="superscript"/>
        </w:rPr>
        <w:t>1,2</w:t>
      </w:r>
      <w:r w:rsidR="0058289A" w:rsidRPr="002D7F63">
        <w:t>,</w:t>
      </w:r>
      <w:r w:rsidR="00DD5057" w:rsidRPr="002D7F63">
        <w:rPr>
          <w:vertAlign w:val="superscript"/>
        </w:rPr>
        <w:t xml:space="preserve"> </w:t>
      </w:r>
      <w:r w:rsidR="00DD5057" w:rsidRPr="002D7F63">
        <w:rPr>
          <w:noProof/>
        </w:rPr>
        <w:t>and</w:t>
      </w:r>
      <w:r w:rsidR="00DD5057" w:rsidRPr="002D7F63">
        <w:t xml:space="preserve"> KENJI TAKESHITA</w:t>
      </w:r>
      <w:r w:rsidR="00DD5057" w:rsidRPr="002D7F63">
        <w:rPr>
          <w:vertAlign w:val="superscript"/>
        </w:rPr>
        <w:t>1</w:t>
      </w:r>
    </w:p>
    <w:p w14:paraId="6C8ACB18" w14:textId="3490C950" w:rsidR="00DD5057" w:rsidRPr="002D7F63" w:rsidRDefault="00DD5057" w:rsidP="00DD5057">
      <w:pPr>
        <w:pStyle w:val="Authornameandaffiliation"/>
        <w:numPr>
          <w:ilvl w:val="0"/>
          <w:numId w:val="33"/>
        </w:numPr>
        <w:ind w:left="927"/>
      </w:pPr>
      <w:r w:rsidRPr="002D7F63">
        <w:t>Laboratory for Advanced Nuclear Energy, Institute of Innovative Research,</w:t>
      </w:r>
    </w:p>
    <w:p w14:paraId="239E5719" w14:textId="77777777" w:rsidR="00DD5057" w:rsidRPr="002D7F63" w:rsidRDefault="00DD5057" w:rsidP="00DD5057">
      <w:pPr>
        <w:pStyle w:val="Authornameandaffiliation"/>
        <w:ind w:left="927"/>
      </w:pPr>
      <w:r w:rsidRPr="002D7F63">
        <w:t>Tokyo Institute of Technology</w:t>
      </w:r>
    </w:p>
    <w:p w14:paraId="0C802BD5" w14:textId="77777777" w:rsidR="00DD5057" w:rsidRPr="002D7F63" w:rsidRDefault="00DD5057" w:rsidP="00DD5057">
      <w:pPr>
        <w:pStyle w:val="Authornameandaffiliation"/>
        <w:ind w:left="927"/>
      </w:pPr>
      <w:r w:rsidRPr="002D7F63">
        <w:t xml:space="preserve">2-12-1 </w:t>
      </w:r>
      <w:proofErr w:type="spellStart"/>
      <w:r w:rsidRPr="002D7F63">
        <w:t>Ookayama</w:t>
      </w:r>
      <w:proofErr w:type="spellEnd"/>
      <w:r w:rsidRPr="002D7F63">
        <w:t>, Meguro-</w:t>
      </w:r>
      <w:proofErr w:type="spellStart"/>
      <w:r w:rsidRPr="002D7F63">
        <w:rPr>
          <w:noProof/>
        </w:rPr>
        <w:t>ku</w:t>
      </w:r>
      <w:proofErr w:type="spellEnd"/>
      <w:r w:rsidRPr="002D7F63">
        <w:t>, Tokyo, 152-8550, Japan</w:t>
      </w:r>
    </w:p>
    <w:p w14:paraId="2C1E4460" w14:textId="3187CA85" w:rsidR="00DD5057" w:rsidRPr="002D7F63" w:rsidRDefault="00DD5057" w:rsidP="00DD5057">
      <w:pPr>
        <w:pStyle w:val="Authornameandaffiliation"/>
        <w:numPr>
          <w:ilvl w:val="0"/>
          <w:numId w:val="33"/>
        </w:numPr>
        <w:ind w:left="927"/>
      </w:pPr>
      <w:r w:rsidRPr="002D7F63">
        <w:t>Radioactive Waste Management Funding and Research Center</w:t>
      </w:r>
    </w:p>
    <w:p w14:paraId="7F7BEC3B" w14:textId="41711C98" w:rsidR="00FF386F" w:rsidRPr="002D7F63" w:rsidRDefault="00DD5057" w:rsidP="00DD5057">
      <w:pPr>
        <w:pStyle w:val="Authornameandaffiliation"/>
        <w:ind w:left="927"/>
      </w:pPr>
      <w:r w:rsidRPr="002D7F63">
        <w:t xml:space="preserve">Nichirei </w:t>
      </w:r>
      <w:proofErr w:type="spellStart"/>
      <w:r w:rsidRPr="002D7F63">
        <w:t>Akashicho</w:t>
      </w:r>
      <w:proofErr w:type="spellEnd"/>
      <w:r w:rsidRPr="002D7F63">
        <w:t xml:space="preserve"> Bldg. 12F, 6-4, </w:t>
      </w:r>
      <w:proofErr w:type="spellStart"/>
      <w:proofErr w:type="gramStart"/>
      <w:r w:rsidRPr="002D7F63">
        <w:t>Akashicho</w:t>
      </w:r>
      <w:r w:rsidRPr="002D7F63">
        <w:rPr>
          <w:noProof/>
        </w:rPr>
        <w:t>,Chuo</w:t>
      </w:r>
      <w:proofErr w:type="gramEnd"/>
      <w:r w:rsidRPr="002D7F63">
        <w:rPr>
          <w:noProof/>
        </w:rPr>
        <w:t>-ku</w:t>
      </w:r>
      <w:proofErr w:type="spellEnd"/>
      <w:r w:rsidRPr="002D7F63">
        <w:t>, Tokyo, 104-0044, Japan</w:t>
      </w:r>
    </w:p>
    <w:p w14:paraId="2B62C99D" w14:textId="0DB87C06" w:rsidR="00DD5057" w:rsidRPr="002D7F63" w:rsidRDefault="00DD5057" w:rsidP="00DD5057">
      <w:pPr>
        <w:pStyle w:val="Authornameandaffiliation"/>
        <w:ind w:left="207"/>
      </w:pPr>
    </w:p>
    <w:p w14:paraId="797A9E62" w14:textId="77777777" w:rsidR="00755052" w:rsidRPr="002D7F63" w:rsidRDefault="00755052" w:rsidP="00DD5057">
      <w:pPr>
        <w:pStyle w:val="Authornameandaffiliation"/>
        <w:ind w:left="207"/>
      </w:pPr>
    </w:p>
    <w:p w14:paraId="502285A0" w14:textId="77777777" w:rsidR="00647F33" w:rsidRPr="002D7F63" w:rsidRDefault="00647F33" w:rsidP="00537496">
      <w:pPr>
        <w:pStyle w:val="Authornameandaffiliation"/>
        <w:rPr>
          <w:b/>
        </w:rPr>
      </w:pPr>
      <w:r w:rsidRPr="002D7F63">
        <w:rPr>
          <w:b/>
        </w:rPr>
        <w:t>Abstract</w:t>
      </w:r>
    </w:p>
    <w:p w14:paraId="576D1E12" w14:textId="77777777" w:rsidR="00647F33" w:rsidRPr="002D7F63" w:rsidRDefault="00647F33" w:rsidP="00537496">
      <w:pPr>
        <w:pStyle w:val="Authornameandaffiliation"/>
      </w:pPr>
    </w:p>
    <w:p w14:paraId="1AAE5105" w14:textId="6497831F" w:rsidR="007B6B60" w:rsidRPr="002D7F63" w:rsidRDefault="007B6B60" w:rsidP="00C73C92">
      <w:pPr>
        <w:pStyle w:val="Abstracttext"/>
        <w:jc w:val="both"/>
      </w:pPr>
      <w:r w:rsidRPr="002D7F63">
        <w:t xml:space="preserve">The current direction </w:t>
      </w:r>
      <w:r w:rsidR="00CA7A38" w:rsidRPr="002D7F63">
        <w:t xml:space="preserve">of energy politics </w:t>
      </w:r>
      <w:r w:rsidRPr="002D7F63">
        <w:t xml:space="preserve">adopted by the Japanese government is </w:t>
      </w:r>
      <w:r w:rsidR="0021681F" w:rsidRPr="002D7F63">
        <w:t xml:space="preserve">the </w:t>
      </w:r>
      <w:r w:rsidRPr="002D7F63">
        <w:rPr>
          <w:noProof/>
        </w:rPr>
        <w:t>utilization</w:t>
      </w:r>
      <w:r w:rsidRPr="002D7F63">
        <w:t xml:space="preserve"> of nuclear energy, therefore, the argument of radioactive waste management is</w:t>
      </w:r>
      <w:r w:rsidR="00C30D0A" w:rsidRPr="002D7F63">
        <w:rPr>
          <w:lang w:eastAsia="ja-JP"/>
        </w:rPr>
        <w:t xml:space="preserve"> becoming increasingly important</w:t>
      </w:r>
      <w:r w:rsidRPr="002D7F63">
        <w:t xml:space="preserve">. To promise a safe, and less environmental load disposal </w:t>
      </w:r>
      <w:r w:rsidR="00923B3A" w:rsidRPr="002D7F63">
        <w:t>repository</w:t>
      </w:r>
      <w:r w:rsidRPr="002D7F63">
        <w:t xml:space="preserve"> for the high-level radioactive waste (HLW), it is necessary to look ahead of future fuel cycle system which intends to u</w:t>
      </w:r>
      <w:r w:rsidR="00201EAA" w:rsidRPr="002D7F63">
        <w:t>s</w:t>
      </w:r>
      <w:r w:rsidRPr="002D7F63">
        <w:t>e plutonium by the introduction of mixed oxide (MOX) fuel together with the extended cooling period of UO</w:t>
      </w:r>
      <w:r w:rsidRPr="002D7F63">
        <w:rPr>
          <w:vertAlign w:val="subscript"/>
        </w:rPr>
        <w:t>2</w:t>
      </w:r>
      <w:r w:rsidRPr="002D7F63">
        <w:t xml:space="preserve"> spent nuclear fuel (SF)</w:t>
      </w:r>
      <w:r w:rsidR="00266A3A" w:rsidRPr="002D7F63">
        <w:t>, which are</w:t>
      </w:r>
      <w:r w:rsidR="004F3D60" w:rsidRPr="002D7F63">
        <w:t xml:space="preserve"> </w:t>
      </w:r>
      <w:r w:rsidR="004F3D60" w:rsidRPr="002D7F63">
        <w:rPr>
          <w:lang w:eastAsia="ja-JP"/>
        </w:rPr>
        <w:t>not</w:t>
      </w:r>
      <w:r w:rsidR="00266A3A" w:rsidRPr="002D7F63">
        <w:rPr>
          <w:lang w:eastAsia="ja-JP"/>
        </w:rPr>
        <w:t xml:space="preserve"> </w:t>
      </w:r>
      <w:r w:rsidR="00266A3A" w:rsidRPr="002D7F63">
        <w:t>much considered until now.</w:t>
      </w:r>
      <w:r w:rsidRPr="002D7F63">
        <w:t xml:space="preserve"> If </w:t>
      </w:r>
      <w:r w:rsidR="00CA7A38" w:rsidRPr="002D7F63">
        <w:t xml:space="preserve">such </w:t>
      </w:r>
      <w:r w:rsidRPr="002D7F63">
        <w:t xml:space="preserve">fuels are reprocessed and vitrified in near future, it will </w:t>
      </w:r>
      <w:r w:rsidR="00E416F7" w:rsidRPr="002D7F63">
        <w:t xml:space="preserve">have much </w:t>
      </w:r>
      <w:r w:rsidRPr="002D7F63">
        <w:t xml:space="preserve">impact on the heat generation of the </w:t>
      </w:r>
      <w:r w:rsidR="0099553D" w:rsidRPr="002D7F63">
        <w:t>vitrified waste arisen from 4-year-cooled UO</w:t>
      </w:r>
      <w:r w:rsidR="0099553D" w:rsidRPr="002D7F63">
        <w:rPr>
          <w:vertAlign w:val="subscript"/>
        </w:rPr>
        <w:t>2</w:t>
      </w:r>
      <w:r w:rsidR="0099553D" w:rsidRPr="002D7F63">
        <w:t xml:space="preserve"> spent fuel from discharge </w:t>
      </w:r>
      <w:r w:rsidRPr="002D7F63">
        <w:t xml:space="preserve">and will lead to an increase in the footprint of the geological repository. </w:t>
      </w:r>
    </w:p>
    <w:p w14:paraId="1027754E" w14:textId="4AB3FBD8" w:rsidR="00647F33" w:rsidRPr="002D7F63" w:rsidRDefault="007B6B60" w:rsidP="009954B6">
      <w:pPr>
        <w:pStyle w:val="Abstracttext"/>
        <w:jc w:val="both"/>
      </w:pPr>
      <w:r w:rsidRPr="002D7F63">
        <w:t xml:space="preserve">To reduce the volume of HLW and the footprint of the geological repository, partitioning technology is considered </w:t>
      </w:r>
      <w:r w:rsidR="00E66108" w:rsidRPr="002D7F63">
        <w:t>as</w:t>
      </w:r>
      <w:r w:rsidRPr="002D7F63">
        <w:t xml:space="preserve"> an option to help to solve the issue. By undertaking partitioning, separation of the heat generating and radiologically harmful nuclides </w:t>
      </w:r>
      <w:r w:rsidR="00266A3A" w:rsidRPr="002D7F63">
        <w:t xml:space="preserve">such as minor actinide (MA: Np, Am, Cm) from HLW is </w:t>
      </w:r>
      <w:r w:rsidR="00C30D0A" w:rsidRPr="002D7F63">
        <w:rPr>
          <w:lang w:eastAsia="ja-JP"/>
        </w:rPr>
        <w:t xml:space="preserve">expected </w:t>
      </w:r>
      <w:r w:rsidR="00266A3A" w:rsidRPr="002D7F63">
        <w:t xml:space="preserve">and the related development of technology is promoting for the advanced </w:t>
      </w:r>
      <w:r w:rsidR="00E66108" w:rsidRPr="002D7F63">
        <w:t xml:space="preserve">nuclear </w:t>
      </w:r>
      <w:r w:rsidR="00266A3A" w:rsidRPr="002D7F63">
        <w:t xml:space="preserve">fuel </w:t>
      </w:r>
      <w:r w:rsidR="00266A3A" w:rsidRPr="002D7F63">
        <w:rPr>
          <w:noProof/>
        </w:rPr>
        <w:t>recyc</w:t>
      </w:r>
      <w:r w:rsidR="00E66108" w:rsidRPr="002D7F63">
        <w:rPr>
          <w:noProof/>
        </w:rPr>
        <w:t>l</w:t>
      </w:r>
      <w:r w:rsidR="009948A3" w:rsidRPr="002D7F63">
        <w:rPr>
          <w:noProof/>
        </w:rPr>
        <w:t>ing</w:t>
      </w:r>
      <w:r w:rsidR="00266A3A" w:rsidRPr="002D7F63">
        <w:t>. Then, it leads to higher waste loading ratio of vitrified waste and consequently the</w:t>
      </w:r>
      <w:r w:rsidR="00E66108" w:rsidRPr="002D7F63">
        <w:t xml:space="preserve"> less</w:t>
      </w:r>
      <w:r w:rsidR="00266A3A" w:rsidRPr="002D7F63">
        <w:t xml:space="preserve"> space needed for final disposal due to the less amount of heat generation from vitrified wastes. </w:t>
      </w:r>
      <w:r w:rsidRPr="002D7F63">
        <w:t xml:space="preserve">In this study, the evaluation of effects of </w:t>
      </w:r>
      <w:r w:rsidR="00266A3A" w:rsidRPr="002D7F63">
        <w:t>MA</w:t>
      </w:r>
      <w:r w:rsidRPr="002D7F63">
        <w:t xml:space="preserve"> separation on </w:t>
      </w:r>
      <w:r w:rsidR="00D6360D" w:rsidRPr="002D7F63">
        <w:t xml:space="preserve">spent </w:t>
      </w:r>
      <w:r w:rsidRPr="002D7F63">
        <w:t>MOX fuel</w:t>
      </w:r>
      <w:r w:rsidR="00D6360D" w:rsidRPr="002D7F63">
        <w:t>s</w:t>
      </w:r>
      <w:r w:rsidRPr="002D7F63">
        <w:t xml:space="preserve"> and </w:t>
      </w:r>
      <w:r w:rsidR="00D6360D" w:rsidRPr="002D7F63">
        <w:t>spent UO</w:t>
      </w:r>
      <w:r w:rsidR="00D6360D" w:rsidRPr="002D7F63">
        <w:rPr>
          <w:vertAlign w:val="subscript"/>
        </w:rPr>
        <w:t>2</w:t>
      </w:r>
      <w:r w:rsidR="00D6360D" w:rsidRPr="002D7F63">
        <w:t xml:space="preserve"> fuels with prolonged </w:t>
      </w:r>
      <w:r w:rsidRPr="002D7F63">
        <w:t xml:space="preserve">cooling period were performed since one of the major factors </w:t>
      </w:r>
      <w:r w:rsidR="00D6360D" w:rsidRPr="002D7F63">
        <w:t>hinder</w:t>
      </w:r>
      <w:r w:rsidRPr="002D7F63">
        <w:t xml:space="preserve">ing the higher loading is </w:t>
      </w:r>
      <w:r w:rsidRPr="002D7F63">
        <w:rPr>
          <w:vertAlign w:val="superscript"/>
        </w:rPr>
        <w:t>241</w:t>
      </w:r>
      <w:r w:rsidRPr="002D7F63">
        <w:t xml:space="preserve">Am and its decay heat affects adversely to the geological repository. </w:t>
      </w:r>
      <w:r w:rsidR="00266A3A" w:rsidRPr="002D7F63">
        <w:t xml:space="preserve">Therefore, </w:t>
      </w:r>
      <w:r w:rsidRPr="002D7F63">
        <w:t>heat transfer calculation was carried out to evaluate the temperature of buffer material in a geological repository. For the UO</w:t>
      </w:r>
      <w:r w:rsidRPr="002D7F63">
        <w:rPr>
          <w:vertAlign w:val="subscript"/>
        </w:rPr>
        <w:t>2</w:t>
      </w:r>
      <w:r w:rsidRPr="002D7F63">
        <w:t xml:space="preserve"> </w:t>
      </w:r>
      <w:r w:rsidR="00201EAA" w:rsidRPr="002D7F63">
        <w:t>SF</w:t>
      </w:r>
      <w:r w:rsidRPr="002D7F63">
        <w:t xml:space="preserve"> </w:t>
      </w:r>
      <w:r w:rsidR="009954B6" w:rsidRPr="002D7F63">
        <w:t xml:space="preserve">which </w:t>
      </w:r>
      <w:r w:rsidRPr="002D7F63">
        <w:t xml:space="preserve">cooling period </w:t>
      </w:r>
      <w:r w:rsidR="009954B6" w:rsidRPr="002D7F63">
        <w:t xml:space="preserve">is </w:t>
      </w:r>
      <w:r w:rsidRPr="002D7F63">
        <w:t>longer than 50 years, the reduction of the maximum temperature of the</w:t>
      </w:r>
      <w:r w:rsidR="00D6360D" w:rsidRPr="002D7F63">
        <w:t xml:space="preserve"> surface of</w:t>
      </w:r>
      <w:r w:rsidRPr="002D7F63">
        <w:t xml:space="preserve"> </w:t>
      </w:r>
      <w:r w:rsidR="00D6360D" w:rsidRPr="002D7F63">
        <w:t xml:space="preserve">the </w:t>
      </w:r>
      <w:r w:rsidRPr="002D7F63">
        <w:t xml:space="preserve">buffer material due to the MA separation </w:t>
      </w:r>
      <w:r w:rsidR="00D6360D" w:rsidRPr="002D7F63">
        <w:t>was</w:t>
      </w:r>
      <w:r w:rsidRPr="002D7F63">
        <w:t xml:space="preserve"> large, and it </w:t>
      </w:r>
      <w:r w:rsidR="00D6360D" w:rsidRPr="002D7F63">
        <w:t>was</w:t>
      </w:r>
      <w:r w:rsidRPr="002D7F63">
        <w:t xml:space="preserve"> lower than the </w:t>
      </w:r>
      <w:r w:rsidR="00D6360D" w:rsidRPr="002D7F63">
        <w:t xml:space="preserve">upper limit of </w:t>
      </w:r>
      <w:r w:rsidRPr="002D7F63">
        <w:t>buffer material temperature</w:t>
      </w:r>
      <w:r w:rsidR="00D6360D" w:rsidRPr="002D7F63">
        <w:t xml:space="preserve"> of the surface,</w:t>
      </w:r>
      <w:r w:rsidRPr="002D7F63">
        <w:t xml:space="preserve"> 100</w:t>
      </w:r>
      <m:oMath>
        <m:r>
          <m:rPr>
            <m:sty m:val="p"/>
          </m:rPr>
          <w:rPr>
            <w:rFonts w:ascii="Cambria Math" w:hAnsi="Cambria Math"/>
          </w:rPr>
          <m:t>℃</m:t>
        </m:r>
      </m:oMath>
      <w:r w:rsidR="00D6360D" w:rsidRPr="002D7F63">
        <w:rPr>
          <w:lang w:eastAsia="ja-JP"/>
        </w:rPr>
        <w:t>,</w:t>
      </w:r>
      <w:r w:rsidRPr="002D7F63">
        <w:t xml:space="preserve"> by 70% separation</w:t>
      </w:r>
      <w:r w:rsidR="00D6360D" w:rsidRPr="002D7F63">
        <w:t xml:space="preserve"> of MA</w:t>
      </w:r>
      <w:r w:rsidRPr="002D7F63">
        <w:t xml:space="preserve">. This </w:t>
      </w:r>
      <w:r w:rsidR="00D74696" w:rsidRPr="002D7F63">
        <w:t>indicates</w:t>
      </w:r>
      <w:r w:rsidRPr="002D7F63">
        <w:t xml:space="preserve"> that when the </w:t>
      </w:r>
      <w:r w:rsidR="00D6360D" w:rsidRPr="002D7F63">
        <w:t xml:space="preserve">cooling period of </w:t>
      </w:r>
      <w:r w:rsidR="00201EAA" w:rsidRPr="002D7F63">
        <w:t>SF</w:t>
      </w:r>
      <w:r w:rsidRPr="002D7F63">
        <w:t xml:space="preserve"> is prolonged, MA separation impacts more </w:t>
      </w:r>
      <w:r w:rsidR="00D6360D" w:rsidRPr="002D7F63">
        <w:t>on</w:t>
      </w:r>
      <w:r w:rsidRPr="002D7F63">
        <w:t xml:space="preserve"> the </w:t>
      </w:r>
      <w:r w:rsidR="00D6360D" w:rsidRPr="002D7F63">
        <w:t xml:space="preserve">reduction of the surface temperature of </w:t>
      </w:r>
      <w:r w:rsidRPr="002D7F63">
        <w:t xml:space="preserve">buffer material. </w:t>
      </w:r>
      <w:r w:rsidR="00727EB2" w:rsidRPr="002D7F63">
        <w:t>However</w:t>
      </w:r>
      <w:r w:rsidRPr="002D7F63">
        <w:t xml:space="preserve">, </w:t>
      </w:r>
      <w:r w:rsidR="009948A3" w:rsidRPr="002D7F63">
        <w:t xml:space="preserve">the </w:t>
      </w:r>
      <w:r w:rsidR="00727EB2" w:rsidRPr="002D7F63">
        <w:rPr>
          <w:noProof/>
        </w:rPr>
        <w:t>introduction</w:t>
      </w:r>
      <w:r w:rsidR="00727EB2" w:rsidRPr="002D7F63">
        <w:t xml:space="preserve"> of </w:t>
      </w:r>
      <w:r w:rsidRPr="002D7F63">
        <w:t xml:space="preserve">MA separation </w:t>
      </w:r>
      <w:r w:rsidR="009954B6" w:rsidRPr="002D7F63">
        <w:t xml:space="preserve">was </w:t>
      </w:r>
      <w:r w:rsidR="00727EB2" w:rsidRPr="002D7F63">
        <w:t xml:space="preserve">not </w:t>
      </w:r>
      <w:r w:rsidRPr="002D7F63">
        <w:t xml:space="preserve">sufficiently effective in terms of the thermal property of a repository </w:t>
      </w:r>
      <w:r w:rsidR="00727EB2" w:rsidRPr="002D7F63">
        <w:t xml:space="preserve">for </w:t>
      </w:r>
      <w:r w:rsidR="00AD2B30" w:rsidRPr="002D7F63">
        <w:t xml:space="preserve">spent </w:t>
      </w:r>
      <w:r w:rsidR="00727EB2" w:rsidRPr="002D7F63">
        <w:t>MOX fuel</w:t>
      </w:r>
      <w:r w:rsidR="00AD2B30" w:rsidRPr="002D7F63">
        <w:t>s</w:t>
      </w:r>
      <w:r w:rsidR="00727EB2" w:rsidRPr="002D7F63">
        <w:t xml:space="preserve"> </w:t>
      </w:r>
      <w:r w:rsidR="009954B6" w:rsidRPr="002D7F63">
        <w:t>because</w:t>
      </w:r>
      <w:r w:rsidR="00AD2B30" w:rsidRPr="002D7F63">
        <w:t xml:space="preserve"> the</w:t>
      </w:r>
      <w:r w:rsidR="009954B6" w:rsidRPr="002D7F63">
        <w:t xml:space="preserve"> amount of </w:t>
      </w:r>
      <w:r w:rsidR="009954B6" w:rsidRPr="002D7F63">
        <w:rPr>
          <w:vertAlign w:val="superscript"/>
        </w:rPr>
        <w:t>241</w:t>
      </w:r>
      <w:r w:rsidR="009954B6" w:rsidRPr="002D7F63">
        <w:t xml:space="preserve">Am was increased by beta decay of </w:t>
      </w:r>
      <w:r w:rsidR="009954B6" w:rsidRPr="002D7F63">
        <w:rPr>
          <w:vertAlign w:val="superscript"/>
        </w:rPr>
        <w:t>241</w:t>
      </w:r>
      <w:r w:rsidR="009954B6" w:rsidRPr="002D7F63">
        <w:t xml:space="preserve">Pu. Through this study, the relation </w:t>
      </w:r>
      <w:r w:rsidR="00AD2B30" w:rsidRPr="002D7F63">
        <w:t>among</w:t>
      </w:r>
      <w:r w:rsidR="009954B6" w:rsidRPr="002D7F63">
        <w:t xml:space="preserve"> </w:t>
      </w:r>
      <w:r w:rsidR="00A05F8F" w:rsidRPr="002D7F63">
        <w:t>fuel type, cooling period</w:t>
      </w:r>
      <w:r w:rsidR="00AD2B30" w:rsidRPr="002D7F63">
        <w:t xml:space="preserve"> of SF</w:t>
      </w:r>
      <w:r w:rsidR="00A05F8F" w:rsidRPr="002D7F63">
        <w:t xml:space="preserve">, </w:t>
      </w:r>
      <w:r w:rsidR="00460277" w:rsidRPr="002D7F63">
        <w:t>waste</w:t>
      </w:r>
      <w:r w:rsidR="00A05F8F" w:rsidRPr="002D7F63">
        <w:t xml:space="preserve"> loading</w:t>
      </w:r>
      <w:r w:rsidR="00AD2B30" w:rsidRPr="002D7F63">
        <w:t>,</w:t>
      </w:r>
      <w:r w:rsidR="00A05F8F" w:rsidRPr="002D7F63">
        <w:t xml:space="preserve"> MA separation</w:t>
      </w:r>
      <w:r w:rsidR="00B068EC" w:rsidRPr="002D7F63">
        <w:t>,</w:t>
      </w:r>
      <w:r w:rsidR="00A05F8F" w:rsidRPr="002D7F63">
        <w:t xml:space="preserve"> </w:t>
      </w:r>
      <w:r w:rsidR="009954B6" w:rsidRPr="002D7F63">
        <w:rPr>
          <w:noProof/>
        </w:rPr>
        <w:t>and</w:t>
      </w:r>
      <w:r w:rsidR="009954B6" w:rsidRPr="002D7F63">
        <w:t xml:space="preserve"> the disposal repository was revealed</w:t>
      </w:r>
      <w:r w:rsidRPr="002D7F63">
        <w:t>.</w:t>
      </w:r>
    </w:p>
    <w:p w14:paraId="54CBDFDE" w14:textId="77777777" w:rsidR="00647F33" w:rsidRPr="002D7F63" w:rsidRDefault="00F523CA" w:rsidP="00537496">
      <w:pPr>
        <w:pStyle w:val="2"/>
        <w:numPr>
          <w:ilvl w:val="1"/>
          <w:numId w:val="10"/>
        </w:numPr>
      </w:pPr>
      <w:r w:rsidRPr="002D7F63">
        <w:t>INTRODUCTION</w:t>
      </w:r>
    </w:p>
    <w:p w14:paraId="28FB2E79" w14:textId="1F064347" w:rsidR="00AF3FF6" w:rsidRPr="002D7F63" w:rsidRDefault="00EF6E05" w:rsidP="00EF6E05">
      <w:pPr>
        <w:pStyle w:val="a1"/>
      </w:pPr>
      <w:r w:rsidRPr="002D7F63">
        <w:t xml:space="preserve">In Japan, </w:t>
      </w:r>
      <w:r w:rsidR="00163101" w:rsidRPr="002D7F63">
        <w:t>the SF</w:t>
      </w:r>
      <w:r w:rsidR="00B068EC" w:rsidRPr="002D7F63">
        <w:t>s</w:t>
      </w:r>
      <w:r w:rsidR="00163101" w:rsidRPr="002D7F63">
        <w:t xml:space="preserve"> currently stored in </w:t>
      </w:r>
      <w:proofErr w:type="spellStart"/>
      <w:r w:rsidR="00163101" w:rsidRPr="002D7F63">
        <w:t>Rokkasho</w:t>
      </w:r>
      <w:proofErr w:type="spellEnd"/>
      <w:r w:rsidR="00163101" w:rsidRPr="002D7F63">
        <w:t xml:space="preserve"> reprocessing plant </w:t>
      </w:r>
      <w:r w:rsidR="009948A3" w:rsidRPr="002D7F63">
        <w:rPr>
          <w:noProof/>
        </w:rPr>
        <w:t>is</w:t>
      </w:r>
      <w:r w:rsidR="00163101" w:rsidRPr="002D7F63">
        <w:t xml:space="preserve"> waiting to be reprocessed</w:t>
      </w:r>
      <w:r w:rsidRPr="002D7F63">
        <w:t xml:space="preserve">, </w:t>
      </w:r>
      <w:r w:rsidR="00163101" w:rsidRPr="002D7F63">
        <w:t xml:space="preserve">and hence </w:t>
      </w:r>
      <w:r w:rsidRPr="002D7F63">
        <w:t>the amount of the SF</w:t>
      </w:r>
      <w:r w:rsidR="00B068EC" w:rsidRPr="002D7F63">
        <w:t>s</w:t>
      </w:r>
      <w:r w:rsidRPr="002D7F63">
        <w:t xml:space="preserve"> </w:t>
      </w:r>
      <w:r w:rsidR="003223BD" w:rsidRPr="002D7F63">
        <w:t>are</w:t>
      </w:r>
      <w:r w:rsidR="00163101" w:rsidRPr="002D7F63">
        <w:t xml:space="preserve"> increasing</w:t>
      </w:r>
      <w:r w:rsidRPr="002D7F63">
        <w:t xml:space="preserve">, but also the amount of the SF with </w:t>
      </w:r>
      <w:r w:rsidRPr="002D7F63">
        <w:rPr>
          <w:noProof/>
        </w:rPr>
        <w:t>prolonged</w:t>
      </w:r>
      <w:r w:rsidRPr="002D7F63">
        <w:t xml:space="preserve"> cooling period </w:t>
      </w:r>
      <w:r w:rsidR="003223BD" w:rsidRPr="002D7F63">
        <w:t>are</w:t>
      </w:r>
      <w:r w:rsidR="00163101" w:rsidRPr="002D7F63">
        <w:t xml:space="preserve"> increasing</w:t>
      </w:r>
      <w:r w:rsidRPr="002D7F63">
        <w:t xml:space="preserve">. </w:t>
      </w:r>
      <w:r w:rsidR="00AF3FF6" w:rsidRPr="002D7F63">
        <w:t>Because of the lengthening of the cooling period between discharge and reprocessing, characteristics</w:t>
      </w:r>
      <w:r w:rsidR="00AD2B30" w:rsidRPr="002D7F63">
        <w:t xml:space="preserve"> </w:t>
      </w:r>
      <w:r w:rsidR="00AD2B30" w:rsidRPr="002D7F63">
        <w:rPr>
          <w:lang w:eastAsia="ja-JP"/>
        </w:rPr>
        <w:t xml:space="preserve">of the </w:t>
      </w:r>
      <w:r w:rsidR="00AD2B30" w:rsidRPr="002D7F63">
        <w:t>SFs</w:t>
      </w:r>
      <w:r w:rsidR="00AF3FF6" w:rsidRPr="002D7F63">
        <w:t xml:space="preserve"> are changing. </w:t>
      </w:r>
      <w:r w:rsidR="008B65DE" w:rsidRPr="002D7F63">
        <w:t>Also, looking ahead of future fuel cycle system, the introduction of MOX fuel</w:t>
      </w:r>
      <w:r w:rsidR="00AD2B30" w:rsidRPr="002D7F63">
        <w:t>s</w:t>
      </w:r>
      <w:r w:rsidR="008B65DE" w:rsidRPr="002D7F63">
        <w:t xml:space="preserve"> has concern for </w:t>
      </w:r>
      <w:r w:rsidR="00AD2B30" w:rsidRPr="002D7F63">
        <w:t>their</w:t>
      </w:r>
      <w:r w:rsidR="008B65DE" w:rsidRPr="002D7F63">
        <w:t xml:space="preserve"> changes in characteristics from the viewpoint of disposal as well. </w:t>
      </w:r>
      <w:r w:rsidR="00AF3FF6" w:rsidRPr="002D7F63">
        <w:t xml:space="preserve">To promise a safe, and less environmental load disposal </w:t>
      </w:r>
      <w:r w:rsidR="00923B3A" w:rsidRPr="002D7F63">
        <w:t>repository</w:t>
      </w:r>
      <w:r w:rsidR="00AF3FF6" w:rsidRPr="002D7F63">
        <w:t xml:space="preserve"> for the HLW, reprocessing and vitrification of these fuels needs to be comprehensively </w:t>
      </w:r>
      <w:r w:rsidR="008B65DE" w:rsidRPr="002D7F63">
        <w:t xml:space="preserve">studied </w:t>
      </w:r>
      <w:r w:rsidR="008B65DE" w:rsidRPr="002D7F63">
        <w:rPr>
          <w:lang w:eastAsia="ja-JP"/>
        </w:rPr>
        <w:t>with considering</w:t>
      </w:r>
      <w:r w:rsidR="008B65DE" w:rsidRPr="002D7F63">
        <w:t xml:space="preserve"> </w:t>
      </w:r>
      <w:r w:rsidR="00AF3FF6" w:rsidRPr="002D7F63">
        <w:t xml:space="preserve">multiple factors that will lead to increase the footprint of the geological repository. Therefore, it is necessary to evaluate the </w:t>
      </w:r>
      <w:r w:rsidR="008B65DE" w:rsidRPr="002D7F63">
        <w:t xml:space="preserve">impact of </w:t>
      </w:r>
      <w:r w:rsidR="00AD2B30" w:rsidRPr="002D7F63">
        <w:t>characteristics of SFs</w:t>
      </w:r>
      <w:r w:rsidR="008B65DE" w:rsidRPr="002D7F63">
        <w:t xml:space="preserve"> </w:t>
      </w:r>
      <w:r w:rsidR="00AF3FF6" w:rsidRPr="002D7F63">
        <w:t xml:space="preserve">on the storage and feasibility of geological disposal for assuring safety and less environmental </w:t>
      </w:r>
      <w:r w:rsidR="00AD2B30" w:rsidRPr="002D7F63">
        <w:t>burden</w:t>
      </w:r>
      <w:r w:rsidR="00AF3FF6" w:rsidRPr="002D7F63">
        <w:t>.  As one of the solutions, the introduction of separation of the heat generating and radiologically harmful nuclides from high-level liquid waste</w:t>
      </w:r>
      <w:r w:rsidR="00AD2B30" w:rsidRPr="002D7F63">
        <w:t xml:space="preserve"> (HLLW)</w:t>
      </w:r>
      <w:r w:rsidR="00AF3FF6" w:rsidRPr="002D7F63">
        <w:t xml:space="preserve"> are effective. This </w:t>
      </w:r>
      <w:r w:rsidR="00AD2B30" w:rsidRPr="002D7F63">
        <w:lastRenderedPageBreak/>
        <w:t xml:space="preserve">separation step </w:t>
      </w:r>
      <w:r w:rsidR="00AF3FF6" w:rsidRPr="002D7F63">
        <w:t xml:space="preserve">can </w:t>
      </w:r>
      <w:r w:rsidR="00AD2B30" w:rsidRPr="002D7F63">
        <w:t xml:space="preserve">realize </w:t>
      </w:r>
      <w:r w:rsidR="00AF3FF6" w:rsidRPr="002D7F63">
        <w:t xml:space="preserve">an appreciable reduction in </w:t>
      </w:r>
      <w:r w:rsidR="00AD2B30" w:rsidRPr="002D7F63">
        <w:rPr>
          <w:noProof/>
        </w:rPr>
        <w:t>burden</w:t>
      </w:r>
      <w:r w:rsidR="00AD2B30" w:rsidRPr="002D7F63">
        <w:t xml:space="preserve"> of </w:t>
      </w:r>
      <w:r w:rsidR="00AF3FF6" w:rsidRPr="002D7F63">
        <w:t xml:space="preserve">waste management and the </w:t>
      </w:r>
      <w:r w:rsidR="00D74696" w:rsidRPr="002D7F63">
        <w:t>potential</w:t>
      </w:r>
      <w:r w:rsidR="00AF3FF6" w:rsidRPr="002D7F63">
        <w:t xml:space="preserve"> radiotoxicity [1,2]. </w:t>
      </w:r>
    </w:p>
    <w:p w14:paraId="390D10BC" w14:textId="484324D9" w:rsidR="008B65DE" w:rsidRPr="002D7F63" w:rsidRDefault="00AF3FF6" w:rsidP="00AF3FF6">
      <w:pPr>
        <w:pStyle w:val="a1"/>
        <w:rPr>
          <w:lang w:eastAsia="ja-JP"/>
        </w:rPr>
      </w:pPr>
      <w:r w:rsidRPr="002D7F63">
        <w:t xml:space="preserve">Y. INAGAKI et al. [3]., studied the number of vitrified wastes with respect to current vitrification technology and </w:t>
      </w:r>
      <w:r w:rsidRPr="002D7F63">
        <w:rPr>
          <w:noProof/>
        </w:rPr>
        <w:t>they</w:t>
      </w:r>
      <w:r w:rsidRPr="002D7F63">
        <w:t xml:space="preserve"> concluded that MA </w:t>
      </w:r>
      <w:r w:rsidR="001D0B18" w:rsidRPr="002D7F63">
        <w:rPr>
          <w:noProof/>
        </w:rPr>
        <w:t>ha</w:t>
      </w:r>
      <w:r w:rsidR="009948A3" w:rsidRPr="002D7F63">
        <w:rPr>
          <w:noProof/>
        </w:rPr>
        <w:t>s</w:t>
      </w:r>
      <w:r w:rsidRPr="002D7F63">
        <w:t xml:space="preserve"> a significant influence on heat generation rate</w:t>
      </w:r>
      <w:r w:rsidR="00D74696" w:rsidRPr="002D7F63">
        <w:t xml:space="preserve"> but also MoO</w:t>
      </w:r>
      <w:r w:rsidR="00D74696" w:rsidRPr="002D7F63">
        <w:rPr>
          <w:vertAlign w:val="subscript"/>
        </w:rPr>
        <w:t>3</w:t>
      </w:r>
      <w:r w:rsidR="00D74696" w:rsidRPr="002D7F63">
        <w:t xml:space="preserve"> and platinum group metal</w:t>
      </w:r>
      <w:r w:rsidR="00CA0DEC" w:rsidRPr="002D7F63">
        <w:t>s</w:t>
      </w:r>
      <w:r w:rsidR="00D74696" w:rsidRPr="002D7F63">
        <w:t xml:space="preserve"> (PGM</w:t>
      </w:r>
      <w:r w:rsidR="00CA0DEC" w:rsidRPr="002D7F63">
        <w:t>: Ru, Rh, and Pd</w:t>
      </w:r>
      <w:r w:rsidR="00D74696" w:rsidRPr="002D7F63">
        <w:t>)</w:t>
      </w:r>
      <w:r w:rsidR="008B65DE" w:rsidRPr="002D7F63">
        <w:t xml:space="preserve">, which have adverse impact on glass vitrification process, </w:t>
      </w:r>
      <w:r w:rsidR="00EA0414" w:rsidRPr="002D7F63">
        <w:t xml:space="preserve">have </w:t>
      </w:r>
      <w:r w:rsidR="006176FE" w:rsidRPr="002D7F63">
        <w:t>restrict</w:t>
      </w:r>
      <w:r w:rsidR="00EA0414" w:rsidRPr="002D7F63">
        <w:t>ed</w:t>
      </w:r>
      <w:r w:rsidR="006176FE" w:rsidRPr="002D7F63">
        <w:t xml:space="preserve"> the number of glass units rather than the heat generation rate</w:t>
      </w:r>
      <w:r w:rsidRPr="002D7F63">
        <w:t xml:space="preserve">. The higher heat generation from </w:t>
      </w:r>
      <w:r w:rsidR="00AD2B30" w:rsidRPr="002D7F63">
        <w:t>MA</w:t>
      </w:r>
      <w:r w:rsidRPr="002D7F63">
        <w:t xml:space="preserve">, especially </w:t>
      </w:r>
      <w:r w:rsidRPr="002D7F63">
        <w:rPr>
          <w:vertAlign w:val="superscript"/>
        </w:rPr>
        <w:t>241</w:t>
      </w:r>
      <w:r w:rsidRPr="002D7F63">
        <w:t>Am, in</w:t>
      </w:r>
      <w:r w:rsidR="00AD2B30" w:rsidRPr="002D7F63">
        <w:t xml:space="preserve"> spent</w:t>
      </w:r>
      <w:r w:rsidRPr="002D7F63">
        <w:t xml:space="preserve"> MOX fuel </w:t>
      </w:r>
      <w:r w:rsidR="00EA0414" w:rsidRPr="002D7F63">
        <w:t xml:space="preserve">was </w:t>
      </w:r>
      <w:r w:rsidRPr="002D7F63">
        <w:t xml:space="preserve">one of the </w:t>
      </w:r>
      <w:r w:rsidR="008B65DE" w:rsidRPr="002D7F63">
        <w:t xml:space="preserve">most important nuclei in waste management. This indicates that the waste occupied area of geological disposal is quite sensitive to </w:t>
      </w:r>
      <w:r w:rsidR="008B65DE" w:rsidRPr="002D7F63">
        <w:rPr>
          <w:vertAlign w:val="superscript"/>
        </w:rPr>
        <w:t>241</w:t>
      </w:r>
      <w:r w:rsidR="008B65DE" w:rsidRPr="002D7F63">
        <w:t xml:space="preserve">Am, and the effects of </w:t>
      </w:r>
      <w:r w:rsidR="008B65DE" w:rsidRPr="002D7F63">
        <w:rPr>
          <w:vertAlign w:val="superscript"/>
        </w:rPr>
        <w:t>241</w:t>
      </w:r>
      <w:r w:rsidR="008B65DE" w:rsidRPr="002D7F63">
        <w:t xml:space="preserve">Am on </w:t>
      </w:r>
      <w:r w:rsidR="00AD2B30" w:rsidRPr="002D7F63">
        <w:t xml:space="preserve">spent </w:t>
      </w:r>
      <w:r w:rsidR="008B65DE" w:rsidRPr="002D7F63">
        <w:t xml:space="preserve">MOX fuels and </w:t>
      </w:r>
      <w:r w:rsidR="00AD2B30" w:rsidRPr="002D7F63">
        <w:t xml:space="preserve">spent </w:t>
      </w:r>
      <w:r w:rsidR="008B65DE" w:rsidRPr="002D7F63">
        <w:t>UO</w:t>
      </w:r>
      <w:r w:rsidR="008B65DE" w:rsidRPr="002D7F63">
        <w:rPr>
          <w:vertAlign w:val="subscript"/>
        </w:rPr>
        <w:t>2</w:t>
      </w:r>
      <w:r w:rsidR="008B65DE" w:rsidRPr="002D7F63">
        <w:t xml:space="preserve"> fuels with </w:t>
      </w:r>
      <w:r w:rsidR="009948A3" w:rsidRPr="002D7F63">
        <w:t xml:space="preserve">a </w:t>
      </w:r>
      <w:r w:rsidR="008B65DE" w:rsidRPr="002D7F63">
        <w:rPr>
          <w:noProof/>
        </w:rPr>
        <w:t>prolonged</w:t>
      </w:r>
      <w:r w:rsidR="008B65DE" w:rsidRPr="002D7F63">
        <w:t xml:space="preserve"> cooling period should be systematically evaluated. </w:t>
      </w:r>
    </w:p>
    <w:p w14:paraId="486B8413" w14:textId="6225D38A" w:rsidR="008B65DE" w:rsidRPr="002D7F63" w:rsidRDefault="008B65DE" w:rsidP="008B65DE">
      <w:pPr>
        <w:pStyle w:val="a1"/>
      </w:pPr>
      <w:r w:rsidRPr="002D7F63">
        <w:t xml:space="preserve">In this study, effects of MA separation on </w:t>
      </w:r>
      <w:r w:rsidR="00AD2B30" w:rsidRPr="002D7F63">
        <w:t xml:space="preserve">disposal of spent </w:t>
      </w:r>
      <w:r w:rsidRPr="002D7F63">
        <w:t xml:space="preserve">MOX fuel and </w:t>
      </w:r>
      <w:r w:rsidR="00AD2B30" w:rsidRPr="002D7F63">
        <w:t>spent UO</w:t>
      </w:r>
      <w:r w:rsidR="00AD2B30" w:rsidRPr="002D7F63">
        <w:rPr>
          <w:vertAlign w:val="subscript"/>
        </w:rPr>
        <w:t>2</w:t>
      </w:r>
      <w:r w:rsidR="00AD2B30" w:rsidRPr="002D7F63">
        <w:t xml:space="preserve"> fuels with prolonged cooling period</w:t>
      </w:r>
      <w:r w:rsidRPr="002D7F63">
        <w:t xml:space="preserve"> were comprehensively evaluated not only from the aspects of geological </w:t>
      </w:r>
      <w:r w:rsidRPr="002D7F63">
        <w:rPr>
          <w:noProof/>
        </w:rPr>
        <w:t>disposal</w:t>
      </w:r>
      <w:r w:rsidRPr="002D7F63">
        <w:t xml:space="preserve"> but also from the operation of a nuclear power plant, reprocessing</w:t>
      </w:r>
      <w:r w:rsidR="00AD2B30" w:rsidRPr="002D7F63">
        <w:t xml:space="preserve"> of SFs</w:t>
      </w:r>
      <w:r w:rsidRPr="002D7F63">
        <w:t xml:space="preserve"> and vitrification of HLLW.</w:t>
      </w:r>
    </w:p>
    <w:p w14:paraId="46AE8648" w14:textId="5D4FDA77" w:rsidR="00E25B68" w:rsidRPr="002D7F63" w:rsidRDefault="00AF3FF6" w:rsidP="0026525A">
      <w:pPr>
        <w:pStyle w:val="2"/>
        <w:numPr>
          <w:ilvl w:val="1"/>
          <w:numId w:val="10"/>
        </w:numPr>
      </w:pPr>
      <w:r w:rsidRPr="002D7F63">
        <w:t>Calculation methods and conditions</w:t>
      </w:r>
    </w:p>
    <w:p w14:paraId="025BD65E" w14:textId="70D32245" w:rsidR="0026525A" w:rsidRPr="002D7F63" w:rsidRDefault="00095166" w:rsidP="00537496">
      <w:pPr>
        <w:pStyle w:val="a1"/>
      </w:pPr>
      <w:r w:rsidRPr="002D7F63">
        <w:rPr>
          <w:b/>
        </w:rPr>
        <w:t xml:space="preserve">Table </w:t>
      </w:r>
      <w:r w:rsidR="00AF3FF6" w:rsidRPr="002D7F63">
        <w:rPr>
          <w:b/>
        </w:rPr>
        <w:t>1</w:t>
      </w:r>
      <w:r w:rsidR="00AF3FF6" w:rsidRPr="002D7F63">
        <w:t xml:space="preserve"> shows the calculation conditions of this study. </w:t>
      </w:r>
      <w:r w:rsidR="00FF19DD" w:rsidRPr="002D7F63">
        <w:t>Most of the conditions were set based on the current Japanese geological disposal concept</w:t>
      </w:r>
      <w:r w:rsidR="008B65DE" w:rsidRPr="002D7F63">
        <w:t>,</w:t>
      </w:r>
      <w:r w:rsidR="00FF19DD" w:rsidRPr="002D7F63">
        <w:t xml:space="preserve"> shown as reference case</w:t>
      </w:r>
      <w:r w:rsidR="008B65DE" w:rsidRPr="002D7F63">
        <w:t xml:space="preserve"> [4]</w:t>
      </w:r>
      <w:r w:rsidR="00FF19DD" w:rsidRPr="002D7F63">
        <w:t xml:space="preserve">. And factors, </w:t>
      </w:r>
      <w:r w:rsidR="00DE3A52" w:rsidRPr="002D7F63">
        <w:t xml:space="preserve">such as </w:t>
      </w:r>
      <w:r w:rsidR="009948A3" w:rsidRPr="002D7F63">
        <w:t xml:space="preserve">a </w:t>
      </w:r>
      <w:r w:rsidR="00DE3A52" w:rsidRPr="002D7F63">
        <w:rPr>
          <w:noProof/>
        </w:rPr>
        <w:t>cooling</w:t>
      </w:r>
      <w:r w:rsidR="00DE3A52" w:rsidRPr="002D7F63">
        <w:t xml:space="preserve"> period</w:t>
      </w:r>
      <w:r w:rsidR="00AD2B30" w:rsidRPr="002D7F63">
        <w:t xml:space="preserve"> of SFs</w:t>
      </w:r>
      <w:r w:rsidR="00DE3A52" w:rsidRPr="002D7F63">
        <w:t xml:space="preserve">, MA separation ratio, and waste loading </w:t>
      </w:r>
      <w:r w:rsidR="008B65DE" w:rsidRPr="002D7F63">
        <w:t>were varied</w:t>
      </w:r>
      <w:r w:rsidR="00DE3A52" w:rsidRPr="002D7F63">
        <w:t xml:space="preserve"> to evaluate those effects.</w:t>
      </w:r>
      <w:r w:rsidR="00F1514D" w:rsidRPr="002D7F63">
        <w:t xml:space="preserve"> </w:t>
      </w:r>
      <w:r w:rsidR="00AF3FF6" w:rsidRPr="002D7F63">
        <w:t xml:space="preserve">Firstly, calculations for the nuclide constituents and decay heat generated </w:t>
      </w:r>
      <w:r w:rsidR="00AD2B30" w:rsidRPr="002D7F63">
        <w:t>from</w:t>
      </w:r>
      <w:r w:rsidR="00AF3FF6" w:rsidRPr="002D7F63">
        <w:t xml:space="preserve"> both fuels were done using Origen2.2-upj [</w:t>
      </w:r>
      <w:r w:rsidR="00FF19DD" w:rsidRPr="002D7F63">
        <w:t>5</w:t>
      </w:r>
      <w:r w:rsidR="00AF3FF6" w:rsidRPr="002D7F63">
        <w:t xml:space="preserve">]. Secondly, heat transfer calculation was carried out to evaluate the temperature of </w:t>
      </w:r>
      <w:r w:rsidR="009948A3" w:rsidRPr="002D7F63">
        <w:t xml:space="preserve">the </w:t>
      </w:r>
      <w:r w:rsidR="00AF3FF6" w:rsidRPr="002D7F63">
        <w:rPr>
          <w:noProof/>
        </w:rPr>
        <w:t>buffer</w:t>
      </w:r>
      <w:r w:rsidR="00AF3FF6" w:rsidRPr="002D7F63">
        <w:t xml:space="preserve"> material </w:t>
      </w:r>
      <w:r w:rsidR="00F1514D" w:rsidRPr="002D7F63">
        <w:t xml:space="preserve">surface </w:t>
      </w:r>
      <w:r w:rsidR="00AF3FF6" w:rsidRPr="002D7F63">
        <w:t xml:space="preserve">in a geological repository using COMSOL Multiphysics code [6]. Finally, CAERA index was introduced to </w:t>
      </w:r>
      <w:r w:rsidR="00923B3A" w:rsidRPr="002D7F63">
        <w:t>quantitatively</w:t>
      </w:r>
      <w:r w:rsidR="00923B3A" w:rsidRPr="002D7F63">
        <w:rPr>
          <w:lang w:eastAsia="ja-JP"/>
        </w:rPr>
        <w:t xml:space="preserve"> evaluate the impact </w:t>
      </w:r>
      <w:r w:rsidR="009948A3" w:rsidRPr="002D7F63">
        <w:rPr>
          <w:noProof/>
        </w:rPr>
        <w:t>of</w:t>
      </w:r>
      <w:r w:rsidR="00AF3FF6" w:rsidRPr="002D7F63">
        <w:t xml:space="preserve"> the </w:t>
      </w:r>
      <w:r w:rsidR="009E7BC6" w:rsidRPr="002D7F63">
        <w:t>waste occupied area</w:t>
      </w:r>
      <w:r w:rsidR="00AF3FF6" w:rsidRPr="002D7F63">
        <w:t xml:space="preserve"> of the geological disposal.</w:t>
      </w:r>
    </w:p>
    <w:p w14:paraId="54FAFF9C" w14:textId="7B7FD260" w:rsidR="00AF3FF6" w:rsidRPr="002D7F63" w:rsidRDefault="00AF3FF6" w:rsidP="00AF1F6E">
      <w:pPr>
        <w:pStyle w:val="a1"/>
        <w:ind w:firstLine="0"/>
      </w:pPr>
    </w:p>
    <w:p w14:paraId="488615AE" w14:textId="25A55BE8" w:rsidR="00AF3FF6" w:rsidRPr="002D7F63" w:rsidRDefault="00AF1F6E" w:rsidP="00AF1F6E">
      <w:pPr>
        <w:pStyle w:val="a1"/>
        <w:ind w:firstLine="0"/>
        <w:rPr>
          <w:lang w:eastAsia="ja-JP"/>
        </w:rPr>
      </w:pPr>
      <w:r w:rsidRPr="002D7F63">
        <w:t>TABLE 1</w:t>
      </w:r>
      <w:r w:rsidRPr="002D7F63">
        <w:tab/>
      </w:r>
      <w:r w:rsidRPr="002D7F63">
        <w:rPr>
          <w:lang w:eastAsia="ja-JP"/>
        </w:rPr>
        <w:t>PARAMETER</w:t>
      </w:r>
      <w:r w:rsidR="00AF3FF6" w:rsidRPr="002D7F63">
        <w:rPr>
          <w:lang w:eastAsia="ja-JP"/>
        </w:rPr>
        <w:t xml:space="preserve"> </w:t>
      </w:r>
      <w:r w:rsidRPr="002D7F63">
        <w:rPr>
          <w:lang w:eastAsia="ja-JP"/>
        </w:rPr>
        <w:t>VALUES USED IN THE CALCULATION</w:t>
      </w:r>
    </w:p>
    <w:p w14:paraId="12A41C65" w14:textId="77777777" w:rsidR="00AF1F6E" w:rsidRPr="002D7F63" w:rsidRDefault="00AF1F6E" w:rsidP="00AF1F6E">
      <w:pPr>
        <w:pStyle w:val="a1"/>
        <w:ind w:firstLine="0"/>
        <w:rPr>
          <w:lang w:eastAsia="ja-JP"/>
        </w:rPr>
      </w:pPr>
    </w:p>
    <w:tbl>
      <w:tblPr>
        <w:tblW w:w="4711" w:type="pct"/>
        <w:jc w:val="center"/>
        <w:tblLayout w:type="fixed"/>
        <w:tblLook w:val="04A0" w:firstRow="1" w:lastRow="0" w:firstColumn="1" w:lastColumn="0" w:noHBand="0" w:noVBand="1"/>
      </w:tblPr>
      <w:tblGrid>
        <w:gridCol w:w="1702"/>
        <w:gridCol w:w="2126"/>
        <w:gridCol w:w="1136"/>
        <w:gridCol w:w="1419"/>
        <w:gridCol w:w="1061"/>
        <w:gridCol w:w="1061"/>
      </w:tblGrid>
      <w:tr w:rsidR="002D7F63" w:rsidRPr="002D7F63" w14:paraId="3DF8C6DE" w14:textId="77777777" w:rsidTr="00163101">
        <w:trPr>
          <w:trHeight w:val="245"/>
          <w:jc w:val="center"/>
        </w:trPr>
        <w:tc>
          <w:tcPr>
            <w:tcW w:w="1000" w:type="pct"/>
            <w:vMerge w:val="restart"/>
            <w:tcBorders>
              <w:top w:val="single" w:sz="8" w:space="0" w:color="auto"/>
              <w:left w:val="nil"/>
              <w:bottom w:val="single" w:sz="8" w:space="0" w:color="000000"/>
              <w:right w:val="dotted" w:sz="4" w:space="0" w:color="FFFFFF"/>
            </w:tcBorders>
            <w:shd w:val="clear" w:color="auto" w:fill="auto"/>
            <w:vAlign w:val="center"/>
            <w:hideMark/>
          </w:tcPr>
          <w:p w14:paraId="5AFA8402" w14:textId="77777777" w:rsidR="006334E6" w:rsidRPr="002D7F63" w:rsidRDefault="006334E6" w:rsidP="00AF1F6E">
            <w:pPr>
              <w:spacing w:line="260" w:lineRule="exact"/>
              <w:rPr>
                <w:rFonts w:eastAsia="Times New Roman"/>
                <w:sz w:val="18"/>
                <w:szCs w:val="18"/>
              </w:rPr>
            </w:pPr>
            <w:r w:rsidRPr="002D7F63">
              <w:rPr>
                <w:rFonts w:eastAsia="Times New Roman"/>
                <w:sz w:val="18"/>
                <w:szCs w:val="18"/>
              </w:rPr>
              <w:t>Event</w:t>
            </w:r>
          </w:p>
        </w:tc>
        <w:tc>
          <w:tcPr>
            <w:tcW w:w="1250" w:type="pct"/>
            <w:vMerge w:val="restart"/>
            <w:tcBorders>
              <w:top w:val="single" w:sz="8" w:space="0" w:color="auto"/>
              <w:left w:val="nil"/>
              <w:bottom w:val="single" w:sz="8" w:space="0" w:color="000000"/>
              <w:right w:val="nil"/>
            </w:tcBorders>
            <w:shd w:val="clear" w:color="auto" w:fill="auto"/>
            <w:noWrap/>
            <w:vAlign w:val="center"/>
            <w:hideMark/>
          </w:tcPr>
          <w:p w14:paraId="57A72BB9" w14:textId="77777777" w:rsidR="006334E6" w:rsidRPr="002D7F63" w:rsidRDefault="006334E6" w:rsidP="00AF1F6E">
            <w:pPr>
              <w:spacing w:line="260" w:lineRule="exact"/>
              <w:jc w:val="center"/>
              <w:rPr>
                <w:rFonts w:eastAsia="Times New Roman"/>
                <w:sz w:val="18"/>
                <w:szCs w:val="18"/>
              </w:rPr>
            </w:pPr>
            <w:r w:rsidRPr="002D7F63">
              <w:rPr>
                <w:rFonts w:eastAsia="Times New Roman"/>
                <w:sz w:val="18"/>
                <w:szCs w:val="18"/>
              </w:rPr>
              <w:t>Factor</w:t>
            </w:r>
          </w:p>
        </w:tc>
        <w:tc>
          <w:tcPr>
            <w:tcW w:w="668" w:type="pct"/>
            <w:vMerge w:val="restart"/>
            <w:tcBorders>
              <w:top w:val="single" w:sz="8" w:space="0" w:color="auto"/>
              <w:left w:val="single" w:sz="4" w:space="0" w:color="auto"/>
              <w:right w:val="single" w:sz="4" w:space="0" w:color="auto"/>
            </w:tcBorders>
            <w:vAlign w:val="center"/>
          </w:tcPr>
          <w:p w14:paraId="21DFB439" w14:textId="1AF096C7" w:rsidR="006334E6" w:rsidRPr="002D7F63" w:rsidRDefault="006334E6" w:rsidP="006334E6">
            <w:pPr>
              <w:spacing w:line="260" w:lineRule="exact"/>
              <w:jc w:val="center"/>
              <w:rPr>
                <w:rFonts w:eastAsia="Times New Roman"/>
                <w:sz w:val="18"/>
                <w:szCs w:val="18"/>
              </w:rPr>
            </w:pPr>
            <w:r w:rsidRPr="002D7F63">
              <w:rPr>
                <w:rFonts w:eastAsia="Times New Roman"/>
                <w:sz w:val="18"/>
                <w:szCs w:val="18"/>
              </w:rPr>
              <w:t>unit</w:t>
            </w:r>
          </w:p>
        </w:tc>
        <w:tc>
          <w:tcPr>
            <w:tcW w:w="834" w:type="pct"/>
            <w:vMerge w:val="restart"/>
            <w:tcBorders>
              <w:top w:val="single" w:sz="8" w:space="0" w:color="auto"/>
              <w:left w:val="single" w:sz="4" w:space="0" w:color="auto"/>
              <w:right w:val="dotted" w:sz="4" w:space="0" w:color="FFFFFF"/>
            </w:tcBorders>
            <w:shd w:val="clear" w:color="auto" w:fill="auto"/>
            <w:vAlign w:val="center"/>
            <w:hideMark/>
          </w:tcPr>
          <w:p w14:paraId="434540BB" w14:textId="11D48ADB" w:rsidR="006334E6" w:rsidRPr="002D7F63" w:rsidRDefault="006334E6" w:rsidP="00AF1F6E">
            <w:pPr>
              <w:spacing w:line="260" w:lineRule="exact"/>
              <w:jc w:val="center"/>
              <w:rPr>
                <w:rFonts w:eastAsia="Times New Roman"/>
                <w:sz w:val="18"/>
                <w:szCs w:val="18"/>
              </w:rPr>
            </w:pPr>
            <w:r w:rsidRPr="002D7F63">
              <w:rPr>
                <w:rFonts w:eastAsia="Times New Roman"/>
                <w:sz w:val="18"/>
                <w:szCs w:val="18"/>
              </w:rPr>
              <w:t>Reference case</w:t>
            </w:r>
          </w:p>
        </w:tc>
        <w:tc>
          <w:tcPr>
            <w:tcW w:w="1248" w:type="pct"/>
            <w:gridSpan w:val="2"/>
            <w:tcBorders>
              <w:top w:val="single" w:sz="8" w:space="0" w:color="auto"/>
              <w:left w:val="nil"/>
              <w:bottom w:val="dashed" w:sz="4" w:space="0" w:color="auto"/>
              <w:right w:val="nil"/>
            </w:tcBorders>
            <w:shd w:val="clear" w:color="auto" w:fill="auto"/>
            <w:noWrap/>
            <w:vAlign w:val="center"/>
            <w:hideMark/>
          </w:tcPr>
          <w:p w14:paraId="52D12EAF" w14:textId="77777777" w:rsidR="006334E6" w:rsidRPr="002D7F63" w:rsidRDefault="006334E6" w:rsidP="00C73C92">
            <w:pPr>
              <w:spacing w:line="260" w:lineRule="exact"/>
              <w:jc w:val="center"/>
              <w:rPr>
                <w:rFonts w:eastAsia="Times New Roman"/>
                <w:sz w:val="18"/>
                <w:szCs w:val="18"/>
              </w:rPr>
            </w:pPr>
            <w:r w:rsidRPr="002D7F63">
              <w:rPr>
                <w:rFonts w:eastAsia="Times New Roman"/>
                <w:sz w:val="18"/>
                <w:szCs w:val="18"/>
              </w:rPr>
              <w:t>Study case</w:t>
            </w:r>
          </w:p>
        </w:tc>
      </w:tr>
      <w:tr w:rsidR="002D7F63" w:rsidRPr="002D7F63" w14:paraId="20182E38" w14:textId="77777777" w:rsidTr="00163101">
        <w:trPr>
          <w:trHeight w:val="245"/>
          <w:jc w:val="center"/>
        </w:trPr>
        <w:tc>
          <w:tcPr>
            <w:tcW w:w="1000" w:type="pct"/>
            <w:vMerge/>
            <w:tcBorders>
              <w:top w:val="single" w:sz="8" w:space="0" w:color="auto"/>
              <w:left w:val="nil"/>
              <w:bottom w:val="single" w:sz="8" w:space="0" w:color="000000"/>
              <w:right w:val="dotted" w:sz="4" w:space="0" w:color="FFFFFF"/>
            </w:tcBorders>
            <w:vAlign w:val="center"/>
            <w:hideMark/>
          </w:tcPr>
          <w:p w14:paraId="0BF1FD95" w14:textId="77777777" w:rsidR="006334E6" w:rsidRPr="002D7F63" w:rsidRDefault="006334E6" w:rsidP="00AF1F6E">
            <w:pPr>
              <w:spacing w:line="260" w:lineRule="exact"/>
              <w:ind w:firstLine="567"/>
              <w:rPr>
                <w:rFonts w:eastAsia="Times New Roman"/>
                <w:sz w:val="18"/>
                <w:szCs w:val="18"/>
              </w:rPr>
            </w:pPr>
          </w:p>
        </w:tc>
        <w:tc>
          <w:tcPr>
            <w:tcW w:w="1250" w:type="pct"/>
            <w:vMerge/>
            <w:tcBorders>
              <w:top w:val="single" w:sz="8" w:space="0" w:color="auto"/>
              <w:left w:val="nil"/>
              <w:bottom w:val="single" w:sz="8" w:space="0" w:color="000000"/>
              <w:right w:val="nil"/>
            </w:tcBorders>
            <w:vAlign w:val="center"/>
            <w:hideMark/>
          </w:tcPr>
          <w:p w14:paraId="5D99E2D1" w14:textId="77777777" w:rsidR="006334E6" w:rsidRPr="002D7F63" w:rsidRDefault="006334E6" w:rsidP="00AF1F6E">
            <w:pPr>
              <w:spacing w:line="260" w:lineRule="exact"/>
              <w:ind w:firstLine="567"/>
              <w:rPr>
                <w:rFonts w:eastAsia="Times New Roman"/>
                <w:sz w:val="18"/>
                <w:szCs w:val="18"/>
              </w:rPr>
            </w:pPr>
          </w:p>
        </w:tc>
        <w:tc>
          <w:tcPr>
            <w:tcW w:w="668" w:type="pct"/>
            <w:vMerge/>
            <w:tcBorders>
              <w:left w:val="single" w:sz="4" w:space="0" w:color="auto"/>
              <w:bottom w:val="single" w:sz="8" w:space="0" w:color="000000"/>
              <w:right w:val="single" w:sz="4" w:space="0" w:color="auto"/>
            </w:tcBorders>
          </w:tcPr>
          <w:p w14:paraId="16ECAA77" w14:textId="77777777" w:rsidR="006334E6" w:rsidRPr="002D7F63" w:rsidRDefault="006334E6" w:rsidP="00AF1F6E">
            <w:pPr>
              <w:spacing w:line="260" w:lineRule="exact"/>
              <w:ind w:firstLine="567"/>
              <w:rPr>
                <w:rFonts w:eastAsia="Times New Roman"/>
                <w:sz w:val="18"/>
                <w:szCs w:val="18"/>
              </w:rPr>
            </w:pPr>
          </w:p>
        </w:tc>
        <w:tc>
          <w:tcPr>
            <w:tcW w:w="834" w:type="pct"/>
            <w:vMerge/>
            <w:tcBorders>
              <w:left w:val="single" w:sz="4" w:space="0" w:color="auto"/>
              <w:bottom w:val="single" w:sz="8" w:space="0" w:color="000000"/>
              <w:right w:val="dotted" w:sz="4" w:space="0" w:color="FFFFFF"/>
            </w:tcBorders>
            <w:vAlign w:val="center"/>
            <w:hideMark/>
          </w:tcPr>
          <w:p w14:paraId="739F53C6" w14:textId="29E024B3" w:rsidR="006334E6" w:rsidRPr="002D7F63" w:rsidRDefault="006334E6" w:rsidP="00AF1F6E">
            <w:pPr>
              <w:spacing w:line="260" w:lineRule="exact"/>
              <w:ind w:firstLine="567"/>
              <w:rPr>
                <w:rFonts w:eastAsia="Times New Roman"/>
                <w:sz w:val="18"/>
                <w:szCs w:val="18"/>
              </w:rPr>
            </w:pPr>
          </w:p>
        </w:tc>
        <w:tc>
          <w:tcPr>
            <w:tcW w:w="624" w:type="pct"/>
            <w:tcBorders>
              <w:top w:val="nil"/>
              <w:left w:val="nil"/>
              <w:bottom w:val="single" w:sz="8" w:space="0" w:color="auto"/>
              <w:right w:val="dotted" w:sz="4" w:space="0" w:color="FFFFFF"/>
            </w:tcBorders>
            <w:shd w:val="clear" w:color="auto" w:fill="auto"/>
            <w:noWrap/>
            <w:vAlign w:val="center"/>
            <w:hideMark/>
          </w:tcPr>
          <w:p w14:paraId="425DC9B1" w14:textId="77777777" w:rsidR="006334E6" w:rsidRPr="002D7F63" w:rsidRDefault="006334E6" w:rsidP="003148D5">
            <w:pPr>
              <w:spacing w:line="260" w:lineRule="exact"/>
              <w:ind w:firstLine="32"/>
              <w:jc w:val="center"/>
              <w:rPr>
                <w:rFonts w:eastAsia="Times New Roman"/>
                <w:sz w:val="18"/>
                <w:szCs w:val="18"/>
              </w:rPr>
            </w:pPr>
            <w:r w:rsidRPr="002D7F63">
              <w:rPr>
                <w:rFonts w:eastAsia="Times New Roman"/>
                <w:sz w:val="18"/>
                <w:szCs w:val="18"/>
              </w:rPr>
              <w:t>UO</w:t>
            </w:r>
            <w:r w:rsidRPr="002D7F63">
              <w:rPr>
                <w:rFonts w:eastAsia="Times New Roman"/>
                <w:sz w:val="18"/>
                <w:szCs w:val="18"/>
                <w:vertAlign w:val="subscript"/>
              </w:rPr>
              <w:t>2</w:t>
            </w:r>
          </w:p>
        </w:tc>
        <w:tc>
          <w:tcPr>
            <w:tcW w:w="624" w:type="pct"/>
            <w:tcBorders>
              <w:top w:val="nil"/>
              <w:left w:val="nil"/>
              <w:bottom w:val="single" w:sz="8" w:space="0" w:color="auto"/>
              <w:right w:val="nil"/>
            </w:tcBorders>
            <w:shd w:val="clear" w:color="auto" w:fill="auto"/>
            <w:noWrap/>
            <w:vAlign w:val="center"/>
            <w:hideMark/>
          </w:tcPr>
          <w:p w14:paraId="230F6165" w14:textId="77777777" w:rsidR="006334E6" w:rsidRPr="002D7F63" w:rsidRDefault="006334E6" w:rsidP="003148D5">
            <w:pPr>
              <w:spacing w:line="260" w:lineRule="exact"/>
              <w:jc w:val="center"/>
              <w:rPr>
                <w:rFonts w:eastAsia="Times New Roman"/>
                <w:sz w:val="18"/>
                <w:szCs w:val="18"/>
              </w:rPr>
            </w:pPr>
            <w:r w:rsidRPr="002D7F63">
              <w:rPr>
                <w:rFonts w:eastAsia="Times New Roman"/>
                <w:sz w:val="18"/>
                <w:szCs w:val="18"/>
              </w:rPr>
              <w:t>MOX</w:t>
            </w:r>
          </w:p>
        </w:tc>
      </w:tr>
      <w:tr w:rsidR="002D7F63" w:rsidRPr="002D7F63" w14:paraId="5F61F616" w14:textId="77777777" w:rsidTr="00C73C92">
        <w:trPr>
          <w:trHeight w:val="283"/>
          <w:jc w:val="center"/>
        </w:trPr>
        <w:tc>
          <w:tcPr>
            <w:tcW w:w="1000" w:type="pct"/>
            <w:vMerge w:val="restart"/>
            <w:tcBorders>
              <w:top w:val="nil"/>
              <w:left w:val="nil"/>
              <w:bottom w:val="single" w:sz="4" w:space="0" w:color="000000"/>
              <w:right w:val="nil"/>
            </w:tcBorders>
            <w:shd w:val="clear" w:color="000000" w:fill="FFFFFF"/>
            <w:vAlign w:val="center"/>
            <w:hideMark/>
          </w:tcPr>
          <w:p w14:paraId="5AB1DB9B"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Reactor operation</w:t>
            </w:r>
          </w:p>
        </w:tc>
        <w:tc>
          <w:tcPr>
            <w:tcW w:w="1250" w:type="pct"/>
            <w:tcBorders>
              <w:top w:val="nil"/>
              <w:left w:val="nil"/>
              <w:bottom w:val="dotted" w:sz="4" w:space="0" w:color="auto"/>
              <w:right w:val="nil"/>
            </w:tcBorders>
            <w:shd w:val="clear" w:color="auto" w:fill="auto"/>
            <w:noWrap/>
            <w:vAlign w:val="center"/>
            <w:hideMark/>
          </w:tcPr>
          <w:p w14:paraId="7442AB29"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Fuel pin assembly</w:t>
            </w:r>
          </w:p>
        </w:tc>
        <w:tc>
          <w:tcPr>
            <w:tcW w:w="668" w:type="pct"/>
            <w:tcBorders>
              <w:top w:val="nil"/>
              <w:left w:val="single" w:sz="4" w:space="0" w:color="auto"/>
              <w:bottom w:val="dotted" w:sz="4" w:space="0" w:color="auto"/>
              <w:right w:val="single" w:sz="4" w:space="0" w:color="auto"/>
            </w:tcBorders>
            <w:vAlign w:val="center"/>
          </w:tcPr>
          <w:p w14:paraId="4452C34F" w14:textId="6DE6372E"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nil"/>
              <w:left w:val="single" w:sz="4" w:space="0" w:color="auto"/>
              <w:bottom w:val="dotted" w:sz="4" w:space="0" w:color="auto"/>
              <w:right w:val="nil"/>
            </w:tcBorders>
            <w:shd w:val="clear" w:color="auto" w:fill="auto"/>
            <w:noWrap/>
            <w:vAlign w:val="center"/>
            <w:hideMark/>
          </w:tcPr>
          <w:p w14:paraId="3CAD4CA4" w14:textId="0F8033E0"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17</w:t>
            </w:r>
            <m:oMath>
              <m:r>
                <m:rPr>
                  <m:sty m:val="p"/>
                </m:rPr>
                <w:rPr>
                  <w:rFonts w:ascii="Cambria Math" w:eastAsia="Times New Roman" w:hAnsi="Cambria Math"/>
                  <w:sz w:val="18"/>
                  <w:szCs w:val="18"/>
                </w:rPr>
                <m:t>×</m:t>
              </m:r>
            </m:oMath>
            <w:r w:rsidRPr="002D7F63">
              <w:rPr>
                <w:rFonts w:eastAsia="Times New Roman"/>
                <w:sz w:val="18"/>
                <w:szCs w:val="18"/>
              </w:rPr>
              <w:t>17 typical PWR</w:t>
            </w:r>
          </w:p>
        </w:tc>
      </w:tr>
      <w:tr w:rsidR="002D7F63" w:rsidRPr="002D7F63" w14:paraId="2DEEFEDB" w14:textId="77777777" w:rsidTr="00C73C92">
        <w:trPr>
          <w:trHeight w:val="283"/>
          <w:jc w:val="center"/>
        </w:trPr>
        <w:tc>
          <w:tcPr>
            <w:tcW w:w="1000" w:type="pct"/>
            <w:vMerge/>
            <w:tcBorders>
              <w:top w:val="nil"/>
              <w:left w:val="nil"/>
              <w:bottom w:val="single" w:sz="4" w:space="0" w:color="000000"/>
              <w:right w:val="nil"/>
            </w:tcBorders>
            <w:vAlign w:val="center"/>
            <w:hideMark/>
          </w:tcPr>
          <w:p w14:paraId="4C2A80E9"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15A03919" w14:textId="52D71F43" w:rsidR="00CA7A38" w:rsidRPr="002D7F63" w:rsidRDefault="00CA7A38" w:rsidP="00AF1F6E">
            <w:pPr>
              <w:spacing w:line="260" w:lineRule="exact"/>
              <w:rPr>
                <w:rFonts w:eastAsia="Times New Roman"/>
                <w:sz w:val="18"/>
                <w:szCs w:val="18"/>
              </w:rPr>
            </w:pPr>
            <w:r w:rsidRPr="002D7F63">
              <w:rPr>
                <w:rFonts w:eastAsia="Times New Roman"/>
                <w:sz w:val="18"/>
                <w:szCs w:val="18"/>
              </w:rPr>
              <w:t>Burn-up</w:t>
            </w:r>
          </w:p>
        </w:tc>
        <w:tc>
          <w:tcPr>
            <w:tcW w:w="668" w:type="pct"/>
            <w:tcBorders>
              <w:top w:val="dotted" w:sz="4" w:space="0" w:color="auto"/>
              <w:left w:val="single" w:sz="4" w:space="0" w:color="auto"/>
              <w:bottom w:val="dotted" w:sz="4" w:space="0" w:color="auto"/>
              <w:right w:val="single" w:sz="4" w:space="0" w:color="auto"/>
            </w:tcBorders>
            <w:vAlign w:val="center"/>
          </w:tcPr>
          <w:p w14:paraId="1FBFCFBF" w14:textId="06018AF3" w:rsidR="00CA7A38" w:rsidRPr="002D7F63" w:rsidRDefault="006334E6" w:rsidP="00C73C92">
            <w:pPr>
              <w:spacing w:line="260" w:lineRule="exact"/>
              <w:jc w:val="center"/>
              <w:rPr>
                <w:rFonts w:eastAsia="Times New Roman"/>
                <w:sz w:val="18"/>
                <w:szCs w:val="18"/>
              </w:rPr>
            </w:pPr>
            <w:proofErr w:type="spellStart"/>
            <w:r w:rsidRPr="002D7F63">
              <w:rPr>
                <w:rFonts w:eastAsia="Times New Roman"/>
                <w:sz w:val="18"/>
                <w:szCs w:val="18"/>
              </w:rPr>
              <w:t>GWd</w:t>
            </w:r>
            <w:proofErr w:type="spellEnd"/>
            <w:r w:rsidRPr="002D7F63">
              <w:rPr>
                <w:rFonts w:eastAsia="Times New Roman"/>
                <w:sz w:val="18"/>
                <w:szCs w:val="18"/>
              </w:rPr>
              <w:t>/THM</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3EBB2E60" w14:textId="59A16580" w:rsidR="00CA7A38" w:rsidRPr="002D7F63" w:rsidRDefault="00CA7A38" w:rsidP="00AF1F6E">
            <w:pPr>
              <w:spacing w:line="260" w:lineRule="exact"/>
              <w:ind w:firstLine="567"/>
              <w:jc w:val="center"/>
              <w:rPr>
                <w:rFonts w:eastAsia="Times New Roman"/>
                <w:sz w:val="18"/>
                <w:szCs w:val="18"/>
              </w:rPr>
            </w:pPr>
            <w:r w:rsidRPr="002D7F63">
              <w:rPr>
                <w:rFonts w:eastAsia="Times New Roman"/>
                <w:sz w:val="18"/>
                <w:szCs w:val="18"/>
              </w:rPr>
              <w:t>45</w:t>
            </w:r>
          </w:p>
        </w:tc>
      </w:tr>
      <w:tr w:rsidR="002D7F63" w:rsidRPr="002D7F63" w14:paraId="1D920524" w14:textId="77777777" w:rsidTr="00163101">
        <w:trPr>
          <w:trHeight w:val="283"/>
          <w:jc w:val="center"/>
        </w:trPr>
        <w:tc>
          <w:tcPr>
            <w:tcW w:w="1000" w:type="pct"/>
            <w:vMerge/>
            <w:tcBorders>
              <w:top w:val="nil"/>
              <w:left w:val="nil"/>
              <w:bottom w:val="single" w:sz="4" w:space="0" w:color="000000"/>
              <w:right w:val="nil"/>
            </w:tcBorders>
            <w:vAlign w:val="center"/>
            <w:hideMark/>
          </w:tcPr>
          <w:p w14:paraId="44B3D334"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single" w:sz="4" w:space="0" w:color="auto"/>
              <w:right w:val="nil"/>
            </w:tcBorders>
            <w:shd w:val="clear" w:color="auto" w:fill="auto"/>
            <w:noWrap/>
            <w:vAlign w:val="center"/>
            <w:hideMark/>
          </w:tcPr>
          <w:p w14:paraId="41BA3BD8" w14:textId="4C67B95F" w:rsidR="00CA7A38" w:rsidRPr="002D7F63" w:rsidRDefault="00CA7A38" w:rsidP="00AF1F6E">
            <w:pPr>
              <w:spacing w:line="260" w:lineRule="exact"/>
              <w:rPr>
                <w:rFonts w:eastAsia="Times New Roman"/>
                <w:sz w:val="18"/>
                <w:szCs w:val="18"/>
              </w:rPr>
            </w:pPr>
            <w:r w:rsidRPr="002D7F63">
              <w:rPr>
                <w:rFonts w:eastAsia="Times New Roman"/>
                <w:noProof/>
                <w:sz w:val="18"/>
                <w:szCs w:val="18"/>
              </w:rPr>
              <w:t>Cooling</w:t>
            </w:r>
            <w:r w:rsidRPr="002D7F63">
              <w:rPr>
                <w:rFonts w:eastAsia="Times New Roman"/>
                <w:sz w:val="18"/>
                <w:szCs w:val="18"/>
              </w:rPr>
              <w:t xml:space="preserve"> period of SF</w:t>
            </w:r>
          </w:p>
        </w:tc>
        <w:tc>
          <w:tcPr>
            <w:tcW w:w="668" w:type="pct"/>
            <w:tcBorders>
              <w:top w:val="nil"/>
              <w:left w:val="single" w:sz="4" w:space="0" w:color="auto"/>
              <w:bottom w:val="single" w:sz="4" w:space="0" w:color="auto"/>
              <w:right w:val="single" w:sz="4" w:space="0" w:color="auto"/>
            </w:tcBorders>
            <w:vAlign w:val="center"/>
          </w:tcPr>
          <w:p w14:paraId="6E8E7EED" w14:textId="093521A3"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year</w:t>
            </w:r>
          </w:p>
        </w:tc>
        <w:tc>
          <w:tcPr>
            <w:tcW w:w="834" w:type="pct"/>
            <w:tcBorders>
              <w:top w:val="nil"/>
              <w:left w:val="single" w:sz="4" w:space="0" w:color="auto"/>
              <w:bottom w:val="single" w:sz="4" w:space="0" w:color="auto"/>
              <w:right w:val="dotted" w:sz="4" w:space="0" w:color="FFFFFF"/>
            </w:tcBorders>
            <w:shd w:val="clear" w:color="auto" w:fill="auto"/>
            <w:noWrap/>
            <w:vAlign w:val="center"/>
            <w:hideMark/>
          </w:tcPr>
          <w:p w14:paraId="2096B206" w14:textId="068C43AE" w:rsidR="00CA7A38" w:rsidRPr="002D7F63" w:rsidRDefault="00CA7A38" w:rsidP="00AF1F6E">
            <w:pPr>
              <w:spacing w:line="260" w:lineRule="exact"/>
              <w:jc w:val="center"/>
              <w:rPr>
                <w:rFonts w:eastAsia="Times New Roman"/>
                <w:sz w:val="18"/>
                <w:szCs w:val="18"/>
              </w:rPr>
            </w:pPr>
            <w:r w:rsidRPr="002D7F63">
              <w:rPr>
                <w:rFonts w:eastAsia="Times New Roman"/>
                <w:sz w:val="18"/>
                <w:szCs w:val="18"/>
              </w:rPr>
              <w:t>4</w:t>
            </w:r>
          </w:p>
        </w:tc>
        <w:tc>
          <w:tcPr>
            <w:tcW w:w="624" w:type="pct"/>
            <w:tcBorders>
              <w:top w:val="nil"/>
              <w:left w:val="nil"/>
              <w:bottom w:val="single" w:sz="4" w:space="0" w:color="auto"/>
              <w:right w:val="dotted" w:sz="4" w:space="0" w:color="FFFFFF"/>
            </w:tcBorders>
            <w:shd w:val="clear" w:color="auto" w:fill="auto"/>
            <w:noWrap/>
            <w:vAlign w:val="center"/>
            <w:hideMark/>
          </w:tcPr>
          <w:p w14:paraId="503860E0" w14:textId="3716B55E" w:rsidR="00CA7A38" w:rsidRPr="002D7F63" w:rsidRDefault="00CA7A38" w:rsidP="00AF1F6E">
            <w:pPr>
              <w:spacing w:line="260" w:lineRule="exact"/>
              <w:jc w:val="center"/>
              <w:rPr>
                <w:rFonts w:eastAsia="Times New Roman"/>
                <w:b/>
                <w:bCs/>
                <w:sz w:val="18"/>
                <w:szCs w:val="18"/>
              </w:rPr>
            </w:pPr>
            <w:r w:rsidRPr="002D7F63">
              <w:rPr>
                <w:rFonts w:eastAsia="Times New Roman"/>
                <w:b/>
                <w:bCs/>
                <w:sz w:val="18"/>
                <w:szCs w:val="18"/>
              </w:rPr>
              <w:t>50, 100</w:t>
            </w:r>
          </w:p>
        </w:tc>
        <w:tc>
          <w:tcPr>
            <w:tcW w:w="624" w:type="pct"/>
            <w:tcBorders>
              <w:top w:val="nil"/>
              <w:left w:val="nil"/>
              <w:bottom w:val="single" w:sz="4" w:space="0" w:color="auto"/>
              <w:right w:val="nil"/>
            </w:tcBorders>
            <w:shd w:val="clear" w:color="auto" w:fill="auto"/>
            <w:noWrap/>
            <w:vAlign w:val="center"/>
            <w:hideMark/>
          </w:tcPr>
          <w:p w14:paraId="1DE96345" w14:textId="724A7390" w:rsidR="00CA7A38" w:rsidRPr="002D7F63" w:rsidRDefault="00CA7A38" w:rsidP="00AF1F6E">
            <w:pPr>
              <w:spacing w:line="260" w:lineRule="exact"/>
              <w:jc w:val="center"/>
              <w:rPr>
                <w:rFonts w:eastAsia="Times New Roman"/>
                <w:b/>
                <w:bCs/>
                <w:sz w:val="18"/>
                <w:szCs w:val="18"/>
              </w:rPr>
            </w:pPr>
            <w:r w:rsidRPr="002D7F63">
              <w:rPr>
                <w:rFonts w:eastAsia="Times New Roman"/>
                <w:b/>
                <w:bCs/>
                <w:sz w:val="18"/>
                <w:szCs w:val="18"/>
              </w:rPr>
              <w:t>4, 50, 100</w:t>
            </w:r>
          </w:p>
        </w:tc>
      </w:tr>
      <w:tr w:rsidR="002D7F63" w:rsidRPr="002D7F63" w14:paraId="402EDFE4" w14:textId="77777777" w:rsidTr="00C73C92">
        <w:trPr>
          <w:trHeight w:val="283"/>
          <w:jc w:val="center"/>
        </w:trPr>
        <w:tc>
          <w:tcPr>
            <w:tcW w:w="1000" w:type="pct"/>
            <w:vMerge w:val="restart"/>
            <w:tcBorders>
              <w:top w:val="nil"/>
              <w:left w:val="nil"/>
              <w:bottom w:val="single" w:sz="4" w:space="0" w:color="000000"/>
              <w:right w:val="nil"/>
            </w:tcBorders>
            <w:shd w:val="clear" w:color="000000" w:fill="FFFFFF"/>
            <w:noWrap/>
            <w:vAlign w:val="center"/>
            <w:hideMark/>
          </w:tcPr>
          <w:p w14:paraId="05DBFCF7"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Reprocessing</w:t>
            </w:r>
          </w:p>
        </w:tc>
        <w:tc>
          <w:tcPr>
            <w:tcW w:w="1250" w:type="pct"/>
            <w:tcBorders>
              <w:top w:val="nil"/>
              <w:left w:val="nil"/>
              <w:bottom w:val="dotted" w:sz="4" w:space="0" w:color="auto"/>
              <w:right w:val="nil"/>
            </w:tcBorders>
            <w:shd w:val="clear" w:color="auto" w:fill="auto"/>
            <w:noWrap/>
            <w:vAlign w:val="center"/>
            <w:hideMark/>
          </w:tcPr>
          <w:p w14:paraId="63843CC3" w14:textId="77777777" w:rsidR="00CA7A38" w:rsidRPr="002D7F63" w:rsidRDefault="00CA7A38" w:rsidP="00AF1F6E">
            <w:pPr>
              <w:spacing w:line="260" w:lineRule="exact"/>
              <w:rPr>
                <w:rFonts w:eastAsia="Times New Roman"/>
                <w:sz w:val="18"/>
                <w:szCs w:val="18"/>
              </w:rPr>
            </w:pPr>
            <w:r w:rsidRPr="002D7F63">
              <w:rPr>
                <w:rFonts w:eastAsia="Times New Roman"/>
                <w:noProof/>
                <w:sz w:val="18"/>
                <w:szCs w:val="18"/>
              </w:rPr>
              <w:t>Carry-over</w:t>
            </w:r>
            <w:r w:rsidRPr="002D7F63">
              <w:rPr>
                <w:rFonts w:eastAsia="Times New Roman"/>
                <w:sz w:val="18"/>
                <w:szCs w:val="18"/>
              </w:rPr>
              <w:t xml:space="preserve"> fraction of U</w:t>
            </w:r>
          </w:p>
        </w:tc>
        <w:tc>
          <w:tcPr>
            <w:tcW w:w="668" w:type="pct"/>
            <w:tcBorders>
              <w:top w:val="single" w:sz="4" w:space="0" w:color="auto"/>
              <w:left w:val="single" w:sz="4" w:space="0" w:color="auto"/>
              <w:bottom w:val="dotted" w:sz="4" w:space="0" w:color="auto"/>
              <w:right w:val="single" w:sz="4" w:space="0" w:color="auto"/>
            </w:tcBorders>
            <w:vAlign w:val="center"/>
          </w:tcPr>
          <w:p w14:paraId="6B97FFBD" w14:textId="61C82CDB"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single" w:sz="4" w:space="0" w:color="auto"/>
              <w:left w:val="single" w:sz="4" w:space="0" w:color="auto"/>
              <w:bottom w:val="dotted" w:sz="4" w:space="0" w:color="auto"/>
              <w:right w:val="nil"/>
            </w:tcBorders>
            <w:shd w:val="clear" w:color="auto" w:fill="auto"/>
            <w:noWrap/>
            <w:vAlign w:val="center"/>
            <w:hideMark/>
          </w:tcPr>
          <w:p w14:paraId="631BE50C" w14:textId="2D404EB4"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0.442</w:t>
            </w:r>
          </w:p>
        </w:tc>
      </w:tr>
      <w:tr w:rsidR="002D7F63" w:rsidRPr="002D7F63" w14:paraId="27E91B24" w14:textId="77777777" w:rsidTr="00C73C92">
        <w:trPr>
          <w:trHeight w:val="283"/>
          <w:jc w:val="center"/>
        </w:trPr>
        <w:tc>
          <w:tcPr>
            <w:tcW w:w="1000" w:type="pct"/>
            <w:vMerge/>
            <w:tcBorders>
              <w:top w:val="nil"/>
              <w:left w:val="nil"/>
              <w:bottom w:val="single" w:sz="4" w:space="0" w:color="000000"/>
              <w:right w:val="nil"/>
            </w:tcBorders>
            <w:vAlign w:val="center"/>
            <w:hideMark/>
          </w:tcPr>
          <w:p w14:paraId="61500232"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5571263C" w14:textId="77777777" w:rsidR="00CA7A38" w:rsidRPr="002D7F63" w:rsidRDefault="00CA7A38" w:rsidP="00AF1F6E">
            <w:pPr>
              <w:spacing w:line="260" w:lineRule="exact"/>
              <w:rPr>
                <w:rFonts w:eastAsia="Times New Roman"/>
                <w:sz w:val="18"/>
                <w:szCs w:val="18"/>
              </w:rPr>
            </w:pPr>
            <w:r w:rsidRPr="002D7F63">
              <w:rPr>
                <w:rFonts w:eastAsia="Times New Roman"/>
                <w:noProof/>
                <w:sz w:val="18"/>
                <w:szCs w:val="18"/>
              </w:rPr>
              <w:t>Carry-over</w:t>
            </w:r>
            <w:r w:rsidRPr="002D7F63">
              <w:rPr>
                <w:rFonts w:eastAsia="Times New Roman"/>
                <w:sz w:val="18"/>
                <w:szCs w:val="18"/>
              </w:rPr>
              <w:t xml:space="preserve"> fraction of Pu</w:t>
            </w:r>
          </w:p>
        </w:tc>
        <w:tc>
          <w:tcPr>
            <w:tcW w:w="668" w:type="pct"/>
            <w:tcBorders>
              <w:top w:val="dotted" w:sz="4" w:space="0" w:color="auto"/>
              <w:left w:val="single" w:sz="4" w:space="0" w:color="auto"/>
              <w:bottom w:val="dotted" w:sz="4" w:space="0" w:color="auto"/>
              <w:right w:val="single" w:sz="4" w:space="0" w:color="auto"/>
            </w:tcBorders>
            <w:vAlign w:val="center"/>
          </w:tcPr>
          <w:p w14:paraId="4E100CFC" w14:textId="4D266A64"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70D49F1D" w14:textId="17181EBE"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0.548</w:t>
            </w:r>
          </w:p>
        </w:tc>
      </w:tr>
      <w:tr w:rsidR="002D7F63" w:rsidRPr="002D7F63" w14:paraId="5C32943F" w14:textId="77777777" w:rsidTr="00C73C92">
        <w:trPr>
          <w:trHeight w:val="283"/>
          <w:jc w:val="center"/>
        </w:trPr>
        <w:tc>
          <w:tcPr>
            <w:tcW w:w="1000" w:type="pct"/>
            <w:vMerge/>
            <w:tcBorders>
              <w:top w:val="nil"/>
              <w:left w:val="nil"/>
              <w:bottom w:val="single" w:sz="4" w:space="0" w:color="000000"/>
              <w:right w:val="nil"/>
            </w:tcBorders>
            <w:vAlign w:val="center"/>
            <w:hideMark/>
          </w:tcPr>
          <w:p w14:paraId="34C2F471"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36286E04"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H, C, I, Cl, Noble gas</w:t>
            </w:r>
          </w:p>
        </w:tc>
        <w:tc>
          <w:tcPr>
            <w:tcW w:w="668" w:type="pct"/>
            <w:tcBorders>
              <w:top w:val="dotted" w:sz="4" w:space="0" w:color="auto"/>
              <w:left w:val="single" w:sz="4" w:space="0" w:color="auto"/>
              <w:bottom w:val="dotted" w:sz="4" w:space="0" w:color="auto"/>
              <w:right w:val="single" w:sz="4" w:space="0" w:color="auto"/>
            </w:tcBorders>
            <w:vAlign w:val="center"/>
          </w:tcPr>
          <w:p w14:paraId="387AEDE5" w14:textId="6C71ECDA"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4811568F" w14:textId="13602037"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0</w:t>
            </w:r>
          </w:p>
        </w:tc>
      </w:tr>
      <w:tr w:rsidR="002D7F63" w:rsidRPr="002D7F63" w14:paraId="20C979D4" w14:textId="77777777" w:rsidTr="00163101">
        <w:trPr>
          <w:trHeight w:val="283"/>
          <w:jc w:val="center"/>
        </w:trPr>
        <w:tc>
          <w:tcPr>
            <w:tcW w:w="1000" w:type="pct"/>
            <w:vMerge/>
            <w:tcBorders>
              <w:top w:val="nil"/>
              <w:left w:val="nil"/>
              <w:bottom w:val="single" w:sz="4" w:space="0" w:color="000000"/>
              <w:right w:val="nil"/>
            </w:tcBorders>
            <w:vAlign w:val="center"/>
            <w:hideMark/>
          </w:tcPr>
          <w:p w14:paraId="1B6E2F19"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single" w:sz="4" w:space="0" w:color="auto"/>
              <w:right w:val="nil"/>
            </w:tcBorders>
            <w:shd w:val="clear" w:color="auto" w:fill="auto"/>
            <w:noWrap/>
            <w:vAlign w:val="center"/>
            <w:hideMark/>
          </w:tcPr>
          <w:p w14:paraId="6D118F5F"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MA separation ratio</w:t>
            </w:r>
          </w:p>
        </w:tc>
        <w:tc>
          <w:tcPr>
            <w:tcW w:w="668" w:type="pct"/>
            <w:tcBorders>
              <w:top w:val="nil"/>
              <w:left w:val="single" w:sz="4" w:space="0" w:color="auto"/>
              <w:bottom w:val="single" w:sz="4" w:space="0" w:color="auto"/>
              <w:right w:val="single" w:sz="4" w:space="0" w:color="auto"/>
            </w:tcBorders>
            <w:vAlign w:val="center"/>
          </w:tcPr>
          <w:p w14:paraId="22AE9A84" w14:textId="04EFD24C"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834" w:type="pct"/>
            <w:tcBorders>
              <w:top w:val="nil"/>
              <w:left w:val="single" w:sz="4" w:space="0" w:color="auto"/>
              <w:bottom w:val="single" w:sz="4" w:space="0" w:color="auto"/>
              <w:right w:val="dotted" w:sz="4" w:space="0" w:color="FFFFFF"/>
            </w:tcBorders>
            <w:shd w:val="clear" w:color="auto" w:fill="auto"/>
            <w:noWrap/>
            <w:vAlign w:val="center"/>
            <w:hideMark/>
          </w:tcPr>
          <w:p w14:paraId="55B61FAE" w14:textId="69C09281" w:rsidR="00CA7A38" w:rsidRPr="002D7F63" w:rsidRDefault="00CA7A38" w:rsidP="00AF1F6E">
            <w:pPr>
              <w:spacing w:line="260" w:lineRule="exact"/>
              <w:jc w:val="center"/>
              <w:rPr>
                <w:rFonts w:eastAsia="Times New Roman"/>
                <w:sz w:val="18"/>
                <w:szCs w:val="18"/>
              </w:rPr>
            </w:pPr>
            <w:r w:rsidRPr="002D7F63">
              <w:rPr>
                <w:rFonts w:eastAsia="Times New Roman"/>
                <w:sz w:val="18"/>
                <w:szCs w:val="18"/>
              </w:rPr>
              <w:t>0</w:t>
            </w:r>
          </w:p>
        </w:tc>
        <w:tc>
          <w:tcPr>
            <w:tcW w:w="1248" w:type="pct"/>
            <w:gridSpan w:val="2"/>
            <w:tcBorders>
              <w:top w:val="dotted" w:sz="4" w:space="0" w:color="auto"/>
              <w:left w:val="nil"/>
              <w:bottom w:val="single" w:sz="4" w:space="0" w:color="auto"/>
              <w:right w:val="nil"/>
            </w:tcBorders>
            <w:shd w:val="clear" w:color="auto" w:fill="auto"/>
            <w:noWrap/>
            <w:vAlign w:val="center"/>
            <w:hideMark/>
          </w:tcPr>
          <w:p w14:paraId="46EA2CE7" w14:textId="1BC1455E" w:rsidR="00CA7A38" w:rsidRPr="002D7F63" w:rsidRDefault="00CA7A38" w:rsidP="003148D5">
            <w:pPr>
              <w:spacing w:line="260" w:lineRule="exact"/>
              <w:jc w:val="center"/>
              <w:rPr>
                <w:rFonts w:eastAsia="Times New Roman"/>
                <w:b/>
                <w:bCs/>
                <w:sz w:val="18"/>
                <w:szCs w:val="18"/>
              </w:rPr>
            </w:pPr>
            <w:r w:rsidRPr="002D7F63">
              <w:rPr>
                <w:rFonts w:eastAsia="Times New Roman"/>
                <w:b/>
                <w:bCs/>
                <w:sz w:val="18"/>
                <w:szCs w:val="18"/>
              </w:rPr>
              <w:t xml:space="preserve">0 - 90 </w:t>
            </w:r>
          </w:p>
        </w:tc>
      </w:tr>
      <w:tr w:rsidR="002D7F63" w:rsidRPr="002D7F63" w14:paraId="4180631C" w14:textId="77777777" w:rsidTr="00163101">
        <w:trPr>
          <w:trHeight w:val="283"/>
          <w:jc w:val="center"/>
        </w:trPr>
        <w:tc>
          <w:tcPr>
            <w:tcW w:w="1000" w:type="pct"/>
            <w:vMerge w:val="restart"/>
            <w:tcBorders>
              <w:top w:val="nil"/>
              <w:left w:val="nil"/>
              <w:bottom w:val="single" w:sz="4" w:space="0" w:color="000000"/>
              <w:right w:val="nil"/>
            </w:tcBorders>
            <w:shd w:val="clear" w:color="000000" w:fill="FFFFFF"/>
            <w:noWrap/>
            <w:vAlign w:val="center"/>
            <w:hideMark/>
          </w:tcPr>
          <w:p w14:paraId="6C5380AC"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Vitrification</w:t>
            </w:r>
          </w:p>
        </w:tc>
        <w:tc>
          <w:tcPr>
            <w:tcW w:w="1250" w:type="pct"/>
            <w:tcBorders>
              <w:top w:val="nil"/>
              <w:left w:val="nil"/>
              <w:bottom w:val="dotted" w:sz="4" w:space="0" w:color="auto"/>
              <w:right w:val="nil"/>
            </w:tcBorders>
            <w:shd w:val="clear" w:color="auto" w:fill="auto"/>
            <w:noWrap/>
            <w:vAlign w:val="center"/>
            <w:hideMark/>
          </w:tcPr>
          <w:p w14:paraId="5A7C2B56"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Waste loading</w:t>
            </w:r>
          </w:p>
        </w:tc>
        <w:tc>
          <w:tcPr>
            <w:tcW w:w="668" w:type="pct"/>
            <w:tcBorders>
              <w:top w:val="nil"/>
              <w:left w:val="single" w:sz="4" w:space="0" w:color="auto"/>
              <w:bottom w:val="dotted" w:sz="4" w:space="0" w:color="auto"/>
              <w:right w:val="single" w:sz="4" w:space="0" w:color="auto"/>
            </w:tcBorders>
            <w:vAlign w:val="center"/>
          </w:tcPr>
          <w:p w14:paraId="1D0F01FF" w14:textId="2C9A7AC9" w:rsidR="00CA7A38" w:rsidRPr="002D7F63" w:rsidRDefault="006334E6" w:rsidP="006334E6">
            <w:pPr>
              <w:spacing w:line="260" w:lineRule="exact"/>
              <w:jc w:val="center"/>
              <w:rPr>
                <w:rFonts w:eastAsia="Times New Roman"/>
                <w:sz w:val="18"/>
                <w:szCs w:val="18"/>
              </w:rPr>
            </w:pPr>
            <w:proofErr w:type="spellStart"/>
            <w:r w:rsidRPr="002D7F63">
              <w:rPr>
                <w:sz w:val="18"/>
                <w:szCs w:val="18"/>
              </w:rPr>
              <w:t>wt</w:t>
            </w:r>
            <w:proofErr w:type="spellEnd"/>
            <w:r w:rsidRPr="002D7F63">
              <w:rPr>
                <w:rFonts w:eastAsia="Times New Roman"/>
                <w:sz w:val="18"/>
                <w:szCs w:val="18"/>
              </w:rPr>
              <w:t>%</w:t>
            </w:r>
          </w:p>
        </w:tc>
        <w:tc>
          <w:tcPr>
            <w:tcW w:w="834" w:type="pct"/>
            <w:tcBorders>
              <w:top w:val="nil"/>
              <w:left w:val="single" w:sz="4" w:space="0" w:color="auto"/>
              <w:bottom w:val="dotted" w:sz="4" w:space="0" w:color="auto"/>
              <w:right w:val="dotted" w:sz="4" w:space="0" w:color="FFFFFF"/>
            </w:tcBorders>
            <w:shd w:val="clear" w:color="auto" w:fill="auto"/>
            <w:noWrap/>
            <w:vAlign w:val="center"/>
            <w:hideMark/>
          </w:tcPr>
          <w:p w14:paraId="68976EF6" w14:textId="7CA28853" w:rsidR="00CA7A38" w:rsidRPr="002D7F63" w:rsidRDefault="00CA7A38" w:rsidP="00AF1F6E">
            <w:pPr>
              <w:spacing w:line="260" w:lineRule="exact"/>
              <w:jc w:val="center"/>
              <w:rPr>
                <w:sz w:val="18"/>
              </w:rPr>
            </w:pPr>
            <w:r w:rsidRPr="002D7F63">
              <w:rPr>
                <w:sz w:val="18"/>
              </w:rPr>
              <w:t>UO</w:t>
            </w:r>
            <w:r w:rsidRPr="002D7F63">
              <w:rPr>
                <w:sz w:val="18"/>
                <w:vertAlign w:val="subscript"/>
              </w:rPr>
              <w:t>2</w:t>
            </w:r>
            <w:r w:rsidRPr="002D7F63">
              <w:rPr>
                <w:sz w:val="18"/>
              </w:rPr>
              <w:t>: 20.8</w:t>
            </w:r>
          </w:p>
        </w:tc>
        <w:tc>
          <w:tcPr>
            <w:tcW w:w="624" w:type="pct"/>
            <w:tcBorders>
              <w:top w:val="nil"/>
              <w:left w:val="nil"/>
              <w:bottom w:val="dotted" w:sz="4" w:space="0" w:color="auto"/>
              <w:right w:val="dotted" w:sz="4" w:space="0" w:color="FFFFFF"/>
            </w:tcBorders>
            <w:shd w:val="clear" w:color="auto" w:fill="auto"/>
            <w:noWrap/>
            <w:vAlign w:val="center"/>
            <w:hideMark/>
          </w:tcPr>
          <w:p w14:paraId="1488C2B7" w14:textId="0254C135" w:rsidR="00CA7A38" w:rsidRPr="002D7F63" w:rsidRDefault="00CA7A38" w:rsidP="003148D5">
            <w:pPr>
              <w:spacing w:line="260" w:lineRule="exact"/>
              <w:jc w:val="center"/>
              <w:rPr>
                <w:b/>
                <w:sz w:val="18"/>
              </w:rPr>
            </w:pPr>
            <w:r w:rsidRPr="002D7F63">
              <w:rPr>
                <w:b/>
                <w:sz w:val="18"/>
              </w:rPr>
              <w:t>30, 35</w:t>
            </w:r>
          </w:p>
        </w:tc>
        <w:tc>
          <w:tcPr>
            <w:tcW w:w="624" w:type="pct"/>
            <w:tcBorders>
              <w:top w:val="nil"/>
              <w:left w:val="nil"/>
              <w:bottom w:val="dotted" w:sz="4" w:space="0" w:color="auto"/>
              <w:right w:val="nil"/>
            </w:tcBorders>
            <w:shd w:val="clear" w:color="auto" w:fill="auto"/>
            <w:noWrap/>
            <w:vAlign w:val="center"/>
            <w:hideMark/>
          </w:tcPr>
          <w:p w14:paraId="5DA296CF" w14:textId="0884B4D8" w:rsidR="00CA7A38" w:rsidRPr="002D7F63" w:rsidRDefault="00CA7A38" w:rsidP="003148D5">
            <w:pPr>
              <w:spacing w:line="260" w:lineRule="exact"/>
              <w:jc w:val="center"/>
              <w:rPr>
                <w:b/>
                <w:sz w:val="18"/>
              </w:rPr>
            </w:pPr>
            <w:r w:rsidRPr="002D7F63">
              <w:rPr>
                <w:b/>
                <w:sz w:val="18"/>
              </w:rPr>
              <w:t>16, 25, 35</w:t>
            </w:r>
          </w:p>
        </w:tc>
      </w:tr>
      <w:tr w:rsidR="002D7F63" w:rsidRPr="002D7F63" w14:paraId="6EB92E7D" w14:textId="77777777" w:rsidTr="00C73C92">
        <w:trPr>
          <w:trHeight w:val="283"/>
          <w:jc w:val="center"/>
        </w:trPr>
        <w:tc>
          <w:tcPr>
            <w:tcW w:w="1000" w:type="pct"/>
            <w:vMerge/>
            <w:tcBorders>
              <w:top w:val="nil"/>
              <w:left w:val="nil"/>
              <w:bottom w:val="single" w:sz="4" w:space="0" w:color="000000"/>
              <w:right w:val="nil"/>
            </w:tcBorders>
            <w:vAlign w:val="center"/>
            <w:hideMark/>
          </w:tcPr>
          <w:p w14:paraId="7566EFD4"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090B7CDF"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Heat generation rate</w:t>
            </w:r>
          </w:p>
        </w:tc>
        <w:tc>
          <w:tcPr>
            <w:tcW w:w="668" w:type="pct"/>
            <w:tcBorders>
              <w:top w:val="dotted" w:sz="4" w:space="0" w:color="auto"/>
              <w:left w:val="single" w:sz="4" w:space="0" w:color="auto"/>
              <w:bottom w:val="dotted" w:sz="4" w:space="0" w:color="auto"/>
              <w:right w:val="single" w:sz="4" w:space="0" w:color="auto"/>
            </w:tcBorders>
            <w:vAlign w:val="center"/>
          </w:tcPr>
          <w:p w14:paraId="16C1515D" w14:textId="3BB48571" w:rsidR="00CA7A38" w:rsidRPr="002D7F63" w:rsidRDefault="006334E6" w:rsidP="006334E6">
            <w:pPr>
              <w:spacing w:line="260" w:lineRule="exact"/>
              <w:jc w:val="center"/>
              <w:rPr>
                <w:sz w:val="18"/>
                <w:szCs w:val="18"/>
              </w:rPr>
            </w:pPr>
            <w:r w:rsidRPr="002D7F63">
              <w:rPr>
                <w:rFonts w:eastAsia="Times New Roman"/>
                <w:sz w:val="18"/>
                <w:szCs w:val="18"/>
              </w:rPr>
              <w:t>kW/unit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18C23D5F" w14:textId="661A8ADA" w:rsidR="00CA7A38" w:rsidRPr="002D7F63" w:rsidRDefault="00CA7A38" w:rsidP="003148D5">
            <w:pPr>
              <w:spacing w:line="260" w:lineRule="exact"/>
              <w:jc w:val="center"/>
              <w:rPr>
                <w:rFonts w:eastAsia="Times New Roman"/>
                <w:sz w:val="18"/>
                <w:szCs w:val="18"/>
              </w:rPr>
            </w:pPr>
            <m:oMath>
              <m:r>
                <m:rPr>
                  <m:sty m:val="p"/>
                </m:rPr>
                <w:rPr>
                  <w:rFonts w:ascii="Cambria Math" w:hAnsi="Cambria Math"/>
                  <w:sz w:val="18"/>
                  <w:szCs w:val="18"/>
                </w:rPr>
                <m:t xml:space="preserve">≦ </m:t>
              </m:r>
            </m:oMath>
            <w:r w:rsidRPr="002D7F63">
              <w:rPr>
                <w:rFonts w:eastAsia="Times New Roman"/>
                <w:sz w:val="18"/>
                <w:szCs w:val="18"/>
              </w:rPr>
              <w:t>2.3</w:t>
            </w:r>
          </w:p>
        </w:tc>
      </w:tr>
      <w:tr w:rsidR="002D7F63" w:rsidRPr="002D7F63" w14:paraId="31375D0B" w14:textId="77777777" w:rsidTr="00C73C92">
        <w:trPr>
          <w:trHeight w:val="283"/>
          <w:jc w:val="center"/>
        </w:trPr>
        <w:tc>
          <w:tcPr>
            <w:tcW w:w="1000" w:type="pct"/>
            <w:vMerge/>
            <w:tcBorders>
              <w:top w:val="nil"/>
              <w:left w:val="nil"/>
              <w:bottom w:val="single" w:sz="4" w:space="0" w:color="000000"/>
              <w:right w:val="nil"/>
            </w:tcBorders>
            <w:vAlign w:val="center"/>
            <w:hideMark/>
          </w:tcPr>
          <w:p w14:paraId="51396E77"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234FAB37"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MoO</w:t>
            </w:r>
            <w:r w:rsidRPr="002D7F63">
              <w:rPr>
                <w:rFonts w:eastAsia="Times New Roman"/>
                <w:sz w:val="18"/>
                <w:szCs w:val="18"/>
                <w:vertAlign w:val="subscript"/>
              </w:rPr>
              <w:t>3</w:t>
            </w:r>
            <w:r w:rsidRPr="002D7F63">
              <w:rPr>
                <w:rFonts w:eastAsia="Times New Roman"/>
                <w:sz w:val="18"/>
                <w:szCs w:val="18"/>
              </w:rPr>
              <w:t xml:space="preserve"> content</w:t>
            </w:r>
          </w:p>
        </w:tc>
        <w:tc>
          <w:tcPr>
            <w:tcW w:w="668" w:type="pct"/>
            <w:tcBorders>
              <w:top w:val="dotted" w:sz="4" w:space="0" w:color="auto"/>
              <w:left w:val="single" w:sz="4" w:space="0" w:color="auto"/>
              <w:bottom w:val="dotted" w:sz="4" w:space="0" w:color="auto"/>
              <w:right w:val="single" w:sz="4" w:space="0" w:color="auto"/>
            </w:tcBorders>
            <w:vAlign w:val="center"/>
          </w:tcPr>
          <w:p w14:paraId="0230EFF7" w14:textId="2BE5F43F" w:rsidR="00CA7A38" w:rsidRPr="002D7F63" w:rsidRDefault="006334E6" w:rsidP="006334E6">
            <w:pPr>
              <w:spacing w:line="260" w:lineRule="exact"/>
              <w:jc w:val="center"/>
              <w:rPr>
                <w:rFonts w:eastAsia="Times New Roman"/>
                <w:sz w:val="18"/>
                <w:szCs w:val="18"/>
              </w:rPr>
            </w:pPr>
            <w:proofErr w:type="spellStart"/>
            <w:r w:rsidRPr="002D7F63">
              <w:rPr>
                <w:rFonts w:eastAsia="Times New Roman"/>
                <w:sz w:val="18"/>
                <w:szCs w:val="18"/>
              </w:rPr>
              <w:t>wt</w:t>
            </w:r>
            <w:proofErr w:type="spellEnd"/>
            <w:r w:rsidRPr="002D7F63">
              <w:rPr>
                <w:rFonts w:eastAsia="Times New Roman"/>
                <w:sz w:val="18"/>
                <w:szCs w:val="18"/>
              </w:rPr>
              <w: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42682A9B" w14:textId="234DA980"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 xml:space="preserve"> </w:t>
            </w:r>
            <m:oMath>
              <m:r>
                <m:rPr>
                  <m:sty m:val="p"/>
                </m:rPr>
                <w:rPr>
                  <w:rFonts w:ascii="Cambria Math" w:hAnsi="Cambria Math"/>
                  <w:sz w:val="18"/>
                  <w:szCs w:val="18"/>
                </w:rPr>
                <m:t xml:space="preserve">≦ </m:t>
              </m:r>
            </m:oMath>
            <w:r w:rsidRPr="002D7F63">
              <w:rPr>
                <w:rFonts w:eastAsia="Times New Roman"/>
                <w:sz w:val="18"/>
                <w:szCs w:val="18"/>
              </w:rPr>
              <w:t>1.50</w:t>
            </w:r>
          </w:p>
        </w:tc>
      </w:tr>
      <w:tr w:rsidR="002D7F63" w:rsidRPr="002D7F63" w14:paraId="5BB853AB" w14:textId="77777777" w:rsidTr="00C73C92">
        <w:trPr>
          <w:trHeight w:val="283"/>
          <w:jc w:val="center"/>
        </w:trPr>
        <w:tc>
          <w:tcPr>
            <w:tcW w:w="1000" w:type="pct"/>
            <w:vMerge/>
            <w:tcBorders>
              <w:top w:val="nil"/>
              <w:left w:val="nil"/>
              <w:bottom w:val="single" w:sz="4" w:space="0" w:color="000000"/>
              <w:right w:val="nil"/>
            </w:tcBorders>
            <w:vAlign w:val="center"/>
            <w:hideMark/>
          </w:tcPr>
          <w:p w14:paraId="33F93594"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7A894CA6"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PGM content</w:t>
            </w:r>
          </w:p>
        </w:tc>
        <w:tc>
          <w:tcPr>
            <w:tcW w:w="668" w:type="pct"/>
            <w:tcBorders>
              <w:top w:val="dotted" w:sz="4" w:space="0" w:color="auto"/>
              <w:left w:val="single" w:sz="4" w:space="0" w:color="auto"/>
              <w:bottom w:val="dotted" w:sz="4" w:space="0" w:color="auto"/>
              <w:right w:val="single" w:sz="4" w:space="0" w:color="auto"/>
            </w:tcBorders>
            <w:vAlign w:val="center"/>
          </w:tcPr>
          <w:p w14:paraId="42D702AD" w14:textId="3834FFCD" w:rsidR="00CA7A38" w:rsidRPr="002D7F63" w:rsidRDefault="006334E6" w:rsidP="006334E6">
            <w:pPr>
              <w:spacing w:line="260" w:lineRule="exact"/>
              <w:jc w:val="center"/>
              <w:rPr>
                <w:rFonts w:eastAsia="Times New Roman"/>
                <w:sz w:val="18"/>
                <w:szCs w:val="18"/>
              </w:rPr>
            </w:pPr>
            <w:proofErr w:type="spellStart"/>
            <w:r w:rsidRPr="002D7F63">
              <w:rPr>
                <w:rFonts w:eastAsia="Times New Roman"/>
                <w:sz w:val="18"/>
                <w:szCs w:val="18"/>
              </w:rPr>
              <w:t>wt</w:t>
            </w:r>
            <w:proofErr w:type="spellEnd"/>
            <w:r w:rsidRPr="002D7F63">
              <w:rPr>
                <w:rFonts w:eastAsia="Times New Roman"/>
                <w:sz w:val="18"/>
                <w:szCs w:val="18"/>
              </w:rPr>
              <w: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004E6D00" w14:textId="756C55A9"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 xml:space="preserve"> </w:t>
            </w:r>
            <m:oMath>
              <m:r>
                <m:rPr>
                  <m:sty m:val="p"/>
                </m:rPr>
                <w:rPr>
                  <w:rFonts w:ascii="Cambria Math" w:hAnsi="Cambria Math"/>
                  <w:sz w:val="18"/>
                  <w:szCs w:val="18"/>
                </w:rPr>
                <m:t xml:space="preserve">≦ </m:t>
              </m:r>
            </m:oMath>
            <w:r w:rsidRPr="002D7F63">
              <w:rPr>
                <w:rFonts w:eastAsia="Times New Roman"/>
                <w:sz w:val="18"/>
                <w:szCs w:val="18"/>
              </w:rPr>
              <w:t>1.25</w:t>
            </w:r>
          </w:p>
        </w:tc>
      </w:tr>
      <w:tr w:rsidR="002D7F63" w:rsidRPr="002D7F63" w14:paraId="15F002BC" w14:textId="77777777" w:rsidTr="00C73C92">
        <w:trPr>
          <w:trHeight w:val="283"/>
          <w:jc w:val="center"/>
        </w:trPr>
        <w:tc>
          <w:tcPr>
            <w:tcW w:w="1000" w:type="pct"/>
            <w:vMerge/>
            <w:tcBorders>
              <w:top w:val="nil"/>
              <w:left w:val="nil"/>
              <w:bottom w:val="single" w:sz="4" w:space="0" w:color="000000"/>
              <w:right w:val="nil"/>
            </w:tcBorders>
            <w:vAlign w:val="center"/>
            <w:hideMark/>
          </w:tcPr>
          <w:p w14:paraId="496EA994"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356C6E8E"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Na</w:t>
            </w:r>
            <w:r w:rsidRPr="002D7F63">
              <w:rPr>
                <w:rFonts w:eastAsia="Times New Roman"/>
                <w:sz w:val="18"/>
                <w:szCs w:val="18"/>
                <w:vertAlign w:val="subscript"/>
              </w:rPr>
              <w:t>2</w:t>
            </w:r>
            <w:r w:rsidRPr="002D7F63">
              <w:rPr>
                <w:rFonts w:eastAsia="Times New Roman"/>
                <w:sz w:val="18"/>
                <w:szCs w:val="18"/>
              </w:rPr>
              <w:t>O content</w:t>
            </w:r>
          </w:p>
        </w:tc>
        <w:tc>
          <w:tcPr>
            <w:tcW w:w="668" w:type="pct"/>
            <w:tcBorders>
              <w:top w:val="dotted" w:sz="4" w:space="0" w:color="auto"/>
              <w:left w:val="single" w:sz="4" w:space="0" w:color="auto"/>
              <w:bottom w:val="dotted" w:sz="4" w:space="0" w:color="auto"/>
              <w:right w:val="single" w:sz="4" w:space="0" w:color="auto"/>
            </w:tcBorders>
            <w:vAlign w:val="center"/>
          </w:tcPr>
          <w:p w14:paraId="7871C830" w14:textId="3B1775E8" w:rsidR="00CA7A38" w:rsidRPr="002D7F63" w:rsidRDefault="006334E6" w:rsidP="006334E6">
            <w:pPr>
              <w:spacing w:line="260" w:lineRule="exact"/>
              <w:jc w:val="center"/>
              <w:rPr>
                <w:rFonts w:eastAsia="Times New Roman"/>
                <w:sz w:val="18"/>
                <w:szCs w:val="18"/>
              </w:rPr>
            </w:pPr>
            <w:proofErr w:type="spellStart"/>
            <w:r w:rsidRPr="002D7F63">
              <w:rPr>
                <w:rFonts w:eastAsia="Times New Roman"/>
                <w:sz w:val="18"/>
                <w:szCs w:val="18"/>
              </w:rPr>
              <w:t>wt</w:t>
            </w:r>
            <w:proofErr w:type="spellEnd"/>
            <w:r w:rsidRPr="002D7F63">
              <w:rPr>
                <w:rFonts w:eastAsia="Times New Roman"/>
                <w:sz w:val="18"/>
                <w:szCs w:val="18"/>
              </w:rPr>
              <w:t>%/unit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1BDA049F" w14:textId="581F1D25"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 xml:space="preserve">10 </w:t>
            </w:r>
            <w:r w:rsidR="006334E6" w:rsidRPr="002D7F63">
              <w:rPr>
                <w:rFonts w:eastAsia="Times New Roman"/>
                <w:sz w:val="18"/>
                <w:szCs w:val="18"/>
              </w:rPr>
              <w:t>(</w:t>
            </w:r>
            <w:r w:rsidRPr="002D7F63">
              <w:rPr>
                <w:rFonts w:eastAsia="Times New Roman"/>
                <w:sz w:val="18"/>
                <w:szCs w:val="18"/>
              </w:rPr>
              <w:t>for viscosity</w:t>
            </w:r>
            <w:r w:rsidR="006334E6" w:rsidRPr="002D7F63">
              <w:rPr>
                <w:rFonts w:eastAsia="Times New Roman"/>
                <w:sz w:val="18"/>
                <w:szCs w:val="18"/>
              </w:rPr>
              <w:t>)</w:t>
            </w:r>
          </w:p>
        </w:tc>
      </w:tr>
      <w:tr w:rsidR="002D7F63" w:rsidRPr="002D7F63" w14:paraId="6C4A1765" w14:textId="77777777" w:rsidTr="00C73C92">
        <w:trPr>
          <w:trHeight w:val="283"/>
          <w:jc w:val="center"/>
        </w:trPr>
        <w:tc>
          <w:tcPr>
            <w:tcW w:w="1000" w:type="pct"/>
            <w:vMerge/>
            <w:tcBorders>
              <w:top w:val="nil"/>
              <w:left w:val="nil"/>
              <w:bottom w:val="single" w:sz="4" w:space="0" w:color="000000"/>
              <w:right w:val="nil"/>
            </w:tcBorders>
            <w:vAlign w:val="center"/>
            <w:hideMark/>
          </w:tcPr>
          <w:p w14:paraId="33A597E7"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72C135D5"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Glass type</w:t>
            </w:r>
          </w:p>
        </w:tc>
        <w:tc>
          <w:tcPr>
            <w:tcW w:w="668" w:type="pct"/>
            <w:tcBorders>
              <w:top w:val="dotted" w:sz="4" w:space="0" w:color="auto"/>
              <w:left w:val="single" w:sz="4" w:space="0" w:color="auto"/>
              <w:bottom w:val="dotted" w:sz="4" w:space="0" w:color="auto"/>
              <w:right w:val="single" w:sz="4" w:space="0" w:color="auto"/>
            </w:tcBorders>
            <w:vAlign w:val="center"/>
          </w:tcPr>
          <w:p w14:paraId="5D072CFA" w14:textId="03B5D0F1"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793B2011" w14:textId="3AE77884"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Japanese model glass</w:t>
            </w:r>
          </w:p>
        </w:tc>
      </w:tr>
      <w:tr w:rsidR="002D7F63" w:rsidRPr="002D7F63" w14:paraId="67079B89" w14:textId="77777777" w:rsidTr="00C73C92">
        <w:trPr>
          <w:trHeight w:val="283"/>
          <w:jc w:val="center"/>
        </w:trPr>
        <w:tc>
          <w:tcPr>
            <w:tcW w:w="1000" w:type="pct"/>
            <w:vMerge/>
            <w:tcBorders>
              <w:top w:val="nil"/>
              <w:left w:val="nil"/>
              <w:bottom w:val="single" w:sz="4" w:space="0" w:color="000000"/>
              <w:right w:val="nil"/>
            </w:tcBorders>
            <w:vAlign w:val="center"/>
            <w:hideMark/>
          </w:tcPr>
          <w:p w14:paraId="71707B32"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dotted" w:sz="4" w:space="0" w:color="auto"/>
              <w:right w:val="nil"/>
            </w:tcBorders>
            <w:shd w:val="clear" w:color="auto" w:fill="auto"/>
            <w:noWrap/>
            <w:vAlign w:val="center"/>
            <w:hideMark/>
          </w:tcPr>
          <w:p w14:paraId="03331099"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Glass volume</w:t>
            </w:r>
          </w:p>
        </w:tc>
        <w:tc>
          <w:tcPr>
            <w:tcW w:w="668" w:type="pct"/>
            <w:tcBorders>
              <w:top w:val="dotted" w:sz="4" w:space="0" w:color="auto"/>
              <w:left w:val="single" w:sz="4" w:space="0" w:color="auto"/>
              <w:bottom w:val="dotted" w:sz="4" w:space="0" w:color="auto"/>
              <w:right w:val="single" w:sz="4" w:space="0" w:color="auto"/>
            </w:tcBorders>
            <w:vAlign w:val="center"/>
          </w:tcPr>
          <w:p w14:paraId="3ECF620B" w14:textId="7510EE78" w:rsidR="00CA7A38" w:rsidRPr="002D7F63" w:rsidRDefault="006334E6" w:rsidP="006334E6">
            <w:pPr>
              <w:spacing w:line="260" w:lineRule="exact"/>
              <w:jc w:val="center"/>
              <w:rPr>
                <w:rFonts w:eastAsia="Times New Roman"/>
                <w:sz w:val="18"/>
                <w:szCs w:val="18"/>
              </w:rPr>
            </w:pPr>
            <w:proofErr w:type="spellStart"/>
            <w:r w:rsidRPr="002D7F63">
              <w:rPr>
                <w:rFonts w:eastAsia="Times New Roman"/>
                <w:sz w:val="18"/>
                <w:szCs w:val="18"/>
              </w:rPr>
              <w:t>liter</w:t>
            </w:r>
            <w:proofErr w:type="spellEnd"/>
            <w:r w:rsidRPr="002D7F63">
              <w:rPr>
                <w:rFonts w:eastAsia="Times New Roman"/>
                <w:sz w:val="18"/>
                <w:szCs w:val="18"/>
              </w:rPr>
              <w:t>/unit</w:t>
            </w:r>
          </w:p>
        </w:tc>
        <w:tc>
          <w:tcPr>
            <w:tcW w:w="2082" w:type="pct"/>
            <w:gridSpan w:val="3"/>
            <w:tcBorders>
              <w:top w:val="dotted" w:sz="4" w:space="0" w:color="auto"/>
              <w:left w:val="single" w:sz="4" w:space="0" w:color="auto"/>
              <w:bottom w:val="dotted" w:sz="4" w:space="0" w:color="auto"/>
              <w:right w:val="nil"/>
            </w:tcBorders>
            <w:shd w:val="clear" w:color="auto" w:fill="auto"/>
            <w:noWrap/>
            <w:vAlign w:val="center"/>
            <w:hideMark/>
          </w:tcPr>
          <w:p w14:paraId="5910728E" w14:textId="3CADEBE2"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150</w:t>
            </w:r>
          </w:p>
        </w:tc>
      </w:tr>
      <w:tr w:rsidR="002D7F63" w:rsidRPr="002D7F63" w14:paraId="284F0C45" w14:textId="77777777" w:rsidTr="00C73C92">
        <w:trPr>
          <w:trHeight w:val="283"/>
          <w:jc w:val="center"/>
        </w:trPr>
        <w:tc>
          <w:tcPr>
            <w:tcW w:w="1000" w:type="pct"/>
            <w:vMerge/>
            <w:tcBorders>
              <w:top w:val="nil"/>
              <w:left w:val="nil"/>
              <w:bottom w:val="single" w:sz="4" w:space="0" w:color="000000"/>
              <w:right w:val="nil"/>
            </w:tcBorders>
            <w:vAlign w:val="center"/>
            <w:hideMark/>
          </w:tcPr>
          <w:p w14:paraId="29E6C178" w14:textId="77777777" w:rsidR="00CA7A38" w:rsidRPr="002D7F63" w:rsidRDefault="00CA7A38" w:rsidP="00AF1F6E">
            <w:pPr>
              <w:spacing w:line="260" w:lineRule="exact"/>
              <w:ind w:firstLine="567"/>
              <w:rPr>
                <w:rFonts w:eastAsia="Times New Roman"/>
                <w:sz w:val="18"/>
                <w:szCs w:val="18"/>
              </w:rPr>
            </w:pPr>
          </w:p>
        </w:tc>
        <w:tc>
          <w:tcPr>
            <w:tcW w:w="1250" w:type="pct"/>
            <w:tcBorders>
              <w:top w:val="nil"/>
              <w:left w:val="nil"/>
              <w:bottom w:val="single" w:sz="4" w:space="0" w:color="auto"/>
              <w:right w:val="nil"/>
            </w:tcBorders>
            <w:shd w:val="clear" w:color="auto" w:fill="auto"/>
            <w:noWrap/>
            <w:vAlign w:val="center"/>
            <w:hideMark/>
          </w:tcPr>
          <w:p w14:paraId="1498E540"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Glass weight</w:t>
            </w:r>
          </w:p>
        </w:tc>
        <w:tc>
          <w:tcPr>
            <w:tcW w:w="668" w:type="pct"/>
            <w:tcBorders>
              <w:top w:val="dotted" w:sz="4" w:space="0" w:color="auto"/>
              <w:left w:val="single" w:sz="4" w:space="0" w:color="auto"/>
              <w:bottom w:val="single" w:sz="4" w:space="0" w:color="auto"/>
              <w:right w:val="single" w:sz="4" w:space="0" w:color="auto"/>
            </w:tcBorders>
            <w:vAlign w:val="center"/>
          </w:tcPr>
          <w:p w14:paraId="3AAFE310" w14:textId="020C1199"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kg/unit</w:t>
            </w:r>
          </w:p>
        </w:tc>
        <w:tc>
          <w:tcPr>
            <w:tcW w:w="2082" w:type="pct"/>
            <w:gridSpan w:val="3"/>
            <w:tcBorders>
              <w:top w:val="dotted" w:sz="4" w:space="0" w:color="auto"/>
              <w:left w:val="single" w:sz="4" w:space="0" w:color="auto"/>
              <w:bottom w:val="single" w:sz="4" w:space="0" w:color="auto"/>
              <w:right w:val="nil"/>
            </w:tcBorders>
            <w:shd w:val="clear" w:color="auto" w:fill="auto"/>
            <w:noWrap/>
            <w:vAlign w:val="center"/>
            <w:hideMark/>
          </w:tcPr>
          <w:p w14:paraId="489F74C2" w14:textId="773F15F7" w:rsidR="006334E6" w:rsidRPr="002D7F63" w:rsidRDefault="00CA7A38" w:rsidP="006334E6">
            <w:pPr>
              <w:spacing w:line="260" w:lineRule="exact"/>
              <w:jc w:val="center"/>
              <w:rPr>
                <w:rFonts w:eastAsia="Times New Roman"/>
                <w:sz w:val="18"/>
                <w:szCs w:val="18"/>
              </w:rPr>
            </w:pPr>
            <w:r w:rsidRPr="002D7F63">
              <w:rPr>
                <w:rFonts w:eastAsia="Times New Roman"/>
                <w:sz w:val="18"/>
                <w:szCs w:val="18"/>
              </w:rPr>
              <w:t>400</w:t>
            </w:r>
          </w:p>
        </w:tc>
      </w:tr>
      <w:tr w:rsidR="002D7F63" w:rsidRPr="002D7F63" w14:paraId="3D26A9C6" w14:textId="77777777" w:rsidTr="00C73C92">
        <w:trPr>
          <w:trHeight w:val="283"/>
          <w:jc w:val="center"/>
        </w:trPr>
        <w:tc>
          <w:tcPr>
            <w:tcW w:w="1000" w:type="pct"/>
            <w:tcBorders>
              <w:top w:val="nil"/>
              <w:left w:val="nil"/>
              <w:bottom w:val="single" w:sz="8" w:space="0" w:color="auto"/>
              <w:right w:val="nil"/>
            </w:tcBorders>
            <w:shd w:val="clear" w:color="000000" w:fill="FFFFFF"/>
            <w:vAlign w:val="center"/>
            <w:hideMark/>
          </w:tcPr>
          <w:p w14:paraId="7B968C14"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Geological disposal</w:t>
            </w:r>
          </w:p>
        </w:tc>
        <w:tc>
          <w:tcPr>
            <w:tcW w:w="1250" w:type="pct"/>
            <w:tcBorders>
              <w:top w:val="nil"/>
              <w:left w:val="nil"/>
              <w:bottom w:val="single" w:sz="8" w:space="0" w:color="auto"/>
              <w:right w:val="nil"/>
            </w:tcBorders>
            <w:shd w:val="clear" w:color="auto" w:fill="auto"/>
            <w:noWrap/>
            <w:vAlign w:val="center"/>
            <w:hideMark/>
          </w:tcPr>
          <w:p w14:paraId="5988D360" w14:textId="77777777" w:rsidR="00CA7A38" w:rsidRPr="002D7F63" w:rsidRDefault="00CA7A38" w:rsidP="00AF1F6E">
            <w:pPr>
              <w:spacing w:line="260" w:lineRule="exact"/>
              <w:rPr>
                <w:rFonts w:eastAsia="Times New Roman"/>
                <w:sz w:val="18"/>
                <w:szCs w:val="18"/>
              </w:rPr>
            </w:pPr>
            <w:r w:rsidRPr="002D7F63">
              <w:rPr>
                <w:rFonts w:eastAsia="Times New Roman"/>
                <w:sz w:val="18"/>
                <w:szCs w:val="18"/>
              </w:rPr>
              <w:t>Emplacement config.</w:t>
            </w:r>
          </w:p>
        </w:tc>
        <w:tc>
          <w:tcPr>
            <w:tcW w:w="668" w:type="pct"/>
            <w:tcBorders>
              <w:top w:val="single" w:sz="4" w:space="0" w:color="auto"/>
              <w:left w:val="single" w:sz="4" w:space="0" w:color="auto"/>
              <w:bottom w:val="single" w:sz="8" w:space="0" w:color="auto"/>
              <w:right w:val="single" w:sz="4" w:space="0" w:color="auto"/>
            </w:tcBorders>
            <w:vAlign w:val="center"/>
          </w:tcPr>
          <w:p w14:paraId="6E46FFCF" w14:textId="6D8396E4" w:rsidR="00CA7A38" w:rsidRPr="002D7F63" w:rsidRDefault="006334E6" w:rsidP="006334E6">
            <w:pPr>
              <w:spacing w:line="260" w:lineRule="exact"/>
              <w:jc w:val="center"/>
              <w:rPr>
                <w:rFonts w:eastAsia="Times New Roman"/>
                <w:sz w:val="18"/>
                <w:szCs w:val="18"/>
              </w:rPr>
            </w:pPr>
            <w:r w:rsidRPr="002D7F63">
              <w:rPr>
                <w:rFonts w:eastAsia="Times New Roman"/>
                <w:sz w:val="18"/>
                <w:szCs w:val="18"/>
              </w:rPr>
              <w:t>-</w:t>
            </w:r>
          </w:p>
        </w:tc>
        <w:tc>
          <w:tcPr>
            <w:tcW w:w="2082" w:type="pct"/>
            <w:gridSpan w:val="3"/>
            <w:tcBorders>
              <w:top w:val="single" w:sz="4" w:space="0" w:color="auto"/>
              <w:left w:val="single" w:sz="4" w:space="0" w:color="auto"/>
              <w:bottom w:val="single" w:sz="8" w:space="0" w:color="auto"/>
              <w:right w:val="nil"/>
            </w:tcBorders>
            <w:shd w:val="clear" w:color="auto" w:fill="auto"/>
            <w:noWrap/>
            <w:vAlign w:val="center"/>
            <w:hideMark/>
          </w:tcPr>
          <w:p w14:paraId="7121EA4E" w14:textId="7FAB6B79" w:rsidR="00CA7A38" w:rsidRPr="002D7F63" w:rsidRDefault="00CA7A38" w:rsidP="003148D5">
            <w:pPr>
              <w:spacing w:line="260" w:lineRule="exact"/>
              <w:jc w:val="center"/>
              <w:rPr>
                <w:rFonts w:eastAsia="Times New Roman"/>
                <w:sz w:val="18"/>
                <w:szCs w:val="18"/>
              </w:rPr>
            </w:pPr>
            <w:r w:rsidRPr="002D7F63">
              <w:rPr>
                <w:rFonts w:eastAsia="Times New Roman"/>
                <w:sz w:val="18"/>
                <w:szCs w:val="18"/>
              </w:rPr>
              <w:t>Vertical</w:t>
            </w:r>
          </w:p>
        </w:tc>
      </w:tr>
    </w:tbl>
    <w:p w14:paraId="3DD4B45B" w14:textId="51C60406" w:rsidR="00AF3FF6" w:rsidRPr="002D7F63" w:rsidRDefault="00AF3FF6" w:rsidP="00AF1F6E">
      <w:pPr>
        <w:pStyle w:val="3"/>
      </w:pPr>
      <w:r w:rsidRPr="002D7F63">
        <w:rPr>
          <w:lang w:eastAsia="ja-JP"/>
        </w:rPr>
        <w:t>Fuel burn-up, decay, reprocessing/</w:t>
      </w:r>
      <w:r w:rsidR="00201EAA" w:rsidRPr="002D7F63">
        <w:rPr>
          <w:lang w:eastAsia="ja-JP"/>
        </w:rPr>
        <w:t>separation</w:t>
      </w:r>
      <w:r w:rsidRPr="002D7F63">
        <w:rPr>
          <w:lang w:eastAsia="ja-JP"/>
        </w:rPr>
        <w:t>, and vitrification conditions</w:t>
      </w:r>
    </w:p>
    <w:p w14:paraId="594E9C4C" w14:textId="1F53ED72" w:rsidR="00FF19DD" w:rsidRPr="002D7F63" w:rsidRDefault="00AF3FF6" w:rsidP="00C73C92">
      <w:pPr>
        <w:spacing w:line="260" w:lineRule="atLeast"/>
        <w:ind w:firstLine="567"/>
        <w:jc w:val="both"/>
        <w:rPr>
          <w:sz w:val="20"/>
          <w:lang w:eastAsia="ja-JP"/>
        </w:rPr>
      </w:pPr>
      <w:r w:rsidRPr="002D7F63">
        <w:rPr>
          <w:sz w:val="20"/>
          <w:lang w:eastAsia="ja-JP"/>
        </w:rPr>
        <w:t xml:space="preserve">The nuclide constituents, </w:t>
      </w:r>
      <w:r w:rsidR="009948A3" w:rsidRPr="002D7F63">
        <w:rPr>
          <w:sz w:val="20"/>
          <w:lang w:eastAsia="ja-JP"/>
        </w:rPr>
        <w:t xml:space="preserve">the </w:t>
      </w:r>
      <w:r w:rsidR="00AD2B30" w:rsidRPr="002D7F63">
        <w:rPr>
          <w:noProof/>
          <w:sz w:val="20"/>
          <w:lang w:eastAsia="ja-JP"/>
        </w:rPr>
        <w:t>generation</w:t>
      </w:r>
      <w:r w:rsidR="00AD2B30" w:rsidRPr="002D7F63">
        <w:rPr>
          <w:sz w:val="20"/>
          <w:lang w:eastAsia="ja-JP"/>
        </w:rPr>
        <w:t xml:space="preserve"> rate of </w:t>
      </w:r>
      <w:r w:rsidRPr="002D7F63">
        <w:rPr>
          <w:sz w:val="20"/>
          <w:lang w:eastAsia="ja-JP"/>
        </w:rPr>
        <w:t>decay heat, and reprocessing/</w:t>
      </w:r>
      <w:r w:rsidR="00201EAA" w:rsidRPr="002D7F63">
        <w:rPr>
          <w:sz w:val="20"/>
          <w:lang w:eastAsia="ja-JP"/>
        </w:rPr>
        <w:t>separation</w:t>
      </w:r>
      <w:r w:rsidRPr="002D7F63">
        <w:rPr>
          <w:sz w:val="20"/>
          <w:lang w:eastAsia="ja-JP"/>
        </w:rPr>
        <w:t xml:space="preserve"> </w:t>
      </w:r>
      <w:r w:rsidR="00DE3A52" w:rsidRPr="002D7F63">
        <w:rPr>
          <w:noProof/>
          <w:sz w:val="20"/>
          <w:lang w:eastAsia="ja-JP"/>
        </w:rPr>
        <w:t>were</w:t>
      </w:r>
      <w:r w:rsidR="00DE3A52" w:rsidRPr="002D7F63">
        <w:rPr>
          <w:sz w:val="20"/>
          <w:lang w:eastAsia="ja-JP"/>
        </w:rPr>
        <w:t xml:space="preserve"> </w:t>
      </w:r>
      <w:r w:rsidRPr="002D7F63">
        <w:rPr>
          <w:sz w:val="20"/>
          <w:lang w:eastAsia="ja-JP"/>
        </w:rPr>
        <w:t xml:space="preserve">calculated based on the </w:t>
      </w:r>
      <w:r w:rsidRPr="002D7F63">
        <w:rPr>
          <w:noProof/>
          <w:sz w:val="20"/>
          <w:lang w:eastAsia="ja-JP"/>
        </w:rPr>
        <w:t>operation</w:t>
      </w:r>
      <w:r w:rsidRPr="002D7F63">
        <w:rPr>
          <w:sz w:val="20"/>
          <w:lang w:eastAsia="ja-JP"/>
        </w:rPr>
        <w:t xml:space="preserve"> of a </w:t>
      </w:r>
      <w:r w:rsidRPr="002D7F63">
        <w:rPr>
          <w:noProof/>
          <w:sz w:val="20"/>
          <w:lang w:eastAsia="ja-JP"/>
        </w:rPr>
        <w:t>typical</w:t>
      </w:r>
      <w:r w:rsidRPr="002D7F63">
        <w:rPr>
          <w:sz w:val="20"/>
          <w:lang w:eastAsia="ja-JP"/>
        </w:rPr>
        <w:t xml:space="preserve"> 17 x 17 PWR fuel assembly power plant. JENDL-4.0</w:t>
      </w:r>
      <w:r w:rsidRPr="002D7F63">
        <w:rPr>
          <w:sz w:val="20"/>
        </w:rPr>
        <w:t xml:space="preserve"> </w:t>
      </w:r>
      <w:r w:rsidRPr="002D7F63">
        <w:rPr>
          <w:sz w:val="20"/>
          <w:lang w:eastAsia="ja-JP"/>
        </w:rPr>
        <w:t xml:space="preserve">was used for cross-section libraries and burn-up conditions for both fuel types were chosen to be 45 </w:t>
      </w:r>
      <w:proofErr w:type="spellStart"/>
      <w:r w:rsidR="00DE3A52" w:rsidRPr="002D7F63">
        <w:rPr>
          <w:sz w:val="20"/>
          <w:lang w:eastAsia="ja-JP"/>
        </w:rPr>
        <w:t>G</w:t>
      </w:r>
      <w:r w:rsidRPr="002D7F63">
        <w:rPr>
          <w:sz w:val="20"/>
          <w:lang w:eastAsia="ja-JP"/>
        </w:rPr>
        <w:t>Wd</w:t>
      </w:r>
      <w:proofErr w:type="spellEnd"/>
      <w:r w:rsidRPr="002D7F63">
        <w:rPr>
          <w:sz w:val="20"/>
          <w:lang w:eastAsia="ja-JP"/>
        </w:rPr>
        <w:t xml:space="preserve">/THM. </w:t>
      </w:r>
      <w:r w:rsidR="009C1E22" w:rsidRPr="002D7F63">
        <w:rPr>
          <w:b/>
          <w:sz w:val="20"/>
          <w:lang w:eastAsia="ja-JP"/>
        </w:rPr>
        <w:t>T</w:t>
      </w:r>
      <w:r w:rsidR="00526F63" w:rsidRPr="002D7F63">
        <w:rPr>
          <w:b/>
          <w:sz w:val="20"/>
          <w:lang w:eastAsia="ja-JP"/>
        </w:rPr>
        <w:t>able</w:t>
      </w:r>
      <w:r w:rsidRPr="002D7F63">
        <w:rPr>
          <w:b/>
          <w:sz w:val="20"/>
          <w:lang w:eastAsia="ja-JP"/>
        </w:rPr>
        <w:t xml:space="preserve"> 2</w:t>
      </w:r>
      <w:r w:rsidRPr="002D7F63">
        <w:rPr>
          <w:sz w:val="20"/>
          <w:lang w:eastAsia="ja-JP"/>
        </w:rPr>
        <w:t xml:space="preserve"> shows the initial fuel composition of MOX fuel</w:t>
      </w:r>
      <w:r w:rsidR="00526F63" w:rsidRPr="002D7F63">
        <w:rPr>
          <w:sz w:val="20"/>
          <w:lang w:eastAsia="ja-JP"/>
        </w:rPr>
        <w:t xml:space="preserve"> for 45GWd/THM</w:t>
      </w:r>
      <w:r w:rsidR="00AD2B30" w:rsidRPr="002D7F63">
        <w:rPr>
          <w:sz w:val="20"/>
          <w:lang w:eastAsia="ja-JP"/>
        </w:rPr>
        <w:t xml:space="preserve"> [7]</w:t>
      </w:r>
      <w:r w:rsidRPr="002D7F63">
        <w:rPr>
          <w:sz w:val="20"/>
          <w:lang w:eastAsia="ja-JP"/>
        </w:rPr>
        <w:t xml:space="preserve">. </w:t>
      </w:r>
    </w:p>
    <w:p w14:paraId="02AED7A3" w14:textId="05C968E8" w:rsidR="00FF19DD" w:rsidRPr="002D7F63" w:rsidRDefault="00683147" w:rsidP="00683147">
      <w:pPr>
        <w:tabs>
          <w:tab w:val="left" w:pos="5496"/>
        </w:tabs>
        <w:spacing w:line="260" w:lineRule="atLeast"/>
        <w:ind w:firstLine="567"/>
        <w:rPr>
          <w:sz w:val="20"/>
          <w:lang w:eastAsia="ja-JP"/>
        </w:rPr>
      </w:pPr>
      <w:r w:rsidRPr="002D7F63">
        <w:rPr>
          <w:sz w:val="20"/>
          <w:lang w:eastAsia="ja-JP"/>
        </w:rPr>
        <w:tab/>
      </w:r>
    </w:p>
    <w:p w14:paraId="1506ED96" w14:textId="45D5508F" w:rsidR="00F1514D" w:rsidRPr="002D7F63" w:rsidRDefault="00F1514D" w:rsidP="00AF3FF6">
      <w:pPr>
        <w:spacing w:line="260" w:lineRule="atLeast"/>
        <w:ind w:firstLine="567"/>
        <w:rPr>
          <w:sz w:val="20"/>
          <w:lang w:eastAsia="ja-JP"/>
        </w:rPr>
      </w:pPr>
    </w:p>
    <w:p w14:paraId="23805937" w14:textId="77777777" w:rsidR="00F1514D" w:rsidRPr="002D7F63" w:rsidRDefault="00F1514D" w:rsidP="00AF3FF6">
      <w:pPr>
        <w:spacing w:line="260" w:lineRule="atLeast"/>
        <w:ind w:firstLine="567"/>
        <w:rPr>
          <w:sz w:val="20"/>
          <w:lang w:eastAsia="ja-JP"/>
        </w:rPr>
      </w:pPr>
    </w:p>
    <w:p w14:paraId="512B685B" w14:textId="718A1A4E" w:rsidR="00D23104" w:rsidRPr="002D7F63" w:rsidRDefault="00D23104" w:rsidP="00D23104">
      <w:pPr>
        <w:spacing w:line="260" w:lineRule="atLeast"/>
        <w:rPr>
          <w:sz w:val="20"/>
          <w:lang w:eastAsia="ja-JP"/>
        </w:rPr>
      </w:pPr>
      <w:r w:rsidRPr="002D7F63">
        <w:rPr>
          <w:sz w:val="20"/>
        </w:rPr>
        <w:t>TABLE 2</w:t>
      </w:r>
      <w:r w:rsidRPr="002D7F63">
        <w:rPr>
          <w:sz w:val="20"/>
        </w:rPr>
        <w:tab/>
      </w:r>
      <w:r w:rsidRPr="002D7F63">
        <w:rPr>
          <w:sz w:val="20"/>
          <w:lang w:eastAsia="ja-JP"/>
        </w:rPr>
        <w:t>INITIAL</w:t>
      </w:r>
      <w:r w:rsidRPr="002D7F63">
        <w:rPr>
          <w:sz w:val="20"/>
        </w:rPr>
        <w:t xml:space="preserve"> </w:t>
      </w:r>
      <w:r w:rsidRPr="002D7F63">
        <w:rPr>
          <w:sz w:val="20"/>
          <w:lang w:eastAsia="ja-JP"/>
        </w:rPr>
        <w:t>FUEL</w:t>
      </w:r>
      <w:r w:rsidRPr="002D7F63">
        <w:rPr>
          <w:sz w:val="20"/>
        </w:rPr>
        <w:t xml:space="preserve"> COMPOSITION OF MOX</w:t>
      </w:r>
      <w:r w:rsidR="008428B4" w:rsidRPr="002D7F63">
        <w:rPr>
          <w:sz w:val="20"/>
        </w:rPr>
        <w:t xml:space="preserve"> </w:t>
      </w:r>
      <w:r w:rsidRPr="002D7F63">
        <w:rPr>
          <w:sz w:val="20"/>
        </w:rPr>
        <w:t>(wt.%)</w:t>
      </w:r>
    </w:p>
    <w:p w14:paraId="3FA09151" w14:textId="51C79687" w:rsidR="00AF3FF6" w:rsidRPr="002D7F63" w:rsidRDefault="00AF3FF6" w:rsidP="00AF3FF6">
      <w:pPr>
        <w:spacing w:line="260" w:lineRule="atLeast"/>
        <w:ind w:firstLine="567"/>
        <w:jc w:val="center"/>
        <w:rPr>
          <w:sz w:val="20"/>
          <w:lang w:eastAsia="ja-JP"/>
        </w:rPr>
      </w:pPr>
    </w:p>
    <w:tbl>
      <w:tblPr>
        <w:tblW w:w="8647" w:type="dxa"/>
        <w:jc w:val="center"/>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080"/>
        <w:gridCol w:w="1081"/>
        <w:gridCol w:w="1081"/>
        <w:gridCol w:w="1081"/>
        <w:gridCol w:w="1081"/>
        <w:gridCol w:w="1081"/>
        <w:gridCol w:w="1081"/>
        <w:gridCol w:w="1081"/>
      </w:tblGrid>
      <w:tr w:rsidR="002D7F63" w:rsidRPr="002D7F63" w14:paraId="4C4AA815" w14:textId="0B5CA288" w:rsidTr="00C73C92">
        <w:trPr>
          <w:trHeight w:val="288"/>
          <w:jc w:val="center"/>
        </w:trPr>
        <w:tc>
          <w:tcPr>
            <w:tcW w:w="1080" w:type="dxa"/>
            <w:shd w:val="clear" w:color="auto" w:fill="auto"/>
            <w:noWrap/>
            <w:vAlign w:val="center"/>
            <w:hideMark/>
          </w:tcPr>
          <w:p w14:paraId="0DF3B55C" w14:textId="4B0DBD2D" w:rsidR="008428B4" w:rsidRPr="002D7F63" w:rsidRDefault="008428B4" w:rsidP="008428B4">
            <w:pPr>
              <w:spacing w:line="260" w:lineRule="atLeast"/>
              <w:ind w:firstLine="172"/>
              <w:jc w:val="center"/>
              <w:rPr>
                <w:rFonts w:eastAsia="Times New Roman"/>
                <w:sz w:val="18"/>
                <w:szCs w:val="18"/>
              </w:rPr>
            </w:pPr>
            <w:r w:rsidRPr="002D7F63">
              <w:rPr>
                <w:rFonts w:eastAsia="Times New Roman"/>
                <w:sz w:val="18"/>
                <w:szCs w:val="18"/>
              </w:rPr>
              <w:t>U-235</w:t>
            </w:r>
          </w:p>
        </w:tc>
        <w:tc>
          <w:tcPr>
            <w:tcW w:w="1081" w:type="dxa"/>
            <w:shd w:val="clear" w:color="auto" w:fill="auto"/>
            <w:noWrap/>
            <w:vAlign w:val="center"/>
            <w:hideMark/>
          </w:tcPr>
          <w:p w14:paraId="5981313C" w14:textId="5A2022B0"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U-238</w:t>
            </w:r>
          </w:p>
        </w:tc>
        <w:tc>
          <w:tcPr>
            <w:tcW w:w="1081" w:type="dxa"/>
            <w:vAlign w:val="center"/>
          </w:tcPr>
          <w:p w14:paraId="3060EA53" w14:textId="7F2369C8"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Pu-238</w:t>
            </w:r>
          </w:p>
        </w:tc>
        <w:tc>
          <w:tcPr>
            <w:tcW w:w="1081" w:type="dxa"/>
            <w:vAlign w:val="center"/>
          </w:tcPr>
          <w:p w14:paraId="183BA548" w14:textId="0448AC9A"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Pu-239</w:t>
            </w:r>
          </w:p>
        </w:tc>
        <w:tc>
          <w:tcPr>
            <w:tcW w:w="1081" w:type="dxa"/>
            <w:vAlign w:val="center"/>
          </w:tcPr>
          <w:p w14:paraId="56741C5D" w14:textId="7418A89B"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Pu-240</w:t>
            </w:r>
          </w:p>
        </w:tc>
        <w:tc>
          <w:tcPr>
            <w:tcW w:w="1081" w:type="dxa"/>
            <w:vAlign w:val="center"/>
          </w:tcPr>
          <w:p w14:paraId="3C7CA43B" w14:textId="7D3A0582"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Pu-241</w:t>
            </w:r>
          </w:p>
        </w:tc>
        <w:tc>
          <w:tcPr>
            <w:tcW w:w="1081" w:type="dxa"/>
            <w:vAlign w:val="center"/>
          </w:tcPr>
          <w:p w14:paraId="09329B6E" w14:textId="2904B18B"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Pu-242</w:t>
            </w:r>
          </w:p>
        </w:tc>
        <w:tc>
          <w:tcPr>
            <w:tcW w:w="1081" w:type="dxa"/>
            <w:vAlign w:val="center"/>
          </w:tcPr>
          <w:p w14:paraId="7BD3E01E" w14:textId="607F023D"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Am-241</w:t>
            </w:r>
          </w:p>
        </w:tc>
      </w:tr>
      <w:tr w:rsidR="008428B4" w:rsidRPr="002D7F63" w14:paraId="560BE328" w14:textId="0A49DF41" w:rsidTr="00C73C92">
        <w:trPr>
          <w:trHeight w:val="288"/>
          <w:jc w:val="center"/>
        </w:trPr>
        <w:tc>
          <w:tcPr>
            <w:tcW w:w="1080" w:type="dxa"/>
            <w:shd w:val="clear" w:color="auto" w:fill="auto"/>
            <w:noWrap/>
            <w:vAlign w:val="center"/>
          </w:tcPr>
          <w:p w14:paraId="799F0D96" w14:textId="15AF9935" w:rsidR="008428B4" w:rsidRPr="002D7F63" w:rsidRDefault="008428B4" w:rsidP="008428B4">
            <w:pPr>
              <w:spacing w:line="260" w:lineRule="atLeast"/>
              <w:ind w:firstLine="172"/>
              <w:jc w:val="center"/>
              <w:rPr>
                <w:rFonts w:eastAsia="Times New Roman"/>
                <w:sz w:val="18"/>
                <w:szCs w:val="18"/>
              </w:rPr>
            </w:pPr>
            <w:r w:rsidRPr="002D7F63">
              <w:rPr>
                <w:rFonts w:eastAsia="Times New Roman"/>
                <w:sz w:val="18"/>
                <w:szCs w:val="18"/>
              </w:rPr>
              <w:t>0.166</w:t>
            </w:r>
          </w:p>
        </w:tc>
        <w:tc>
          <w:tcPr>
            <w:tcW w:w="1081" w:type="dxa"/>
            <w:shd w:val="clear" w:color="auto" w:fill="auto"/>
            <w:noWrap/>
            <w:vAlign w:val="center"/>
          </w:tcPr>
          <w:p w14:paraId="65D92276" w14:textId="15F3108C"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87.834</w:t>
            </w:r>
          </w:p>
        </w:tc>
        <w:tc>
          <w:tcPr>
            <w:tcW w:w="1081" w:type="dxa"/>
            <w:vAlign w:val="center"/>
          </w:tcPr>
          <w:p w14:paraId="53EC971E" w14:textId="2095BB69"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0.25</w:t>
            </w:r>
          </w:p>
        </w:tc>
        <w:tc>
          <w:tcPr>
            <w:tcW w:w="1081" w:type="dxa"/>
            <w:vAlign w:val="center"/>
          </w:tcPr>
          <w:p w14:paraId="1A4E609D" w14:textId="70E1642F"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6.54</w:t>
            </w:r>
          </w:p>
        </w:tc>
        <w:tc>
          <w:tcPr>
            <w:tcW w:w="1081" w:type="dxa"/>
            <w:vAlign w:val="center"/>
          </w:tcPr>
          <w:p w14:paraId="6F883EE2" w14:textId="1D5E70C4"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3.00</w:t>
            </w:r>
          </w:p>
        </w:tc>
        <w:tc>
          <w:tcPr>
            <w:tcW w:w="1081" w:type="dxa"/>
            <w:vAlign w:val="center"/>
          </w:tcPr>
          <w:p w14:paraId="0774B406" w14:textId="67FA8566"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1.116</w:t>
            </w:r>
          </w:p>
        </w:tc>
        <w:tc>
          <w:tcPr>
            <w:tcW w:w="1081" w:type="dxa"/>
            <w:vAlign w:val="center"/>
          </w:tcPr>
          <w:p w14:paraId="0651E40A" w14:textId="29DF975C"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0.768</w:t>
            </w:r>
          </w:p>
        </w:tc>
        <w:tc>
          <w:tcPr>
            <w:tcW w:w="1081" w:type="dxa"/>
            <w:vAlign w:val="center"/>
          </w:tcPr>
          <w:p w14:paraId="4F0679EF" w14:textId="7F9CED8E" w:rsidR="008428B4" w:rsidRPr="002D7F63" w:rsidRDefault="008428B4" w:rsidP="008428B4">
            <w:pPr>
              <w:spacing w:line="260" w:lineRule="atLeast"/>
              <w:ind w:firstLine="177"/>
              <w:jc w:val="center"/>
              <w:rPr>
                <w:rFonts w:eastAsia="Times New Roman"/>
                <w:sz w:val="18"/>
                <w:szCs w:val="18"/>
              </w:rPr>
            </w:pPr>
            <w:r w:rsidRPr="002D7F63">
              <w:rPr>
                <w:rFonts w:eastAsia="Times New Roman"/>
                <w:sz w:val="18"/>
                <w:szCs w:val="18"/>
              </w:rPr>
              <w:t>0.324</w:t>
            </w:r>
          </w:p>
        </w:tc>
      </w:tr>
    </w:tbl>
    <w:p w14:paraId="2F3E7780" w14:textId="77777777" w:rsidR="00AF3FF6" w:rsidRPr="002D7F63" w:rsidRDefault="00AF3FF6" w:rsidP="00AF3FF6">
      <w:pPr>
        <w:spacing w:line="260" w:lineRule="atLeast"/>
        <w:ind w:firstLine="567"/>
        <w:rPr>
          <w:sz w:val="20"/>
          <w:lang w:eastAsia="ja-JP"/>
        </w:rPr>
      </w:pPr>
    </w:p>
    <w:p w14:paraId="0B8D586D" w14:textId="68307378" w:rsidR="00AF3FF6" w:rsidRPr="002D7F63" w:rsidRDefault="00C551E0" w:rsidP="00C551E0">
      <w:pPr>
        <w:pStyle w:val="a1"/>
      </w:pPr>
      <w:r w:rsidRPr="002D7F63">
        <w:t xml:space="preserve">As the aforementioned condition </w:t>
      </w:r>
      <w:r w:rsidR="00526F63" w:rsidRPr="002D7F63">
        <w:rPr>
          <w:b/>
        </w:rPr>
        <w:t xml:space="preserve">Table </w:t>
      </w:r>
      <w:r w:rsidRPr="002D7F63">
        <w:rPr>
          <w:b/>
        </w:rPr>
        <w:t>1</w:t>
      </w:r>
      <w:r w:rsidRPr="002D7F63">
        <w:t>, in this study, multiple cases were studied under different conditions</w:t>
      </w:r>
      <w:r w:rsidR="00AD2B30" w:rsidRPr="002D7F63">
        <w:t>;</w:t>
      </w:r>
      <w:r w:rsidRPr="002D7F63">
        <w:t xml:space="preserve"> </w:t>
      </w:r>
      <w:r w:rsidR="00D07A21" w:rsidRPr="002D7F63">
        <w:t>f</w:t>
      </w:r>
      <w:r w:rsidR="00526F63" w:rsidRPr="002D7F63">
        <w:t xml:space="preserve">uel types, </w:t>
      </w:r>
      <w:r w:rsidR="00CA0DEC" w:rsidRPr="002D7F63">
        <w:rPr>
          <w:lang w:eastAsia="ja-JP"/>
        </w:rPr>
        <w:t>SF</w:t>
      </w:r>
      <w:r w:rsidR="00CA0DEC" w:rsidRPr="002D7F63">
        <w:t xml:space="preserve"> </w:t>
      </w:r>
      <w:r w:rsidRPr="002D7F63">
        <w:t xml:space="preserve">cooling period, introductions of the </w:t>
      </w:r>
      <w:r w:rsidR="00CA0DEC" w:rsidRPr="002D7F63">
        <w:t xml:space="preserve">MA </w:t>
      </w:r>
      <w:r w:rsidR="00201EAA" w:rsidRPr="002D7F63">
        <w:t>separation</w:t>
      </w:r>
      <w:r w:rsidRPr="002D7F63">
        <w:t xml:space="preserve"> process, and waste loading</w:t>
      </w:r>
      <w:r w:rsidR="00CA0DEC" w:rsidRPr="002D7F63">
        <w:t xml:space="preserve"> of vitrified waste</w:t>
      </w:r>
      <w:r w:rsidRPr="002D7F63">
        <w:t xml:space="preserve">. The first focus of attention is </w:t>
      </w:r>
      <w:r w:rsidRPr="002D7F63">
        <w:rPr>
          <w:noProof/>
        </w:rPr>
        <w:t>how</w:t>
      </w:r>
      <w:r w:rsidRPr="002D7F63">
        <w:t xml:space="preserve"> much MA will be separated</w:t>
      </w:r>
      <w:r w:rsidR="00D07A21" w:rsidRPr="002D7F63">
        <w:t>.</w:t>
      </w:r>
      <w:r w:rsidRPr="002D7F63">
        <w:t xml:space="preserve"> </w:t>
      </w:r>
      <w:r w:rsidR="00D07A21" w:rsidRPr="002D7F63">
        <w:t>T</w:t>
      </w:r>
      <w:r w:rsidRPr="002D7F63">
        <w:t xml:space="preserve">herefore, </w:t>
      </w:r>
      <w:r w:rsidR="00442865" w:rsidRPr="002D7F63">
        <w:t>0</w:t>
      </w:r>
      <w:r w:rsidRPr="002D7F63">
        <w:t xml:space="preserve">-90% separation </w:t>
      </w:r>
      <w:r w:rsidR="00D07A21" w:rsidRPr="002D7F63">
        <w:t xml:space="preserve">of MA </w:t>
      </w:r>
      <w:r w:rsidRPr="002D7F63">
        <w:t xml:space="preserve">from HLLW </w:t>
      </w:r>
      <w:r w:rsidR="009948A3" w:rsidRPr="002D7F63">
        <w:rPr>
          <w:noProof/>
        </w:rPr>
        <w:t>h</w:t>
      </w:r>
      <w:r w:rsidRPr="002D7F63">
        <w:rPr>
          <w:noProof/>
        </w:rPr>
        <w:t>as assumed</w:t>
      </w:r>
      <w:r w:rsidRPr="002D7F63">
        <w:t xml:space="preserve"> together with Mo</w:t>
      </w:r>
      <w:r w:rsidR="00CA0DEC" w:rsidRPr="002D7F63">
        <w:t>O</w:t>
      </w:r>
      <w:r w:rsidR="00CA0DEC" w:rsidRPr="002D7F63">
        <w:rPr>
          <w:vertAlign w:val="subscript"/>
        </w:rPr>
        <w:t>3</w:t>
      </w:r>
      <w:r w:rsidR="00F1514D" w:rsidRPr="002D7F63">
        <w:t xml:space="preserve"> and</w:t>
      </w:r>
      <w:r w:rsidR="00CA0DEC" w:rsidRPr="002D7F63">
        <w:t xml:space="preserve"> </w:t>
      </w:r>
      <w:r w:rsidR="00460277" w:rsidRPr="002D7F63">
        <w:t>PGM</w:t>
      </w:r>
      <w:r w:rsidRPr="002D7F63">
        <w:t xml:space="preserve"> separation </w:t>
      </w:r>
      <w:r w:rsidR="00D07A21" w:rsidRPr="002D7F63">
        <w:t xml:space="preserve">since such nuclei have </w:t>
      </w:r>
      <w:r w:rsidR="009948A3" w:rsidRPr="002D7F63">
        <w:t xml:space="preserve">an </w:t>
      </w:r>
      <w:r w:rsidR="00D07A21" w:rsidRPr="002D7F63">
        <w:rPr>
          <w:noProof/>
        </w:rPr>
        <w:t>adverse</w:t>
      </w:r>
      <w:r w:rsidR="00D07A21" w:rsidRPr="002D7F63">
        <w:t xml:space="preserve"> effect as mentioned before</w:t>
      </w:r>
      <w:r w:rsidRPr="002D7F63">
        <w:t>.</w:t>
      </w:r>
      <w:r w:rsidR="00F1514D" w:rsidRPr="002D7F63">
        <w:t xml:space="preserve"> </w:t>
      </w:r>
      <w:r w:rsidRPr="002D7F63">
        <w:t>In addition, the following conditions were assumed for the vitrification process. Detailed numerical values and rationalization were already reported elsewhere [8].</w:t>
      </w:r>
    </w:p>
    <w:p w14:paraId="7C756D03" w14:textId="32B19C1A" w:rsidR="00442865" w:rsidRPr="002D7F63" w:rsidRDefault="00442865" w:rsidP="00442865">
      <w:pPr>
        <w:pStyle w:val="ListEmdash"/>
      </w:pPr>
      <w:r w:rsidRPr="002D7F63">
        <w:t>The weight of one single vitrified waste form is 400 kg;</w:t>
      </w:r>
    </w:p>
    <w:p w14:paraId="3FE410CA" w14:textId="4F123206" w:rsidR="00442865" w:rsidRPr="002D7F63" w:rsidRDefault="00442865" w:rsidP="002F1DD5">
      <w:pPr>
        <w:pStyle w:val="ListEmdash"/>
      </w:pPr>
      <w:r w:rsidRPr="002D7F63">
        <w:t xml:space="preserve">The </w:t>
      </w:r>
      <w:r w:rsidR="002F1DD5" w:rsidRPr="002D7F63">
        <w:t>sodium oxide (Na</w:t>
      </w:r>
      <w:r w:rsidR="002F1DD5" w:rsidRPr="002D7F63">
        <w:rPr>
          <w:vertAlign w:val="subscript"/>
        </w:rPr>
        <w:t>2</w:t>
      </w:r>
      <w:r w:rsidR="002F1DD5" w:rsidRPr="002D7F63">
        <w:t>O)</w:t>
      </w:r>
      <w:r w:rsidR="002F1DD5" w:rsidRPr="002D7F63" w:rsidDel="002F1DD5">
        <w:t xml:space="preserve"> </w:t>
      </w:r>
      <w:r w:rsidR="00CA0DEC" w:rsidRPr="002D7F63">
        <w:t>content</w:t>
      </w:r>
      <w:r w:rsidRPr="002D7F63">
        <w:t xml:space="preserve"> was compensated in order to </w:t>
      </w:r>
      <w:r w:rsidR="00F1514D" w:rsidRPr="002D7F63">
        <w:t>meet the criteria to warrant the quality of the glass (mainly to lower the viscosity of the glass for the flow-out-performance of glass melter), 10wt% (40 kg) of Na</w:t>
      </w:r>
      <w:r w:rsidR="00F1514D" w:rsidRPr="002D7F63">
        <w:rPr>
          <w:vertAlign w:val="subscript"/>
        </w:rPr>
        <w:t>2</w:t>
      </w:r>
      <w:r w:rsidR="00F1514D" w:rsidRPr="002D7F63">
        <w:t>O content per glass unit. Amounts of compensated Na</w:t>
      </w:r>
      <w:r w:rsidR="00F1514D" w:rsidRPr="002D7F63">
        <w:rPr>
          <w:vertAlign w:val="subscript"/>
        </w:rPr>
        <w:t>2</w:t>
      </w:r>
      <w:r w:rsidR="00F1514D" w:rsidRPr="002D7F63">
        <w:t>O was treated as waste constituents.</w:t>
      </w:r>
      <w:r w:rsidRPr="002D7F63">
        <w:t>;</w:t>
      </w:r>
    </w:p>
    <w:p w14:paraId="7BA71631" w14:textId="615A72D3" w:rsidR="00442865" w:rsidRPr="002D7F63" w:rsidRDefault="00F1514D" w:rsidP="00442865">
      <w:pPr>
        <w:pStyle w:val="ListEmdash"/>
      </w:pPr>
      <w:r w:rsidRPr="002D7F63">
        <w:t>Upper limitation of waste loading ratio of vitrified waste was assumed with heat generation rate, 2.3kW/h, and the content of MoO</w:t>
      </w:r>
      <w:r w:rsidRPr="002D7F63">
        <w:rPr>
          <w:vertAlign w:val="subscript"/>
        </w:rPr>
        <w:t>3</w:t>
      </w:r>
      <w:r w:rsidRPr="002D7F63">
        <w:t xml:space="preserve"> and that of PGM, 70%</w:t>
      </w:r>
      <w:r w:rsidR="00442865" w:rsidRPr="002D7F63">
        <w:t>.</w:t>
      </w:r>
    </w:p>
    <w:p w14:paraId="07B5EEC0" w14:textId="75F5FC94" w:rsidR="00442865" w:rsidRPr="002D7F63" w:rsidRDefault="00442865" w:rsidP="00442865">
      <w:pPr>
        <w:pStyle w:val="3"/>
      </w:pPr>
      <w:r w:rsidRPr="002D7F63">
        <w:t>Thermal Analysis of Geological Disposal</w:t>
      </w:r>
    </w:p>
    <w:p w14:paraId="78E7ADE7" w14:textId="5C0C3231" w:rsidR="00442865" w:rsidRPr="002D7F63" w:rsidRDefault="00442865" w:rsidP="00442865">
      <w:pPr>
        <w:pStyle w:val="a1"/>
      </w:pPr>
      <w:r w:rsidRPr="002D7F63">
        <w:t xml:space="preserve">To evaluate the </w:t>
      </w:r>
      <w:r w:rsidR="009E7BC6" w:rsidRPr="002D7F63">
        <w:t xml:space="preserve">effect </w:t>
      </w:r>
      <w:r w:rsidRPr="002D7F63">
        <w:t xml:space="preserve">of reduction in the </w:t>
      </w:r>
      <w:r w:rsidR="009E7BC6" w:rsidRPr="002D7F63">
        <w:t xml:space="preserve">waste </w:t>
      </w:r>
      <w:r w:rsidRPr="002D7F63">
        <w:t xml:space="preserve">occupied area of the geological disposal, thermal calculations were performed. </w:t>
      </w:r>
      <w:r w:rsidR="0013701D" w:rsidRPr="002D7F63">
        <w:t xml:space="preserve">The largest </w:t>
      </w:r>
      <w:r w:rsidR="009E7BC6" w:rsidRPr="002D7F63">
        <w:t>waste occupied area</w:t>
      </w:r>
      <w:r w:rsidR="00452128" w:rsidRPr="002D7F63">
        <w:t xml:space="preserve"> we have </w:t>
      </w:r>
      <w:r w:rsidR="0058289A" w:rsidRPr="002D7F63">
        <w:t xml:space="preserve">estimated </w:t>
      </w:r>
      <w:r w:rsidR="009A27ED" w:rsidRPr="002D7F63">
        <w:t xml:space="preserve">was </w:t>
      </w:r>
      <w:r w:rsidR="00452128" w:rsidRPr="002D7F63">
        <w:t>300m</w:t>
      </w:r>
      <w:r w:rsidR="00452128" w:rsidRPr="002D7F63">
        <w:rPr>
          <w:vertAlign w:val="superscript"/>
        </w:rPr>
        <w:t>2</w:t>
      </w:r>
      <w:r w:rsidR="0058289A" w:rsidRPr="002D7F63">
        <w:t>, and other a</w:t>
      </w:r>
      <w:r w:rsidRPr="002D7F63">
        <w:t>nalysis conditions have been reported elsewhere [9, 10].</w:t>
      </w:r>
      <w:r w:rsidR="00F1514D" w:rsidRPr="002D7F63">
        <w:t xml:space="preserve"> The restricted upper-limit of </w:t>
      </w:r>
      <w:r w:rsidR="009948A3" w:rsidRPr="002D7F63">
        <w:t xml:space="preserve">the </w:t>
      </w:r>
      <w:r w:rsidR="00F1514D" w:rsidRPr="002D7F63">
        <w:rPr>
          <w:noProof/>
        </w:rPr>
        <w:t>temperature</w:t>
      </w:r>
      <w:r w:rsidR="00F1514D" w:rsidRPr="002D7F63">
        <w:t xml:space="preserve"> of buffer material surface is 100</w:t>
      </w:r>
      <m:oMath>
        <m:r>
          <m:rPr>
            <m:sty m:val="p"/>
          </m:rPr>
          <w:rPr>
            <w:rFonts w:ascii="Cambria Math" w:hAnsi="Cambria Math"/>
          </w:rPr>
          <m:t>℃</m:t>
        </m:r>
      </m:oMath>
      <w:r w:rsidR="00F1514D" w:rsidRPr="002D7F63">
        <w:t xml:space="preserve"> to prevent </w:t>
      </w:r>
      <w:r w:rsidR="00F1514D" w:rsidRPr="002D7F63">
        <w:rPr>
          <w:noProof/>
        </w:rPr>
        <w:t>illitization</w:t>
      </w:r>
      <w:r w:rsidR="00F1514D" w:rsidRPr="002D7F63">
        <w:t xml:space="preserve"> of smectite</w:t>
      </w:r>
      <w:r w:rsidR="00F1514D" w:rsidRPr="002D7F63" w:rsidDel="00435FA7">
        <w:t xml:space="preserve"> </w:t>
      </w:r>
      <w:r w:rsidR="00D07A21" w:rsidRPr="002D7F63">
        <w:t>which</w:t>
      </w:r>
      <w:r w:rsidR="00F1514D" w:rsidRPr="002D7F63">
        <w:t xml:space="preserve"> </w:t>
      </w:r>
      <w:r w:rsidR="00D07A21" w:rsidRPr="002D7F63">
        <w:rPr>
          <w:noProof/>
        </w:rPr>
        <w:t>deteriorate</w:t>
      </w:r>
      <w:r w:rsidR="009948A3" w:rsidRPr="002D7F63">
        <w:rPr>
          <w:noProof/>
        </w:rPr>
        <w:t>s</w:t>
      </w:r>
      <w:r w:rsidR="00F1514D" w:rsidRPr="002D7F63">
        <w:t xml:space="preserve"> the performance of the buffer</w:t>
      </w:r>
      <w:r w:rsidR="00D07A21" w:rsidRPr="002D7F63">
        <w:t xml:space="preserve"> function</w:t>
      </w:r>
      <w:r w:rsidR="00F1514D" w:rsidRPr="002D7F63">
        <w:t xml:space="preserve">. </w:t>
      </w:r>
    </w:p>
    <w:p w14:paraId="13A15F1D" w14:textId="51EE3112" w:rsidR="00442865" w:rsidRPr="002D7F63" w:rsidRDefault="00442865" w:rsidP="00442865">
      <w:pPr>
        <w:pStyle w:val="3"/>
      </w:pPr>
      <w:r w:rsidRPr="002D7F63">
        <w:t>CAERA index</w:t>
      </w:r>
    </w:p>
    <w:p w14:paraId="39DD599B" w14:textId="27DCBC1F" w:rsidR="00442865" w:rsidRPr="002D7F63" w:rsidRDefault="00442865" w:rsidP="00442865">
      <w:pPr>
        <w:pStyle w:val="a1"/>
      </w:pPr>
      <w:r w:rsidRPr="002D7F63">
        <w:t xml:space="preserve">The Comprehensive Analysis of Effects on Reduction of Disposal Area (CAERA) index </w:t>
      </w:r>
      <w:r w:rsidR="00F1514D" w:rsidRPr="002D7F63">
        <w:t xml:space="preserve">can help </w:t>
      </w:r>
      <w:r w:rsidR="009948A3" w:rsidRPr="002D7F63">
        <w:rPr>
          <w:noProof/>
        </w:rPr>
        <w:t>to analyze</w:t>
      </w:r>
      <w:r w:rsidR="00F1514D" w:rsidRPr="002D7F63">
        <w:t xml:space="preserve"> </w:t>
      </w:r>
      <w:r w:rsidRPr="002D7F63">
        <w:t>both the front-end and back-end operations in the nuclear fuel cycle</w:t>
      </w:r>
      <w:r w:rsidR="00D07A21" w:rsidRPr="002D7F63">
        <w:t>,</w:t>
      </w:r>
      <w:r w:rsidR="005F0B6A" w:rsidRPr="002D7F63">
        <w:t xml:space="preserve"> quantit</w:t>
      </w:r>
      <w:r w:rsidR="00D07A21" w:rsidRPr="002D7F63">
        <w:t>ati</w:t>
      </w:r>
      <w:r w:rsidR="005F0B6A" w:rsidRPr="002D7F63">
        <w:t>vely</w:t>
      </w:r>
      <w:r w:rsidR="00F1514D" w:rsidRPr="002D7F63">
        <w:t xml:space="preserve"> [11]</w:t>
      </w:r>
      <w:r w:rsidRPr="002D7F63">
        <w:t xml:space="preserve">. By introducing </w:t>
      </w:r>
      <w:r w:rsidR="00D07A21" w:rsidRPr="002D7F63">
        <w:t xml:space="preserve">the </w:t>
      </w:r>
      <w:r w:rsidRPr="002D7F63">
        <w:t>CAERA index, it become</w:t>
      </w:r>
      <w:r w:rsidR="00D07A21" w:rsidRPr="002D7F63">
        <w:t>s</w:t>
      </w:r>
      <w:r w:rsidRPr="002D7F63">
        <w:t xml:space="preserve"> possible to estimate the footprint of vitrified waste more </w:t>
      </w:r>
      <w:r w:rsidR="00526F63" w:rsidRPr="002D7F63">
        <w:t>quantitatively</w:t>
      </w:r>
      <w:r w:rsidR="00526F63" w:rsidRPr="002D7F63" w:rsidDel="00526F63">
        <w:t xml:space="preserve"> </w:t>
      </w:r>
      <w:r w:rsidRPr="002D7F63">
        <w:t xml:space="preserve">by calculating the weight of HLW per square meter of the geological </w:t>
      </w:r>
      <w:r w:rsidRPr="002D7F63">
        <w:rPr>
          <w:noProof/>
        </w:rPr>
        <w:t>repository.</w:t>
      </w:r>
      <w:r w:rsidRPr="002D7F63">
        <w:t xml:space="preserve"> In this paper,</w:t>
      </w:r>
      <w:r w:rsidR="00D07A21" w:rsidRPr="002D7F63">
        <w:t xml:space="preserve"> calculated CAERA was compared with </w:t>
      </w:r>
      <w:r w:rsidRPr="002D7F63">
        <w:t xml:space="preserve">the reference case </w:t>
      </w:r>
      <w:r w:rsidR="00D07A21" w:rsidRPr="002D7F63">
        <w:t xml:space="preserve">as shown in TABLE 1. The </w:t>
      </w:r>
      <w:r w:rsidR="00D07A21" w:rsidRPr="002D7F63">
        <w:rPr>
          <w:lang w:eastAsia="ja-JP"/>
        </w:rPr>
        <w:t>r</w:t>
      </w:r>
      <w:r w:rsidR="00504833" w:rsidRPr="002D7F63">
        <w:rPr>
          <w:lang w:eastAsia="ja-JP"/>
        </w:rPr>
        <w:t>eference case</w:t>
      </w:r>
      <w:r w:rsidRPr="002D7F63">
        <w:t xml:space="preserve"> </w:t>
      </w:r>
      <w:r w:rsidR="00D07A21" w:rsidRPr="002D7F63">
        <w:t>was</w:t>
      </w:r>
      <w:r w:rsidRPr="002D7F63">
        <w:t xml:space="preserve"> calculated as 0.973kg/m</w:t>
      </w:r>
      <w:r w:rsidRPr="002D7F63">
        <w:rPr>
          <w:vertAlign w:val="superscript"/>
        </w:rPr>
        <w:t>2</w:t>
      </w:r>
      <w:r w:rsidRPr="002D7F63">
        <w:t xml:space="preserve"> with 44.4m</w:t>
      </w:r>
      <w:r w:rsidRPr="002D7F63">
        <w:rPr>
          <w:vertAlign w:val="superscript"/>
        </w:rPr>
        <w:t>2</w:t>
      </w:r>
      <w:r w:rsidRPr="002D7F63">
        <w:t xml:space="preserve"> of </w:t>
      </w:r>
      <w:r w:rsidR="009E7BC6" w:rsidRPr="002D7F63">
        <w:t>waste occupied area</w:t>
      </w:r>
      <w:r w:rsidRPr="002D7F63">
        <w:t xml:space="preserve"> per vitrified waste unit</w:t>
      </w:r>
      <w:r w:rsidR="00D07A21" w:rsidRPr="002D7F63">
        <w:t>.</w:t>
      </w:r>
      <w:r w:rsidRPr="002D7F63">
        <w:t xml:space="preserve"> </w:t>
      </w:r>
      <w:r w:rsidR="00D07A21" w:rsidRPr="002D7F63">
        <w:t xml:space="preserve">When the higher CAERA was calculated in a certain condition, this indicates that </w:t>
      </w:r>
      <w:r w:rsidRPr="002D7F63">
        <w:t xml:space="preserve">more reduction effect </w:t>
      </w:r>
      <w:r w:rsidR="00D07A21" w:rsidRPr="002D7F63">
        <w:t>than the reference case can be expected</w:t>
      </w:r>
      <w:r w:rsidRPr="002D7F63">
        <w:t>.</w:t>
      </w:r>
      <w:r w:rsidR="00D07A21" w:rsidRPr="002D7F63">
        <w:t xml:space="preserve"> The</w:t>
      </w:r>
      <w:r w:rsidRPr="002D7F63">
        <w:t xml:space="preserve"> CAERA index value </w:t>
      </w:r>
      <w:r w:rsidR="009A27ED" w:rsidRPr="002D7F63">
        <w:t>was</w:t>
      </w:r>
      <w:r w:rsidRPr="002D7F63">
        <w:t xml:space="preserve"> calculated by </w:t>
      </w:r>
      <w:r w:rsidRPr="002D7F63">
        <w:rPr>
          <w:b/>
        </w:rPr>
        <w:t>Eq. (1)</w:t>
      </w:r>
      <w:r w:rsidRPr="002D7F63">
        <w:t>.</w:t>
      </w:r>
    </w:p>
    <w:p w14:paraId="6C7BFAFA" w14:textId="77777777" w:rsidR="00442865" w:rsidRPr="002D7F63" w:rsidRDefault="00442865" w:rsidP="00442865">
      <w:pPr>
        <w:rPr>
          <w:sz w:val="20"/>
          <w:lang w:eastAsia="ja-JP"/>
        </w:rPr>
      </w:pPr>
    </w:p>
    <w:p w14:paraId="6B0BC07C" w14:textId="16E533B5" w:rsidR="00442865" w:rsidRPr="002D7F63" w:rsidRDefault="00715AE8" w:rsidP="007401C7">
      <w:pPr>
        <w:jc w:val="center"/>
        <w:rPr>
          <w:b/>
          <w:sz w:val="20"/>
          <w:lang w:eastAsia="ja-JP"/>
        </w:rPr>
      </w:pPr>
      <w:r w:rsidRPr="002D7F63">
        <w:rPr>
          <w:b/>
          <w:noProof/>
          <w:sz w:val="20"/>
          <w:lang w:val="en-US"/>
        </w:rPr>
        <w:drawing>
          <wp:inline distT="0" distB="0" distL="0" distR="0" wp14:anchorId="312C67F3" wp14:editId="3C6D62A7">
            <wp:extent cx="5404449" cy="609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0608" cy="626086"/>
                    </a:xfrm>
                    <a:prstGeom prst="rect">
                      <a:avLst/>
                    </a:prstGeom>
                    <a:noFill/>
                  </pic:spPr>
                </pic:pic>
              </a:graphicData>
            </a:graphic>
          </wp:inline>
        </w:drawing>
      </w:r>
    </w:p>
    <w:p w14:paraId="183B8D8C" w14:textId="23811A00" w:rsidR="00EE0041" w:rsidRPr="002D7F63" w:rsidRDefault="00442865" w:rsidP="0026525A">
      <w:pPr>
        <w:pStyle w:val="2"/>
        <w:numPr>
          <w:ilvl w:val="1"/>
          <w:numId w:val="10"/>
        </w:numPr>
      </w:pPr>
      <w:r w:rsidRPr="002D7F63">
        <w:t>Results and discussions</w:t>
      </w:r>
    </w:p>
    <w:p w14:paraId="27CDEDDE" w14:textId="7A368695" w:rsidR="008B6BB9" w:rsidRPr="002D7F63" w:rsidRDefault="00442865" w:rsidP="00442865">
      <w:pPr>
        <w:pStyle w:val="3"/>
        <w:numPr>
          <w:ilvl w:val="2"/>
          <w:numId w:val="35"/>
        </w:numPr>
      </w:pPr>
      <w:r w:rsidRPr="002D7F63">
        <w:t xml:space="preserve">Effects of MA separation on </w:t>
      </w:r>
      <w:r w:rsidR="009948A3" w:rsidRPr="002D7F63">
        <w:t xml:space="preserve">the </w:t>
      </w:r>
      <w:r w:rsidR="00D07A21" w:rsidRPr="002D7F63">
        <w:rPr>
          <w:noProof/>
        </w:rPr>
        <w:t>surface</w:t>
      </w:r>
      <w:r w:rsidR="00D07A21" w:rsidRPr="002D7F63">
        <w:t xml:space="preserve"> temperature of </w:t>
      </w:r>
      <w:r w:rsidRPr="002D7F63">
        <w:t xml:space="preserve">buffer material in </w:t>
      </w:r>
      <w:r w:rsidR="0058289A" w:rsidRPr="002D7F63">
        <w:t xml:space="preserve">a </w:t>
      </w:r>
      <w:r w:rsidRPr="002D7F63">
        <w:rPr>
          <w:noProof/>
        </w:rPr>
        <w:t>geological</w:t>
      </w:r>
      <w:r w:rsidRPr="002D7F63">
        <w:t xml:space="preserve"> repository</w:t>
      </w:r>
    </w:p>
    <w:p w14:paraId="15848FC7" w14:textId="7064F1BC" w:rsidR="00D4387E" w:rsidRPr="002D7F63" w:rsidRDefault="00F1514D" w:rsidP="004A61A4">
      <w:pPr>
        <w:pStyle w:val="a1"/>
        <w:rPr>
          <w:lang w:eastAsia="ja-JP"/>
        </w:rPr>
      </w:pPr>
      <w:r w:rsidRPr="002D7F63">
        <w:t>The result</w:t>
      </w:r>
      <w:r w:rsidR="00D07A21" w:rsidRPr="002D7F63">
        <w:t>s</w:t>
      </w:r>
      <w:r w:rsidRPr="002D7F63">
        <w:t xml:space="preserve"> obtained </w:t>
      </w:r>
      <w:r w:rsidRPr="002D7F63">
        <w:rPr>
          <w:lang w:eastAsia="ja-JP"/>
        </w:rPr>
        <w:t>by</w:t>
      </w:r>
      <w:r w:rsidRPr="002D7F63">
        <w:t xml:space="preserve"> thermal analysis </w:t>
      </w:r>
      <w:r w:rsidR="00D07A21" w:rsidRPr="002D7F63">
        <w:t>are</w:t>
      </w:r>
      <w:r w:rsidRPr="002D7F63">
        <w:t xml:space="preserve"> shown in </w:t>
      </w:r>
      <w:r w:rsidRPr="002D7F63">
        <w:rPr>
          <w:b/>
        </w:rPr>
        <w:t>Fig. 1</w:t>
      </w:r>
      <w:r w:rsidR="00D4387E" w:rsidRPr="002D7F63">
        <w:t xml:space="preserve">. The restricted temperature </w:t>
      </w:r>
      <w:r w:rsidRPr="002D7F63">
        <w:t>was set as</w:t>
      </w:r>
      <w:r w:rsidR="00D4387E" w:rsidRPr="002D7F63">
        <w:t xml:space="preserve"> 100</w:t>
      </w:r>
      <m:oMath>
        <m:r>
          <m:rPr>
            <m:sty m:val="p"/>
          </m:rPr>
          <w:rPr>
            <w:rFonts w:ascii="Cambria Math" w:hAnsi="Cambria Math"/>
          </w:rPr>
          <m:t>℃</m:t>
        </m:r>
      </m:oMath>
      <w:r w:rsidR="00D07A21" w:rsidRPr="002D7F63">
        <w:rPr>
          <w:lang w:eastAsia="ja-JP"/>
        </w:rPr>
        <w:t xml:space="preserve"> as mentioned above</w:t>
      </w:r>
      <w:r w:rsidR="00D4387E" w:rsidRPr="002D7F63">
        <w:t>. This study is assuming vertical emplacement for</w:t>
      </w:r>
      <w:r w:rsidR="00D07A21" w:rsidRPr="002D7F63">
        <w:t xml:space="preserve"> spent</w:t>
      </w:r>
      <w:r w:rsidR="00D4387E" w:rsidRPr="002D7F63">
        <w:t xml:space="preserve"> UO</w:t>
      </w:r>
      <w:r w:rsidR="00D4387E" w:rsidRPr="002D7F63">
        <w:rPr>
          <w:vertAlign w:val="subscript"/>
        </w:rPr>
        <w:t>2</w:t>
      </w:r>
      <w:r w:rsidR="00D4387E" w:rsidRPr="002D7F63">
        <w:t xml:space="preserve"> and </w:t>
      </w:r>
      <w:r w:rsidR="00D07A21" w:rsidRPr="002D7F63">
        <w:t xml:space="preserve">spent </w:t>
      </w:r>
      <w:r w:rsidR="00D4387E" w:rsidRPr="002D7F63">
        <w:t xml:space="preserve">MOX disposal </w:t>
      </w:r>
      <w:r w:rsidR="004A61A4" w:rsidRPr="002D7F63">
        <w:t xml:space="preserve">with </w:t>
      </w:r>
      <w:r w:rsidR="00D4387E" w:rsidRPr="002D7F63">
        <w:t xml:space="preserve">high-waste-loading to investigate the possibility of </w:t>
      </w:r>
      <w:r w:rsidR="00D07A21" w:rsidRPr="002D7F63">
        <w:t xml:space="preserve">expansion of </w:t>
      </w:r>
      <w:r w:rsidR="00D4387E" w:rsidRPr="002D7F63">
        <w:t xml:space="preserve">the repository capacity without significant increase in </w:t>
      </w:r>
      <w:r w:rsidR="00D07A21" w:rsidRPr="002D7F63">
        <w:t xml:space="preserve">the </w:t>
      </w:r>
      <w:r w:rsidR="00D4387E" w:rsidRPr="002D7F63">
        <w:t xml:space="preserve">environmental impacts, therefore, taking this </w:t>
      </w:r>
      <w:r w:rsidR="00DE5050" w:rsidRPr="002D7F63">
        <w:t xml:space="preserve">restriction of </w:t>
      </w:r>
      <w:r w:rsidR="00D4387E" w:rsidRPr="002D7F63">
        <w:t xml:space="preserve">temperature into consideration </w:t>
      </w:r>
      <w:r w:rsidR="009A27ED" w:rsidRPr="002D7F63">
        <w:t xml:space="preserve">was </w:t>
      </w:r>
      <w:r w:rsidR="00D4387E" w:rsidRPr="002D7F63">
        <w:t>necessary</w:t>
      </w:r>
      <w:r w:rsidR="004A61A4" w:rsidRPr="002D7F63">
        <w:t>.</w:t>
      </w:r>
    </w:p>
    <w:p w14:paraId="65E97337" w14:textId="5EA0A3B6" w:rsidR="00715AE8" w:rsidRPr="002D7F63" w:rsidRDefault="00715AE8" w:rsidP="00715AE8">
      <w:pPr>
        <w:pStyle w:val="a1"/>
      </w:pPr>
      <w:r w:rsidRPr="002D7F63">
        <w:rPr>
          <w:b/>
        </w:rPr>
        <w:t>Fig. 1 (a)</w:t>
      </w:r>
      <w:r w:rsidRPr="002D7F63">
        <w:t xml:space="preserve"> shows the time course of buffer surface temperature in case the disposal of vitrified waste form from 50, 100-years-cooled UO</w:t>
      </w:r>
      <w:r w:rsidRPr="002D7F63">
        <w:rPr>
          <w:vertAlign w:val="subscript"/>
        </w:rPr>
        <w:t>2</w:t>
      </w:r>
      <w:r w:rsidRPr="002D7F63">
        <w:t xml:space="preserve"> SF with 30wt% waste loading.</w:t>
      </w:r>
      <w:r w:rsidR="00223B86" w:rsidRPr="002D7F63">
        <w:t xml:space="preserve"> The temperature amounted to 150</w:t>
      </w:r>
      <m:oMath>
        <m:r>
          <m:rPr>
            <m:sty m:val="p"/>
          </m:rPr>
          <w:rPr>
            <w:rFonts w:ascii="Cambria Math" w:hAnsi="Cambria Math"/>
          </w:rPr>
          <m:t>℃</m:t>
        </m:r>
      </m:oMath>
      <w:r w:rsidR="00223B86" w:rsidRPr="002D7F63">
        <w:t xml:space="preserve"> around 400 years after disposal in case of 50- and 100-year-cooled SF with 0% of MA separation, and it is below 100</w:t>
      </w:r>
      <m:oMath>
        <m:r>
          <m:rPr>
            <m:sty m:val="p"/>
          </m:rPr>
          <w:rPr>
            <w:rFonts w:ascii="Cambria Math" w:hAnsi="Cambria Math"/>
          </w:rPr>
          <m:t>℃</m:t>
        </m:r>
      </m:oMath>
      <w:r w:rsidR="00223B86" w:rsidRPr="002D7F63">
        <w:t xml:space="preserve"> after 70% and 90% of MA separation. This shows that MA contributes to the heat generation rate after 400 years of disposal and separation of MA more than 70% is effective to reduce the heat generation rate. </w:t>
      </w:r>
      <w:r w:rsidRPr="002D7F63">
        <w:t xml:space="preserve">This case reveals that it is impossible to </w:t>
      </w:r>
      <w:r w:rsidRPr="002D7F63">
        <w:rPr>
          <w:noProof/>
        </w:rPr>
        <w:t>dispose of</w:t>
      </w:r>
      <w:r w:rsidRPr="002D7F63">
        <w:t xml:space="preserve"> the vitrified waste without MA separation even after 100 years of cooling </w:t>
      </w:r>
      <w:r w:rsidR="00223B86" w:rsidRPr="002D7F63">
        <w:t xml:space="preserve">with high-waste-loading </w:t>
      </w:r>
      <w:r w:rsidRPr="002D7F63">
        <w:t xml:space="preserve">due to the decay heat from </w:t>
      </w:r>
      <w:r w:rsidRPr="002D7F63">
        <w:rPr>
          <w:vertAlign w:val="superscript"/>
        </w:rPr>
        <w:t>241</w:t>
      </w:r>
      <w:r w:rsidRPr="002D7F63">
        <w:t>Am, and decay heat removal by 70% of MA separation would be effective to reduce the temperature of the buffer material.</w:t>
      </w:r>
      <w:r w:rsidRPr="002D7F63">
        <w:rPr>
          <w:lang w:eastAsia="ja-JP"/>
        </w:rPr>
        <w:t xml:space="preserve"> 90% of MA separation contributes to a further reduction of the heat generation rate.</w:t>
      </w:r>
      <w:r w:rsidR="00DE5050" w:rsidRPr="002D7F63">
        <w:rPr>
          <w:lang w:eastAsia="ja-JP"/>
        </w:rPr>
        <w:t xml:space="preserve"> </w:t>
      </w:r>
      <w:r w:rsidRPr="002D7F63">
        <w:rPr>
          <w:b/>
        </w:rPr>
        <w:t>Fig. 1 (b)</w:t>
      </w:r>
      <w:r w:rsidRPr="002D7F63">
        <w:t xml:space="preserve"> shows the result in </w:t>
      </w:r>
      <w:r w:rsidR="00B068EC" w:rsidRPr="002D7F63">
        <w:t xml:space="preserve">the </w:t>
      </w:r>
      <w:r w:rsidRPr="002D7F63">
        <w:rPr>
          <w:noProof/>
        </w:rPr>
        <w:t>case</w:t>
      </w:r>
      <w:r w:rsidRPr="002D7F63">
        <w:t xml:space="preserve"> of 50, 100-year-cooled </w:t>
      </w:r>
      <w:r w:rsidR="00DE5050" w:rsidRPr="002D7F63">
        <w:t xml:space="preserve">spent </w:t>
      </w:r>
      <w:r w:rsidRPr="002D7F63">
        <w:t xml:space="preserve">MOX </w:t>
      </w:r>
      <w:r w:rsidR="00DE5050" w:rsidRPr="002D7F63">
        <w:t>fuels</w:t>
      </w:r>
      <w:r w:rsidRPr="002D7F63">
        <w:t xml:space="preserve"> with 25wt% waste loading. The maximum temperature of the buffer material surface was 669</w:t>
      </w:r>
      <m:oMath>
        <m:r>
          <m:rPr>
            <m:sty m:val="p"/>
          </m:rPr>
          <w:rPr>
            <w:rFonts w:ascii="Cambria Math" w:hAnsi="Cambria Math"/>
          </w:rPr>
          <m:t>℃</m:t>
        </m:r>
      </m:oMath>
      <w:r w:rsidRPr="002D7F63">
        <w:t xml:space="preserve"> for 50-year-cooled</w:t>
      </w:r>
      <w:r w:rsidR="00DE5050" w:rsidRPr="002D7F63">
        <w:t xml:space="preserve"> spent </w:t>
      </w:r>
      <w:r w:rsidRPr="002D7F63">
        <w:t xml:space="preserve">MOX </w:t>
      </w:r>
      <w:r w:rsidR="00DE5050" w:rsidRPr="002D7F63">
        <w:t>fuel</w:t>
      </w:r>
      <w:r w:rsidRPr="002D7F63">
        <w:t xml:space="preserve"> case. In contrast, the maximum temperature of the buffer material surface was 153℃ for 50-year-cooled</w:t>
      </w:r>
      <w:r w:rsidR="00DE5050" w:rsidRPr="002D7F63">
        <w:t xml:space="preserve"> spent</w:t>
      </w:r>
      <w:r w:rsidRPr="002D7F63">
        <w:t xml:space="preserve"> UO</w:t>
      </w:r>
      <w:r w:rsidRPr="002D7F63">
        <w:rPr>
          <w:vertAlign w:val="subscript"/>
        </w:rPr>
        <w:t>2</w:t>
      </w:r>
      <w:r w:rsidRPr="002D7F63">
        <w:t xml:space="preserve"> </w:t>
      </w:r>
      <w:r w:rsidR="00DE5050" w:rsidRPr="002D7F63">
        <w:t>fuels</w:t>
      </w:r>
      <w:r w:rsidRPr="002D7F63">
        <w:t xml:space="preserve"> </w:t>
      </w:r>
      <w:r w:rsidR="00DE5050" w:rsidRPr="002D7F63">
        <w:t xml:space="preserve">with </w:t>
      </w:r>
      <w:r w:rsidRPr="002D7F63">
        <w:t>30wt% waste loading. It is obvious that its heat generation rate</w:t>
      </w:r>
      <w:r w:rsidR="00DE5050" w:rsidRPr="002D7F63">
        <w:t xml:space="preserve"> is</w:t>
      </w:r>
      <w:r w:rsidRPr="002D7F63">
        <w:t xml:space="preserve"> significantly higher than that of UO</w:t>
      </w:r>
      <w:r w:rsidRPr="002D7F63">
        <w:rPr>
          <w:vertAlign w:val="subscript"/>
        </w:rPr>
        <w:t>2</w:t>
      </w:r>
      <w:r w:rsidRPr="002D7F63">
        <w:t xml:space="preserve"> although reducing 5wt% of waste loading compared to UO</w:t>
      </w:r>
      <w:r w:rsidRPr="002D7F63">
        <w:rPr>
          <w:vertAlign w:val="subscript"/>
        </w:rPr>
        <w:t>2</w:t>
      </w:r>
      <w:r w:rsidRPr="002D7F63">
        <w:t xml:space="preserve"> fuel</w:t>
      </w:r>
      <w:r w:rsidR="00DE5050" w:rsidRPr="002D7F63">
        <w:t>s</w:t>
      </w:r>
      <w:r w:rsidRPr="002D7F63">
        <w:t>.</w:t>
      </w:r>
      <w:r w:rsidR="00DE5050" w:rsidRPr="002D7F63">
        <w:t xml:space="preserve"> </w:t>
      </w:r>
      <w:r w:rsidRPr="002D7F63">
        <w:t>This suggests that unlike</w:t>
      </w:r>
      <w:r w:rsidR="00DE5050" w:rsidRPr="002D7F63">
        <w:t xml:space="preserve"> spent</w:t>
      </w:r>
      <w:r w:rsidRPr="002D7F63">
        <w:t xml:space="preserve"> UO</w:t>
      </w:r>
      <w:r w:rsidRPr="002D7F63">
        <w:rPr>
          <w:vertAlign w:val="subscript"/>
        </w:rPr>
        <w:t>2</w:t>
      </w:r>
      <w:r w:rsidRPr="002D7F63">
        <w:t xml:space="preserve"> fuel</w:t>
      </w:r>
      <w:r w:rsidR="00DE5050" w:rsidRPr="002D7F63">
        <w:t>s</w:t>
      </w:r>
      <w:r w:rsidRPr="002D7F63">
        <w:t xml:space="preserve">, </w:t>
      </w:r>
      <w:r w:rsidR="009948A3" w:rsidRPr="002D7F63">
        <w:t xml:space="preserve">the </w:t>
      </w:r>
      <w:r w:rsidR="00DE5050" w:rsidRPr="002D7F63">
        <w:rPr>
          <w:noProof/>
        </w:rPr>
        <w:t>surface</w:t>
      </w:r>
      <w:r w:rsidR="00DE5050" w:rsidRPr="002D7F63">
        <w:t xml:space="preserve"> temperature of </w:t>
      </w:r>
      <w:r w:rsidRPr="002D7F63">
        <w:t>buffer material will not go below 100</w:t>
      </w:r>
      <m:oMath>
        <m:r>
          <m:rPr>
            <m:sty m:val="p"/>
          </m:rPr>
          <w:rPr>
            <w:rFonts w:ascii="Cambria Math" w:hAnsi="Cambria Math"/>
          </w:rPr>
          <m:t>℃</m:t>
        </m:r>
      </m:oMath>
      <w:r w:rsidRPr="002D7F63">
        <w:t xml:space="preserve"> </w:t>
      </w:r>
      <w:r w:rsidR="00DE5050" w:rsidRPr="002D7F63">
        <w:t>even if</w:t>
      </w:r>
      <w:r w:rsidRPr="002D7F63">
        <w:t xml:space="preserve"> 90% of MA separation for</w:t>
      </w:r>
      <w:r w:rsidR="00DE5050" w:rsidRPr="002D7F63">
        <w:t xml:space="preserve"> spent</w:t>
      </w:r>
      <w:r w:rsidRPr="002D7F63">
        <w:t xml:space="preserve"> MOX fuel</w:t>
      </w:r>
      <w:r w:rsidR="00DE5050" w:rsidRPr="002D7F63">
        <w:t>s</w:t>
      </w:r>
      <w:r w:rsidRPr="002D7F63">
        <w:t>. Therefore, when considering high-waste-loading vitrified waste from</w:t>
      </w:r>
      <w:r w:rsidR="00DE5050" w:rsidRPr="002D7F63">
        <w:t xml:space="preserve"> spent</w:t>
      </w:r>
      <w:r w:rsidRPr="002D7F63">
        <w:t xml:space="preserve"> MOX fuel</w:t>
      </w:r>
      <w:r w:rsidR="00DE5050" w:rsidRPr="002D7F63">
        <w:t>s</w:t>
      </w:r>
      <w:r w:rsidRPr="002D7F63">
        <w:t>, estimation of MA separation more than 90% is necessary or consideration of less loading vitrified waste is needed.</w:t>
      </w:r>
    </w:p>
    <w:p w14:paraId="3DDF93EE" w14:textId="77777777" w:rsidR="004A61A4" w:rsidRPr="002D7F63" w:rsidRDefault="004A61A4" w:rsidP="004A61A4">
      <w:pPr>
        <w:pStyle w:val="a1"/>
      </w:pPr>
    </w:p>
    <w:p w14:paraId="775CBB47" w14:textId="4332E613" w:rsidR="003148D5" w:rsidRPr="002D7F63" w:rsidRDefault="00D4387E" w:rsidP="00C73C92">
      <w:pPr>
        <w:pStyle w:val="a1"/>
        <w:ind w:firstLine="0"/>
        <w:jc w:val="center"/>
      </w:pPr>
      <w:r w:rsidRPr="002D7F63">
        <w:rPr>
          <w:noProof/>
          <w:lang w:val="en-US"/>
        </w:rPr>
        <mc:AlternateContent>
          <mc:Choice Requires="wps">
            <w:drawing>
              <wp:anchor distT="0" distB="0" distL="114300" distR="114300" simplePos="0" relativeHeight="251662336" behindDoc="0" locked="0" layoutInCell="1" allowOverlap="1" wp14:anchorId="212031E5" wp14:editId="1C180C19">
                <wp:simplePos x="0" y="0"/>
                <wp:positionH relativeFrom="margin">
                  <wp:posOffset>46990</wp:posOffset>
                </wp:positionH>
                <wp:positionV relativeFrom="paragraph">
                  <wp:posOffset>2267585</wp:posOffset>
                </wp:positionV>
                <wp:extent cx="5664200" cy="635"/>
                <wp:effectExtent l="0" t="0" r="0" b="6985"/>
                <wp:wrapTopAndBottom/>
                <wp:docPr id="5" name="Text Box 2"/>
                <wp:cNvGraphicFramePr/>
                <a:graphic xmlns:a="http://schemas.openxmlformats.org/drawingml/2006/main">
                  <a:graphicData uri="http://schemas.microsoft.com/office/word/2010/wordprocessingShape">
                    <wps:wsp>
                      <wps:cNvSpPr txBox="1"/>
                      <wps:spPr>
                        <a:xfrm>
                          <a:off x="0" y="0"/>
                          <a:ext cx="5664200" cy="635"/>
                        </a:xfrm>
                        <a:prstGeom prst="rect">
                          <a:avLst/>
                        </a:prstGeom>
                        <a:solidFill>
                          <a:prstClr val="white"/>
                        </a:solidFill>
                        <a:ln>
                          <a:noFill/>
                        </a:ln>
                        <a:effectLst/>
                      </wps:spPr>
                      <wps:txbx>
                        <w:txbxContent>
                          <w:p w14:paraId="2633D44D" w14:textId="6B07EE22" w:rsidR="00163101" w:rsidRPr="00802381" w:rsidRDefault="00163101" w:rsidP="00641BAC">
                            <w:pPr>
                              <w:pStyle w:val="a7"/>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52501F">
                              <w:rPr>
                                <w:i/>
                                <w:noProof/>
                              </w:rPr>
                              <w:t>1</w:t>
                            </w:r>
                            <w:r w:rsidRPr="00802381">
                              <w:rPr>
                                <w:i/>
                              </w:rPr>
                              <w:fldChar w:fldCharType="end"/>
                            </w:r>
                            <w:r>
                              <w:rPr>
                                <w:i/>
                              </w:rPr>
                              <w:t xml:space="preserve">. </w:t>
                            </w:r>
                            <w:r w:rsidRPr="00D4387E">
                              <w:rPr>
                                <w:i/>
                              </w:rPr>
                              <w:t>Temperature of buffer material around the vitrified waste form: (a) UO</w:t>
                            </w:r>
                            <w:r w:rsidRPr="00D4387E">
                              <w:rPr>
                                <w:i/>
                                <w:vertAlign w:val="subscript"/>
                              </w:rPr>
                              <w:t>2</w:t>
                            </w:r>
                            <w:r w:rsidRPr="00D4387E">
                              <w:rPr>
                                <w:i/>
                              </w:rPr>
                              <w:t xml:space="preserve"> 30wt% waste loading (50, 100 years cooling), (b) MOX 25wt% waste loading (50, 100 years cooling)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2031E5" id="_x0000_t202" coordsize="21600,21600" o:spt="202" path="m,l,21600r21600,l21600,xe">
                <v:stroke joinstyle="miter"/>
                <v:path gradientshapeok="t" o:connecttype="rect"/>
              </v:shapetype>
              <v:shape id="Text Box 2" o:spid="_x0000_s1026" type="#_x0000_t202" style="position:absolute;left:0;text-align:left;margin-left:3.7pt;margin-top:178.55pt;width:446pt;height:.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" stroked="f">
                <v:textbox style="mso-fit-shape-to-text:t" inset="0,0,0,0">
                  <w:txbxContent>
                    <w:p w14:paraId="2633D44D" w14:textId="6B07EE22" w:rsidR="00163101" w:rsidRPr="00802381" w:rsidRDefault="00163101" w:rsidP="00641BAC">
                      <w:pPr>
                        <w:pStyle w:val="a7"/>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52501F">
                        <w:rPr>
                          <w:i/>
                          <w:noProof/>
                        </w:rPr>
                        <w:t>1</w:t>
                      </w:r>
                      <w:r w:rsidRPr="00802381">
                        <w:rPr>
                          <w:i/>
                        </w:rPr>
                        <w:fldChar w:fldCharType="end"/>
                      </w:r>
                      <w:r>
                        <w:rPr>
                          <w:i/>
                        </w:rPr>
                        <w:t xml:space="preserve">. </w:t>
                      </w:r>
                      <w:r w:rsidRPr="00D4387E">
                        <w:rPr>
                          <w:i/>
                        </w:rPr>
                        <w:t>Temperature of buffer material around the vitrified waste form: (a) UO</w:t>
                      </w:r>
                      <w:r w:rsidRPr="00D4387E">
                        <w:rPr>
                          <w:i/>
                          <w:vertAlign w:val="subscript"/>
                        </w:rPr>
                        <w:t>2</w:t>
                      </w:r>
                      <w:r w:rsidRPr="00D4387E">
                        <w:rPr>
                          <w:i/>
                        </w:rPr>
                        <w:t xml:space="preserve"> 30wt% waste loading (50, 100 years cooling), (b) MOX 25wt% waste loading (50, 100 years cooling)</w:t>
                      </w:r>
                    </w:p>
                  </w:txbxContent>
                </v:textbox>
                <w10:wrap type="topAndBottom" anchorx="margin"/>
              </v:shape>
            </w:pict>
          </mc:Fallback>
        </mc:AlternateContent>
      </w:r>
      <w:r w:rsidRPr="002D7F63">
        <w:rPr>
          <w:noProof/>
          <w:lang w:val="en-US"/>
        </w:rPr>
        <w:drawing>
          <wp:inline distT="0" distB="0" distL="0" distR="0" wp14:anchorId="4927F891" wp14:editId="018B9391">
            <wp:extent cx="5578475" cy="2152015"/>
            <wp:effectExtent l="0" t="0" r="317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8475" cy="2152015"/>
                    </a:xfrm>
                    <a:prstGeom prst="rect">
                      <a:avLst/>
                    </a:prstGeom>
                    <a:noFill/>
                  </pic:spPr>
                </pic:pic>
              </a:graphicData>
            </a:graphic>
          </wp:inline>
        </w:drawing>
      </w:r>
    </w:p>
    <w:p w14:paraId="27BD1A90" w14:textId="16D5B4CA" w:rsidR="00442865" w:rsidRPr="002D7F63" w:rsidRDefault="00442865" w:rsidP="00442865">
      <w:pPr>
        <w:pStyle w:val="3"/>
        <w:numPr>
          <w:ilvl w:val="2"/>
          <w:numId w:val="35"/>
        </w:numPr>
      </w:pPr>
      <w:r w:rsidRPr="002D7F63">
        <w:t xml:space="preserve">Effects of MA separation on </w:t>
      </w:r>
      <w:r w:rsidR="009E7BC6" w:rsidRPr="002D7F63">
        <w:t>waste occupied area</w:t>
      </w:r>
      <w:r w:rsidRPr="002D7F63">
        <w:t xml:space="preserve"> reduction</w:t>
      </w:r>
    </w:p>
    <w:p w14:paraId="2D0AF868" w14:textId="5C03CF37" w:rsidR="00CA7A38" w:rsidRPr="002D7F63" w:rsidRDefault="00016996" w:rsidP="00CA7A38">
      <w:pPr>
        <w:pStyle w:val="a1"/>
      </w:pPr>
      <w:r w:rsidRPr="002D7F63">
        <w:t>T</w:t>
      </w:r>
      <w:r w:rsidR="006F1287" w:rsidRPr="002D7F63">
        <w:t xml:space="preserve">he </w:t>
      </w:r>
      <w:r w:rsidRPr="002D7F63">
        <w:t xml:space="preserve">heat generation </w:t>
      </w:r>
      <w:r w:rsidR="006F1287" w:rsidRPr="002D7F63">
        <w:t xml:space="preserve">rate </w:t>
      </w:r>
      <w:r w:rsidR="00A772CB" w:rsidRPr="002D7F63">
        <w:t>and buffer materia</w:t>
      </w:r>
      <w:r w:rsidR="00504833" w:rsidRPr="002D7F63">
        <w:t>l</w:t>
      </w:r>
      <w:r w:rsidR="00504833" w:rsidRPr="002D7F63">
        <w:rPr>
          <w:lang w:eastAsia="ja-JP"/>
        </w:rPr>
        <w:t xml:space="preserve"> </w:t>
      </w:r>
      <w:r w:rsidR="00EC54EE" w:rsidRPr="002D7F63">
        <w:rPr>
          <w:lang w:eastAsia="ja-JP"/>
        </w:rPr>
        <w:t xml:space="preserve">surface </w:t>
      </w:r>
      <w:r w:rsidR="00435FA7" w:rsidRPr="002D7F63">
        <w:t xml:space="preserve">temperature </w:t>
      </w:r>
      <w:r w:rsidR="00304E93" w:rsidRPr="002D7F63">
        <w:t>we</w:t>
      </w:r>
      <w:r w:rsidR="00A772CB" w:rsidRPr="002D7F63">
        <w:t>re reduced by MA separation as shown in S</w:t>
      </w:r>
      <w:r w:rsidR="009C1E22" w:rsidRPr="002D7F63">
        <w:t>ECTION</w:t>
      </w:r>
      <w:r w:rsidR="00A772CB" w:rsidRPr="002D7F63">
        <w:t xml:space="preserve"> 3.1. </w:t>
      </w:r>
      <w:r w:rsidR="007F65ED" w:rsidRPr="002D7F63">
        <w:t xml:space="preserve">However, </w:t>
      </w:r>
      <w:r w:rsidR="00B068EC" w:rsidRPr="002D7F63">
        <w:t xml:space="preserve">the </w:t>
      </w:r>
      <w:r w:rsidR="007F65ED" w:rsidRPr="002D7F63">
        <w:rPr>
          <w:noProof/>
        </w:rPr>
        <w:t>effects</w:t>
      </w:r>
      <w:r w:rsidR="007F65ED" w:rsidRPr="002D7F63">
        <w:t xml:space="preserve"> </w:t>
      </w:r>
      <w:r w:rsidR="009948A3" w:rsidRPr="002D7F63">
        <w:rPr>
          <w:noProof/>
        </w:rPr>
        <w:t>of</w:t>
      </w:r>
      <w:r w:rsidR="007F65ED" w:rsidRPr="002D7F63">
        <w:t xml:space="preserve"> the </w:t>
      </w:r>
      <w:r w:rsidR="009E7BC6" w:rsidRPr="002D7F63">
        <w:t>waste occupied area</w:t>
      </w:r>
      <w:r w:rsidR="007F65ED" w:rsidRPr="002D7F63">
        <w:t xml:space="preserve"> of the geological disposal cannot be </w:t>
      </w:r>
      <w:r w:rsidR="003A01EA" w:rsidRPr="002D7F63">
        <w:t>determined</w:t>
      </w:r>
      <w:r w:rsidR="00304E93" w:rsidRPr="002D7F63">
        <w:t xml:space="preserve"> by the results</w:t>
      </w:r>
      <w:r w:rsidR="007F65ED" w:rsidRPr="002D7F63">
        <w:t xml:space="preserve">. </w:t>
      </w:r>
      <w:r w:rsidR="00435FA7" w:rsidRPr="002D7F63">
        <w:rPr>
          <w:lang w:eastAsia="ja-JP"/>
        </w:rPr>
        <w:t xml:space="preserve">Therefore, </w:t>
      </w:r>
      <w:r w:rsidR="00560AD9" w:rsidRPr="002D7F63">
        <w:rPr>
          <w:lang w:eastAsia="ja-JP"/>
        </w:rPr>
        <w:t>heat transfer calculations were conducted assuming 5 different waste occupied area: (1) 44.4m</w:t>
      </w:r>
      <w:r w:rsidR="00560AD9" w:rsidRPr="002D7F63">
        <w:rPr>
          <w:vertAlign w:val="superscript"/>
          <w:lang w:eastAsia="ja-JP"/>
        </w:rPr>
        <w:t>2</w:t>
      </w:r>
      <w:r w:rsidR="00560AD9" w:rsidRPr="002D7F63">
        <w:rPr>
          <w:lang w:eastAsia="ja-JP"/>
        </w:rPr>
        <w:t>, (2) 75m</w:t>
      </w:r>
      <w:r w:rsidR="00560AD9" w:rsidRPr="002D7F63">
        <w:rPr>
          <w:vertAlign w:val="superscript"/>
          <w:lang w:eastAsia="ja-JP"/>
        </w:rPr>
        <w:t>2</w:t>
      </w:r>
      <w:r w:rsidR="00560AD9" w:rsidRPr="002D7F63">
        <w:rPr>
          <w:lang w:eastAsia="ja-JP"/>
        </w:rPr>
        <w:t>, (3) 100</w:t>
      </w:r>
      <w:r w:rsidR="004E36D9" w:rsidRPr="002D7F63">
        <w:rPr>
          <w:lang w:eastAsia="ja-JP"/>
        </w:rPr>
        <w:t>m</w:t>
      </w:r>
      <w:r w:rsidR="004E36D9" w:rsidRPr="002D7F63">
        <w:rPr>
          <w:vertAlign w:val="superscript"/>
          <w:lang w:eastAsia="ja-JP"/>
        </w:rPr>
        <w:t>2</w:t>
      </w:r>
      <w:r w:rsidR="004E36D9" w:rsidRPr="002D7F63">
        <w:rPr>
          <w:lang w:eastAsia="ja-JP"/>
        </w:rPr>
        <w:t>, (4) 200m</w:t>
      </w:r>
      <w:r w:rsidR="004E36D9" w:rsidRPr="002D7F63">
        <w:rPr>
          <w:vertAlign w:val="superscript"/>
          <w:lang w:eastAsia="ja-JP"/>
        </w:rPr>
        <w:t>2</w:t>
      </w:r>
      <w:r w:rsidR="004E36D9" w:rsidRPr="002D7F63">
        <w:rPr>
          <w:lang w:eastAsia="ja-JP"/>
        </w:rPr>
        <w:t>, (5) 300m</w:t>
      </w:r>
      <w:r w:rsidR="004E36D9" w:rsidRPr="002D7F63">
        <w:rPr>
          <w:vertAlign w:val="superscript"/>
          <w:lang w:eastAsia="ja-JP"/>
        </w:rPr>
        <w:t>2</w:t>
      </w:r>
      <w:r w:rsidR="004E36D9" w:rsidRPr="002D7F63">
        <w:rPr>
          <w:lang w:eastAsia="ja-JP"/>
        </w:rPr>
        <w:t xml:space="preserve">. </w:t>
      </w:r>
      <w:r w:rsidR="00CA7A38" w:rsidRPr="002D7F63">
        <w:rPr>
          <w:b/>
        </w:rPr>
        <w:t>Fig</w:t>
      </w:r>
      <w:r w:rsidR="009C1E22" w:rsidRPr="002D7F63">
        <w:rPr>
          <w:b/>
        </w:rPr>
        <w:t>.</w:t>
      </w:r>
      <w:r w:rsidR="009C1E22" w:rsidRPr="002D7F63">
        <w:t xml:space="preserve"> </w:t>
      </w:r>
      <w:r w:rsidR="007F65ED" w:rsidRPr="002D7F63">
        <w:rPr>
          <w:b/>
        </w:rPr>
        <w:t>2</w:t>
      </w:r>
      <w:r w:rsidR="007F65ED" w:rsidRPr="002D7F63">
        <w:t xml:space="preserve"> shows the </w:t>
      </w:r>
      <w:r w:rsidR="004E36D9" w:rsidRPr="002D7F63">
        <w:t>results for both</w:t>
      </w:r>
      <w:r w:rsidR="00DE5050" w:rsidRPr="002D7F63">
        <w:t xml:space="preserve"> spent</w:t>
      </w:r>
      <w:r w:rsidR="004E36D9" w:rsidRPr="002D7F63">
        <w:t xml:space="preserve"> UO</w:t>
      </w:r>
      <w:r w:rsidR="004E36D9" w:rsidRPr="002D7F63">
        <w:rPr>
          <w:vertAlign w:val="subscript"/>
        </w:rPr>
        <w:t>2</w:t>
      </w:r>
      <w:r w:rsidR="004E36D9" w:rsidRPr="002D7F63">
        <w:t xml:space="preserve"> and MOX fuels</w:t>
      </w:r>
      <w:r w:rsidR="00624089" w:rsidRPr="002D7F63">
        <w:t xml:space="preserve">. </w:t>
      </w:r>
      <w:r w:rsidR="00DE5050" w:rsidRPr="002D7F63">
        <w:t>S</w:t>
      </w:r>
      <w:r w:rsidR="00AF24C6" w:rsidRPr="002D7F63">
        <w:t>ince UO</w:t>
      </w:r>
      <w:r w:rsidR="00AF24C6" w:rsidRPr="002D7F63">
        <w:rPr>
          <w:vertAlign w:val="subscript"/>
        </w:rPr>
        <w:t>2</w:t>
      </w:r>
      <w:r w:rsidR="00AF24C6" w:rsidRPr="002D7F63">
        <w:t xml:space="preserve"> fuel and MOX fuels characteristics are different, the result of 4</w:t>
      </w:r>
      <w:r w:rsidR="0099553D" w:rsidRPr="002D7F63">
        <w:t xml:space="preserve">-year-cooled </w:t>
      </w:r>
      <w:r w:rsidR="00DE5050" w:rsidRPr="002D7F63">
        <w:t xml:space="preserve">spent </w:t>
      </w:r>
      <w:r w:rsidR="0099553D" w:rsidRPr="002D7F63">
        <w:t xml:space="preserve">MOX </w:t>
      </w:r>
      <w:r w:rsidR="00DE5050" w:rsidRPr="002D7F63">
        <w:t>fuels</w:t>
      </w:r>
      <w:r w:rsidR="00AF24C6" w:rsidRPr="002D7F63">
        <w:t xml:space="preserve"> with 16wt% with no-MA separation was </w:t>
      </w:r>
      <w:r w:rsidR="00DE5050" w:rsidRPr="002D7F63">
        <w:t>set</w:t>
      </w:r>
      <w:r w:rsidR="00AF24C6" w:rsidRPr="002D7F63">
        <w:t xml:space="preserve"> as a </w:t>
      </w:r>
      <w:r w:rsidR="00EC3FA5" w:rsidRPr="002D7F63">
        <w:t>reference case</w:t>
      </w:r>
      <w:r w:rsidR="00AF24C6" w:rsidRPr="002D7F63">
        <w:t xml:space="preserve"> to </w:t>
      </w:r>
      <w:r w:rsidR="00DE5050" w:rsidRPr="002D7F63">
        <w:t xml:space="preserve">discuss the </w:t>
      </w:r>
      <w:r w:rsidR="00AF24C6" w:rsidRPr="002D7F63">
        <w:t xml:space="preserve">results of </w:t>
      </w:r>
      <w:r w:rsidR="00DE5050" w:rsidRPr="002D7F63">
        <w:t xml:space="preserve">spent </w:t>
      </w:r>
      <w:r w:rsidR="00AF24C6" w:rsidRPr="002D7F63">
        <w:t>MOX fuel</w:t>
      </w:r>
      <w:r w:rsidR="00DE5050" w:rsidRPr="002D7F63">
        <w:t>s</w:t>
      </w:r>
      <w:r w:rsidR="00AF24C6" w:rsidRPr="002D7F63">
        <w:t xml:space="preserve"> (</w:t>
      </w:r>
      <w:r w:rsidR="00AF24C6" w:rsidRPr="002D7F63">
        <w:rPr>
          <w:b/>
        </w:rPr>
        <w:t>Figs. 2(c) – 2(e)</w:t>
      </w:r>
      <w:r w:rsidR="00AF24C6" w:rsidRPr="002D7F63">
        <w:t xml:space="preserve">). For this </w:t>
      </w:r>
      <w:r w:rsidR="00EC3FA5" w:rsidRPr="002D7F63">
        <w:t>reference case</w:t>
      </w:r>
      <w:r w:rsidR="00AF24C6" w:rsidRPr="002D7F63">
        <w:t xml:space="preserve"> for</w:t>
      </w:r>
      <w:r w:rsidR="00DE5050" w:rsidRPr="002D7F63">
        <w:t xml:space="preserve"> spent</w:t>
      </w:r>
      <w:r w:rsidR="00AF24C6" w:rsidRPr="002D7F63">
        <w:t xml:space="preserve"> MOX fuel</w:t>
      </w:r>
      <w:r w:rsidR="00DE5050" w:rsidRPr="002D7F63">
        <w:t>s</w:t>
      </w:r>
      <w:r w:rsidR="00AF24C6" w:rsidRPr="002D7F63">
        <w:t>, the minimum waste occupied area was</w:t>
      </w:r>
      <w:r w:rsidR="00DE5050" w:rsidRPr="002D7F63">
        <w:t xml:space="preserve"> calculated as</w:t>
      </w:r>
      <w:r w:rsidR="00AF24C6" w:rsidRPr="002D7F63">
        <w:t xml:space="preserve"> 125m</w:t>
      </w:r>
      <w:r w:rsidR="00AF24C6" w:rsidRPr="002D7F63">
        <w:rPr>
          <w:vertAlign w:val="superscript"/>
        </w:rPr>
        <w:t>2</w:t>
      </w:r>
      <w:r w:rsidR="00AF24C6" w:rsidRPr="002D7F63">
        <w:t>.</w:t>
      </w:r>
      <w:r w:rsidR="00DE5050" w:rsidRPr="002D7F63">
        <w:t xml:space="preserve"> </w:t>
      </w:r>
      <w:r w:rsidR="00CA7A38" w:rsidRPr="002D7F63">
        <w:rPr>
          <w:b/>
        </w:rPr>
        <w:t>Fig. 2 (a)</w:t>
      </w:r>
      <w:r w:rsidR="004E36D9" w:rsidRPr="002D7F63">
        <w:rPr>
          <w:b/>
        </w:rPr>
        <w:t xml:space="preserve"> </w:t>
      </w:r>
      <w:r w:rsidR="00CA7A38" w:rsidRPr="002D7F63">
        <w:t>shows that 70</w:t>
      </w:r>
      <w:r w:rsidR="00304E93" w:rsidRPr="002D7F63">
        <w:t>%</w:t>
      </w:r>
      <w:r w:rsidR="00CA7A38" w:rsidRPr="002D7F63">
        <w:t xml:space="preserve"> of MA separation is effective to reduce the heat generation of </w:t>
      </w:r>
      <w:r w:rsidR="009948A3" w:rsidRPr="002D7F63">
        <w:t xml:space="preserve">the </w:t>
      </w:r>
      <w:r w:rsidR="00CA7A38" w:rsidRPr="002D7F63">
        <w:rPr>
          <w:noProof/>
        </w:rPr>
        <w:t>vitrified</w:t>
      </w:r>
      <w:r w:rsidR="00CA7A38" w:rsidRPr="002D7F63">
        <w:t xml:space="preserve"> waste and </w:t>
      </w:r>
      <w:r w:rsidR="009E7BC6" w:rsidRPr="002D7F63">
        <w:t>waste occupied area</w:t>
      </w:r>
      <w:r w:rsidR="00CA7A38" w:rsidRPr="002D7F63">
        <w:t xml:space="preserve"> for </w:t>
      </w:r>
      <w:r w:rsidR="00DE5050" w:rsidRPr="002D7F63">
        <w:t xml:space="preserve">spent </w:t>
      </w:r>
      <w:r w:rsidR="00CA7A38" w:rsidRPr="002D7F63">
        <w:t>UO</w:t>
      </w:r>
      <w:r w:rsidR="00CA7A38" w:rsidRPr="002D7F63">
        <w:rPr>
          <w:vertAlign w:val="subscript"/>
        </w:rPr>
        <w:t>2</w:t>
      </w:r>
      <w:r w:rsidR="00CA7A38" w:rsidRPr="002D7F63">
        <w:t xml:space="preserve"> </w:t>
      </w:r>
      <w:r w:rsidR="00DE5050" w:rsidRPr="002D7F63">
        <w:t>fuels</w:t>
      </w:r>
      <w:r w:rsidR="000B06AE" w:rsidRPr="002D7F63">
        <w:t xml:space="preserve"> with 25, 35wt% </w:t>
      </w:r>
      <w:r w:rsidR="00DE5050" w:rsidRPr="002D7F63">
        <w:t xml:space="preserve">of </w:t>
      </w:r>
      <w:r w:rsidR="000B06AE" w:rsidRPr="002D7F63">
        <w:t>waste loading</w:t>
      </w:r>
      <w:r w:rsidR="00304E93" w:rsidRPr="002D7F63">
        <w:t xml:space="preserve"> </w:t>
      </w:r>
      <w:r w:rsidR="00304E93" w:rsidRPr="002D7F63">
        <w:rPr>
          <w:noProof/>
        </w:rPr>
        <w:t>except</w:t>
      </w:r>
      <w:r w:rsidR="009948A3" w:rsidRPr="002D7F63">
        <w:rPr>
          <w:noProof/>
        </w:rPr>
        <w:t xml:space="preserve"> for</w:t>
      </w:r>
      <w:r w:rsidR="00304E93" w:rsidRPr="002D7F63">
        <w:t xml:space="preserve"> the case of 70% of MA separation with 50</w:t>
      </w:r>
      <w:r w:rsidR="00AD5861" w:rsidRPr="002D7F63">
        <w:t>-year-cooled.</w:t>
      </w:r>
      <w:r w:rsidR="00304E93" w:rsidRPr="002D7F63">
        <w:t xml:space="preserve"> </w:t>
      </w:r>
      <w:r w:rsidR="004E36D9" w:rsidRPr="002D7F63">
        <w:rPr>
          <w:b/>
        </w:rPr>
        <w:t>Fig. 2 (b)</w:t>
      </w:r>
      <w:r w:rsidR="004E36D9" w:rsidRPr="002D7F63">
        <w:t xml:space="preserve"> shows that 70% of MA separation is effective to reduce the heat generation </w:t>
      </w:r>
      <w:r w:rsidR="00DE5050" w:rsidRPr="002D7F63">
        <w:t xml:space="preserve">amount </w:t>
      </w:r>
      <w:r w:rsidR="004E36D9" w:rsidRPr="002D7F63">
        <w:t xml:space="preserve">of vitrified waste and waste occupied area for </w:t>
      </w:r>
      <w:r w:rsidR="00304E93" w:rsidRPr="002D7F63">
        <w:t>all the cases</w:t>
      </w:r>
      <w:r w:rsidR="000B06AE" w:rsidRPr="002D7F63">
        <w:t>, and it reveals that all cases</w:t>
      </w:r>
      <w:r w:rsidR="006F5FB9" w:rsidRPr="002D7F63">
        <w:t xml:space="preserve"> were possible for geological disposal</w:t>
      </w:r>
      <w:r w:rsidR="00304E93" w:rsidRPr="002D7F63">
        <w:t>.</w:t>
      </w:r>
      <w:r w:rsidR="004E36D9" w:rsidRPr="002D7F63">
        <w:t xml:space="preserve"> </w:t>
      </w:r>
      <w:r w:rsidR="004E36D9" w:rsidRPr="002D7F63">
        <w:rPr>
          <w:b/>
        </w:rPr>
        <w:t>Fig. 2 (c)</w:t>
      </w:r>
      <w:r w:rsidR="00304E93" w:rsidRPr="002D7F63">
        <w:rPr>
          <w:b/>
        </w:rPr>
        <w:t xml:space="preserve"> </w:t>
      </w:r>
      <w:bookmarkStart w:id="0" w:name="_Hlk1764376"/>
      <w:r w:rsidR="00304E93" w:rsidRPr="002D7F63">
        <w:t xml:space="preserve">shows that </w:t>
      </w:r>
      <w:r w:rsidR="002C1E0B" w:rsidRPr="002D7F63">
        <w:t>7</w:t>
      </w:r>
      <w:r w:rsidR="00304E93" w:rsidRPr="002D7F63">
        <w:t>0% of MA separation was not effective</w:t>
      </w:r>
      <w:r w:rsidR="00DE5050" w:rsidRPr="002D7F63">
        <w:t xml:space="preserve"> enough</w:t>
      </w:r>
      <w:r w:rsidR="00304E93" w:rsidRPr="002D7F63">
        <w:t xml:space="preserve"> to</w:t>
      </w:r>
      <w:r w:rsidR="000B06AE" w:rsidRPr="002D7F63">
        <w:t xml:space="preserve"> </w:t>
      </w:r>
      <w:r w:rsidR="00EB20E3" w:rsidRPr="002D7F63">
        <w:t>minimize</w:t>
      </w:r>
      <w:r w:rsidR="00DE5050" w:rsidRPr="002D7F63">
        <w:t xml:space="preserve"> the</w:t>
      </w:r>
      <w:r w:rsidR="00EB20E3" w:rsidRPr="002D7F63">
        <w:t xml:space="preserve"> waste occupied area</w:t>
      </w:r>
      <w:r w:rsidR="002C1E0B" w:rsidRPr="002D7F63">
        <w:t xml:space="preserve">. </w:t>
      </w:r>
      <w:r w:rsidR="002034B7" w:rsidRPr="002D7F63">
        <w:t>90% of MA</w:t>
      </w:r>
      <w:r w:rsidR="00DE5050" w:rsidRPr="002D7F63">
        <w:t xml:space="preserve"> separation was</w:t>
      </w:r>
      <w:r w:rsidR="002034B7" w:rsidRPr="002D7F63">
        <w:t xml:space="preserve"> effective to reduce the heat generation</w:t>
      </w:r>
      <w:r w:rsidR="00DE5050" w:rsidRPr="002D7F63">
        <w:t>.</w:t>
      </w:r>
      <w:r w:rsidR="002034B7" w:rsidRPr="002D7F63">
        <w:t xml:space="preserve"> </w:t>
      </w:r>
      <w:r w:rsidR="00DE5050" w:rsidRPr="002D7F63">
        <w:t>H</w:t>
      </w:r>
      <w:r w:rsidR="002034B7" w:rsidRPr="002D7F63">
        <w:t xml:space="preserve">owever, </w:t>
      </w:r>
      <w:r w:rsidR="00DE5050" w:rsidRPr="002D7F63">
        <w:t xml:space="preserve">it was </w:t>
      </w:r>
      <w:r w:rsidR="002034B7" w:rsidRPr="002D7F63">
        <w:t>still not effective</w:t>
      </w:r>
      <w:r w:rsidR="00DE5050" w:rsidRPr="002D7F63">
        <w:t xml:space="preserve"> enough</w:t>
      </w:r>
      <w:r w:rsidR="002034B7" w:rsidRPr="002D7F63">
        <w:t xml:space="preserve"> to minimize the waste occupied area</w:t>
      </w:r>
      <w:r w:rsidR="004542C5" w:rsidRPr="002D7F63">
        <w:t xml:space="preserve"> </w:t>
      </w:r>
      <w:bookmarkEnd w:id="0"/>
      <w:r w:rsidR="004542C5" w:rsidRPr="002D7F63">
        <w:t xml:space="preserve">since 3 evaluation points </w:t>
      </w:r>
      <w:r w:rsidR="00DE5050" w:rsidRPr="002D7F63">
        <w:t>which showed the lower</w:t>
      </w:r>
      <w:r w:rsidR="004542C5" w:rsidRPr="002D7F63">
        <w:t xml:space="preserve"> temperature</w:t>
      </w:r>
      <w:r w:rsidR="00DE5050" w:rsidRPr="002D7F63">
        <w:t xml:space="preserve"> than</w:t>
      </w:r>
      <w:r w:rsidR="004542C5" w:rsidRPr="002D7F63">
        <w:t xml:space="preserve"> restrict</w:t>
      </w:r>
      <w:r w:rsidR="00DE5050" w:rsidRPr="002D7F63">
        <w:t>ion</w:t>
      </w:r>
      <w:r w:rsidR="004542C5" w:rsidRPr="002D7F63">
        <w:t xml:space="preserve"> showed</w:t>
      </w:r>
      <w:r w:rsidR="00DE5050" w:rsidRPr="002D7F63">
        <w:t xml:space="preserve"> 100, 200, and 300 m</w:t>
      </w:r>
      <w:r w:rsidR="00DE5050" w:rsidRPr="002D7F63">
        <w:rPr>
          <w:vertAlign w:val="superscript"/>
        </w:rPr>
        <w:t>2</w:t>
      </w:r>
      <w:r w:rsidR="00DE5050" w:rsidRPr="002D7F63">
        <w:t xml:space="preserve"> which were larger than the reference case (44.4 m</w:t>
      </w:r>
      <w:r w:rsidR="00DE5050" w:rsidRPr="002D7F63">
        <w:rPr>
          <w:vertAlign w:val="superscript"/>
        </w:rPr>
        <w:t>2</w:t>
      </w:r>
      <w:r w:rsidR="00DE5050" w:rsidRPr="002D7F63">
        <w:t>)</w:t>
      </w:r>
      <w:r w:rsidR="004542C5" w:rsidRPr="002D7F63">
        <w:t>.</w:t>
      </w:r>
      <w:r w:rsidR="00EB20E3" w:rsidRPr="002D7F63">
        <w:t xml:space="preserve"> </w:t>
      </w:r>
      <w:r w:rsidR="004E36D9" w:rsidRPr="002D7F63">
        <w:rPr>
          <w:b/>
        </w:rPr>
        <w:t>Fig. 2 (d)</w:t>
      </w:r>
      <w:r w:rsidR="004542C5" w:rsidRPr="002D7F63">
        <w:rPr>
          <w:b/>
        </w:rPr>
        <w:t xml:space="preserve"> </w:t>
      </w:r>
      <w:r w:rsidR="004542C5" w:rsidRPr="002D7F63">
        <w:t xml:space="preserve">shows that </w:t>
      </w:r>
      <w:r w:rsidR="002C1E0B" w:rsidRPr="002D7F63">
        <w:t>7</w:t>
      </w:r>
      <w:r w:rsidR="004542C5" w:rsidRPr="002D7F63">
        <w:t>0% of MA separation was still not effective</w:t>
      </w:r>
      <w:r w:rsidR="00DE5050" w:rsidRPr="002D7F63">
        <w:t xml:space="preserve"> enough</w:t>
      </w:r>
      <w:r w:rsidR="004542C5" w:rsidRPr="002D7F63">
        <w:t xml:space="preserve"> with 100</w:t>
      </w:r>
      <w:r w:rsidR="0099553D" w:rsidRPr="002D7F63">
        <w:t xml:space="preserve">-year-cooled </w:t>
      </w:r>
      <w:r w:rsidR="00DE5050" w:rsidRPr="002D7F63">
        <w:t xml:space="preserve">spent </w:t>
      </w:r>
      <w:r w:rsidR="0099553D" w:rsidRPr="002D7F63">
        <w:t xml:space="preserve">MOX </w:t>
      </w:r>
      <w:r w:rsidR="00DE5050" w:rsidRPr="002D7F63">
        <w:t>fuels</w:t>
      </w:r>
      <w:r w:rsidR="004542C5" w:rsidRPr="002D7F63">
        <w:t xml:space="preserve"> </w:t>
      </w:r>
      <w:r w:rsidR="004542C5" w:rsidRPr="002D7F63">
        <w:rPr>
          <w:lang w:eastAsia="ja-JP"/>
        </w:rPr>
        <w:t>to</w:t>
      </w:r>
      <w:r w:rsidR="004542C5" w:rsidRPr="002D7F63">
        <w:t xml:space="preserve"> enable its disposal with </w:t>
      </w:r>
      <w:r w:rsidR="009948A3" w:rsidRPr="002D7F63">
        <w:t xml:space="preserve">the </w:t>
      </w:r>
      <w:r w:rsidR="004542C5" w:rsidRPr="002D7F63">
        <w:rPr>
          <w:noProof/>
        </w:rPr>
        <w:t>minimized</w:t>
      </w:r>
      <w:r w:rsidR="004542C5" w:rsidRPr="002D7F63">
        <w:t xml:space="preserve"> waste occupied area.</w:t>
      </w:r>
      <w:r w:rsidR="002034B7" w:rsidRPr="002D7F63">
        <w:t xml:space="preserve"> 90% of MA </w:t>
      </w:r>
      <w:r w:rsidR="00DE5050" w:rsidRPr="002D7F63">
        <w:t>separation wa</w:t>
      </w:r>
      <w:r w:rsidR="002034B7" w:rsidRPr="002D7F63">
        <w:t>s effective to reduce the heat generation, however, still not effective</w:t>
      </w:r>
      <w:r w:rsidR="00DE5050" w:rsidRPr="002D7F63">
        <w:t xml:space="preserve"> enough</w:t>
      </w:r>
      <w:r w:rsidR="002034B7" w:rsidRPr="002D7F63">
        <w:t xml:space="preserve"> to minimize the waste occupied area.</w:t>
      </w:r>
      <w:r w:rsidR="00DE5050" w:rsidRPr="002D7F63">
        <w:t xml:space="preserve"> </w:t>
      </w:r>
      <w:r w:rsidR="00CA7A38" w:rsidRPr="002D7F63">
        <w:t xml:space="preserve">Therefore, </w:t>
      </w:r>
      <w:r w:rsidR="00DE5050" w:rsidRPr="002D7F63">
        <w:t xml:space="preserve">we conclude that MA separation higher </w:t>
      </w:r>
      <w:r w:rsidR="00CA7A38" w:rsidRPr="002D7F63">
        <w:t xml:space="preserve">than 90% </w:t>
      </w:r>
      <w:r w:rsidR="00DE5050" w:rsidRPr="002D7F63">
        <w:t xml:space="preserve">is needed to expect the </w:t>
      </w:r>
      <w:r w:rsidR="00CA7A38" w:rsidRPr="002D7F63">
        <w:t>reduc</w:t>
      </w:r>
      <w:r w:rsidR="00DE5050" w:rsidRPr="002D7F63">
        <w:t>tion effect of</w:t>
      </w:r>
      <w:r w:rsidR="00CA7A38" w:rsidRPr="002D7F63">
        <w:t xml:space="preserve"> the </w:t>
      </w:r>
      <w:r w:rsidR="009E7BC6" w:rsidRPr="002D7F63">
        <w:t>waste occupied area</w:t>
      </w:r>
      <w:r w:rsidR="00DE5050" w:rsidRPr="002D7F63">
        <w:t xml:space="preserve"> for spent MOX fuels</w:t>
      </w:r>
      <w:r w:rsidR="00CA7A38" w:rsidRPr="002D7F63">
        <w:t xml:space="preserve">. </w:t>
      </w:r>
      <w:r w:rsidR="00CA7A38" w:rsidRPr="002D7F63">
        <w:rPr>
          <w:b/>
        </w:rPr>
        <w:t>Fig. 2 (e)</w:t>
      </w:r>
      <w:r w:rsidR="00CA7A38" w:rsidRPr="002D7F63">
        <w:t xml:space="preserve"> shows the result of lower-waste-loading vitrified waste </w:t>
      </w:r>
      <w:r w:rsidR="009948A3" w:rsidRPr="002D7F63">
        <w:rPr>
          <w:noProof/>
        </w:rPr>
        <w:t>by</w:t>
      </w:r>
      <w:r w:rsidR="00DE5050" w:rsidRPr="002D7F63">
        <w:t xml:space="preserve"> </w:t>
      </w:r>
      <w:r w:rsidR="00CA7A38" w:rsidRPr="002D7F63">
        <w:t>considering MA separation. It reveal</w:t>
      </w:r>
      <w:r w:rsidR="00DE5050" w:rsidRPr="002D7F63">
        <w:t>ed</w:t>
      </w:r>
      <w:r w:rsidR="00CA7A38" w:rsidRPr="002D7F63">
        <w:t xml:space="preserve"> that 70-90% of MA separation </w:t>
      </w:r>
      <w:r w:rsidR="00DE5050" w:rsidRPr="002D7F63">
        <w:t>wa</w:t>
      </w:r>
      <w:r w:rsidR="00CA7A38" w:rsidRPr="002D7F63">
        <w:t xml:space="preserve">s effective to reduce the heat generation of </w:t>
      </w:r>
      <w:r w:rsidR="00B068EC" w:rsidRPr="002D7F63">
        <w:t xml:space="preserve">the </w:t>
      </w:r>
      <w:r w:rsidR="00CA7A38" w:rsidRPr="002D7F63">
        <w:rPr>
          <w:noProof/>
        </w:rPr>
        <w:t>vitrified</w:t>
      </w:r>
      <w:r w:rsidR="00CA7A38" w:rsidRPr="002D7F63">
        <w:t xml:space="preserve"> waste and </w:t>
      </w:r>
      <w:r w:rsidR="009E7BC6" w:rsidRPr="002D7F63">
        <w:t>waste occupied area</w:t>
      </w:r>
      <w:r w:rsidR="00CA7A38" w:rsidRPr="002D7F63">
        <w:t>.</w:t>
      </w:r>
      <w:r w:rsidR="00676752" w:rsidRPr="002D7F63">
        <w:t xml:space="preserve"> The minimum waste occupied area was 44.4m</w:t>
      </w:r>
      <w:r w:rsidR="00676752" w:rsidRPr="002D7F63">
        <w:rPr>
          <w:vertAlign w:val="superscript"/>
        </w:rPr>
        <w:t>2</w:t>
      </w:r>
      <w:r w:rsidR="00676752" w:rsidRPr="002D7F63">
        <w:t xml:space="preserve"> in case of 90% of MA separation.</w:t>
      </w:r>
    </w:p>
    <w:p w14:paraId="13D91D23" w14:textId="77777777" w:rsidR="00624089" w:rsidRPr="002D7F63" w:rsidRDefault="00624089" w:rsidP="00624089">
      <w:pPr>
        <w:pStyle w:val="a1"/>
      </w:pPr>
    </w:p>
    <w:p w14:paraId="55A378C7" w14:textId="429BCBA2" w:rsidR="00641BAC" w:rsidRPr="008252BB" w:rsidRDefault="008252BB" w:rsidP="008252BB">
      <w:pPr>
        <w:pStyle w:val="a1"/>
        <w:ind w:hanging="142"/>
        <w:jc w:val="center"/>
      </w:pPr>
      <w:r>
        <w:rPr>
          <w:noProof/>
        </w:rPr>
        <w:drawing>
          <wp:inline distT="0" distB="0" distL="0" distR="0" wp14:anchorId="69BF88FD" wp14:editId="3E4255BE">
            <wp:extent cx="5968800" cy="216139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8800" cy="2161391"/>
                    </a:xfrm>
                    <a:prstGeom prst="rect">
                      <a:avLst/>
                    </a:prstGeom>
                    <a:noFill/>
                  </pic:spPr>
                </pic:pic>
              </a:graphicData>
            </a:graphic>
          </wp:inline>
        </w:drawing>
      </w:r>
    </w:p>
    <w:p w14:paraId="1EB2029F" w14:textId="77777777" w:rsidR="00715AE8" w:rsidRPr="002D7F63" w:rsidRDefault="00715AE8" w:rsidP="00E106F1">
      <w:pPr>
        <w:pStyle w:val="a1"/>
        <w:ind w:firstLine="0"/>
        <w:jc w:val="center"/>
      </w:pPr>
    </w:p>
    <w:p w14:paraId="55C9E6FA" w14:textId="7E0168D6" w:rsidR="00ED5AC5" w:rsidRPr="002D7F63" w:rsidRDefault="00ED5AC5" w:rsidP="008252BB">
      <w:pPr>
        <w:pStyle w:val="a1"/>
        <w:ind w:hanging="142"/>
        <w:jc w:val="center"/>
      </w:pPr>
      <w:r w:rsidRPr="002D7F63">
        <w:rPr>
          <w:noProof/>
          <w:lang w:val="en-US"/>
        </w:rPr>
        <w:drawing>
          <wp:inline distT="0" distB="0" distL="0" distR="0" wp14:anchorId="1B2893D5" wp14:editId="08404809">
            <wp:extent cx="5968739" cy="2160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8739" cy="2160000"/>
                    </a:xfrm>
                    <a:prstGeom prst="rect">
                      <a:avLst/>
                    </a:prstGeom>
                    <a:noFill/>
                  </pic:spPr>
                </pic:pic>
              </a:graphicData>
            </a:graphic>
          </wp:inline>
        </w:drawing>
      </w:r>
      <w:bookmarkStart w:id="1" w:name="_GoBack"/>
      <w:bookmarkEnd w:id="1"/>
    </w:p>
    <w:p w14:paraId="171FC62B" w14:textId="77777777" w:rsidR="00715AE8" w:rsidRPr="002D7F63" w:rsidRDefault="00715AE8" w:rsidP="00E106F1">
      <w:pPr>
        <w:pStyle w:val="a1"/>
        <w:ind w:firstLine="0"/>
        <w:jc w:val="center"/>
      </w:pPr>
    </w:p>
    <w:p w14:paraId="0E4ABB0E" w14:textId="2A2E0A6E" w:rsidR="00ED5AC5" w:rsidRPr="002D7F63" w:rsidRDefault="003148D5" w:rsidP="00E106F1">
      <w:pPr>
        <w:pStyle w:val="a1"/>
        <w:ind w:firstLine="0"/>
        <w:jc w:val="center"/>
      </w:pPr>
      <w:r w:rsidRPr="002D7F63">
        <w:rPr>
          <w:noProof/>
          <w:lang w:val="en-US"/>
        </w:rPr>
        <mc:AlternateContent>
          <mc:Choice Requires="wps">
            <w:drawing>
              <wp:anchor distT="0" distB="0" distL="114300" distR="114300" simplePos="0" relativeHeight="251668480" behindDoc="0" locked="0" layoutInCell="1" allowOverlap="1" wp14:anchorId="1370AAD4" wp14:editId="6CD22D29">
                <wp:simplePos x="0" y="0"/>
                <wp:positionH relativeFrom="margin">
                  <wp:posOffset>0</wp:posOffset>
                </wp:positionH>
                <wp:positionV relativeFrom="paragraph">
                  <wp:posOffset>2263775</wp:posOffset>
                </wp:positionV>
                <wp:extent cx="5711825" cy="635"/>
                <wp:effectExtent l="0" t="0" r="3175" b="0"/>
                <wp:wrapTopAndBottom/>
                <wp:docPr id="12" name="Text Box 2"/>
                <wp:cNvGraphicFramePr/>
                <a:graphic xmlns:a="http://schemas.openxmlformats.org/drawingml/2006/main">
                  <a:graphicData uri="http://schemas.microsoft.com/office/word/2010/wordprocessingShape">
                    <wps:wsp>
                      <wps:cNvSpPr txBox="1"/>
                      <wps:spPr>
                        <a:xfrm>
                          <a:off x="0" y="0"/>
                          <a:ext cx="5711825" cy="635"/>
                        </a:xfrm>
                        <a:prstGeom prst="rect">
                          <a:avLst/>
                        </a:prstGeom>
                        <a:solidFill>
                          <a:prstClr val="white"/>
                        </a:solidFill>
                        <a:ln>
                          <a:noFill/>
                        </a:ln>
                        <a:effectLst/>
                      </wps:spPr>
                      <wps:txbx>
                        <w:txbxContent>
                          <w:p w14:paraId="1E754225" w14:textId="2A5D3735" w:rsidR="00163101" w:rsidRPr="00802381" w:rsidRDefault="00163101" w:rsidP="00042C4F">
                            <w:pPr>
                              <w:pStyle w:val="a7"/>
                              <w:rPr>
                                <w:i/>
                                <w:sz w:val="20"/>
                              </w:rPr>
                            </w:pPr>
                            <w:r w:rsidRPr="00802381">
                              <w:rPr>
                                <w:i/>
                              </w:rPr>
                              <w:t xml:space="preserve">FIG. </w:t>
                            </w:r>
                            <w:r>
                              <w:rPr>
                                <w:i/>
                              </w:rPr>
                              <w:t xml:space="preserve">2. </w:t>
                            </w:r>
                            <w:r w:rsidRPr="00042C4F">
                              <w:rPr>
                                <w:i/>
                              </w:rPr>
                              <w:t xml:space="preserve">Relationship between the maximum temperature of buffer material and </w:t>
                            </w:r>
                            <w:r>
                              <w:rPr>
                                <w:i/>
                              </w:rPr>
                              <w:t>waste occupied area</w:t>
                            </w:r>
                            <w:r w:rsidRPr="00042C4F">
                              <w:rPr>
                                <w:i/>
                              </w:rPr>
                              <w:t xml:space="preserve"> per waste package: (a) UO</w:t>
                            </w:r>
                            <w:r w:rsidRPr="00042C4F">
                              <w:rPr>
                                <w:i/>
                                <w:vertAlign w:val="subscript"/>
                              </w:rPr>
                              <w:t>2</w:t>
                            </w:r>
                            <w:r w:rsidRPr="00042C4F">
                              <w:rPr>
                                <w:i/>
                              </w:rPr>
                              <w:t xml:space="preserve"> SF - 30, 35wt</w:t>
                            </w:r>
                            <w:r>
                              <w:rPr>
                                <w:i/>
                              </w:rPr>
                              <w:t>.</w:t>
                            </w:r>
                            <w:r w:rsidRPr="00042C4F">
                              <w:rPr>
                                <w:i/>
                              </w:rPr>
                              <w:t>% waste loading (50 years cooling), (</w:t>
                            </w:r>
                            <w:r>
                              <w:rPr>
                                <w:i/>
                              </w:rPr>
                              <w:t>b</w:t>
                            </w:r>
                            <w:r w:rsidRPr="00042C4F">
                              <w:rPr>
                                <w:i/>
                              </w:rPr>
                              <w:t>) UO</w:t>
                            </w:r>
                            <w:r w:rsidRPr="00042C4F">
                              <w:rPr>
                                <w:i/>
                                <w:vertAlign w:val="subscript"/>
                              </w:rPr>
                              <w:t>2</w:t>
                            </w:r>
                            <w:r w:rsidRPr="00042C4F">
                              <w:rPr>
                                <w:i/>
                              </w:rPr>
                              <w:t xml:space="preserve"> SF - 30, 35wt% waste loading (100 years cooling), (</w:t>
                            </w:r>
                            <w:r>
                              <w:rPr>
                                <w:i/>
                              </w:rPr>
                              <w:t>c</w:t>
                            </w:r>
                            <w:r w:rsidRPr="00042C4F">
                              <w:rPr>
                                <w:i/>
                              </w:rPr>
                              <w:t xml:space="preserve">) </w:t>
                            </w:r>
                            <w:r>
                              <w:rPr>
                                <w:i/>
                              </w:rPr>
                              <w:t>MOX</w:t>
                            </w:r>
                            <w:r w:rsidRPr="00042C4F">
                              <w:rPr>
                                <w:i/>
                              </w:rPr>
                              <w:t xml:space="preserve"> SF - </w:t>
                            </w:r>
                            <w:r>
                              <w:rPr>
                                <w:i/>
                              </w:rPr>
                              <w:t>25</w:t>
                            </w:r>
                            <w:r w:rsidRPr="00042C4F">
                              <w:rPr>
                                <w:i/>
                              </w:rPr>
                              <w:t>, 35wt</w:t>
                            </w:r>
                            <w:r>
                              <w:rPr>
                                <w:i/>
                              </w:rPr>
                              <w:t>.</w:t>
                            </w:r>
                            <w:r w:rsidRPr="00042C4F">
                              <w:rPr>
                                <w:i/>
                              </w:rPr>
                              <w:t>% waste loading (50 years cooling), (</w:t>
                            </w:r>
                            <w:r>
                              <w:rPr>
                                <w:i/>
                              </w:rPr>
                              <w:t>d</w:t>
                            </w:r>
                            <w:r w:rsidRPr="00042C4F">
                              <w:rPr>
                                <w:i/>
                              </w:rPr>
                              <w:t xml:space="preserve">) </w:t>
                            </w:r>
                            <w:r>
                              <w:rPr>
                                <w:i/>
                              </w:rPr>
                              <w:t>MOX</w:t>
                            </w:r>
                            <w:r w:rsidRPr="00042C4F">
                              <w:rPr>
                                <w:i/>
                              </w:rPr>
                              <w:t xml:space="preserve"> SF </w:t>
                            </w:r>
                            <w:r w:rsidRPr="002034B7">
                              <w:rPr>
                                <w:i/>
                              </w:rPr>
                              <w:t xml:space="preserve">– </w:t>
                            </w:r>
                            <w:r w:rsidRPr="002034B7">
                              <w:rPr>
                                <w:rFonts w:hint="eastAsia"/>
                                <w:i/>
                                <w:lang w:eastAsia="ja-JP"/>
                              </w:rPr>
                              <w:t>2</w:t>
                            </w:r>
                            <w:r w:rsidRPr="002034B7">
                              <w:rPr>
                                <w:i/>
                                <w:lang w:eastAsia="ja-JP"/>
                              </w:rPr>
                              <w:t>5</w:t>
                            </w:r>
                            <w:r w:rsidRPr="00DE6C4B">
                              <w:rPr>
                                <w:i/>
                              </w:rPr>
                              <w:t>, 35wt.%</w:t>
                            </w:r>
                            <w:r w:rsidRPr="00042C4F">
                              <w:rPr>
                                <w:i/>
                              </w:rPr>
                              <w:t xml:space="preserve"> waste loading (100 years cooling), (</w:t>
                            </w:r>
                            <w:r>
                              <w:rPr>
                                <w:i/>
                              </w:rPr>
                              <w:t>e</w:t>
                            </w:r>
                            <w:r w:rsidRPr="00042C4F">
                              <w:rPr>
                                <w:i/>
                              </w:rPr>
                              <w:t>) MOX SF - 16wt</w:t>
                            </w:r>
                            <w:r>
                              <w:rPr>
                                <w:i/>
                              </w:rPr>
                              <w:t>.</w:t>
                            </w:r>
                            <w:r w:rsidRPr="00042C4F">
                              <w:rPr>
                                <w:i/>
                              </w:rPr>
                              <w:t>% waste loading (50, 100 years cooling)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70AAD4" id="_x0000_s1027" type="#_x0000_t202" style="position:absolute;left:0;text-align:left;margin-left:0;margin-top:178.25pt;width:449.75pt;height:.0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" stroked="f">
                <v:textbox style="mso-fit-shape-to-text:t" inset="0,0,0,0">
                  <w:txbxContent>
                    <w:p w14:paraId="1E754225" w14:textId="2A5D3735" w:rsidR="00163101" w:rsidRPr="00802381" w:rsidRDefault="00163101" w:rsidP="00042C4F">
                      <w:pPr>
                        <w:pStyle w:val="a7"/>
                        <w:rPr>
                          <w:i/>
                          <w:sz w:val="20"/>
                        </w:rPr>
                      </w:pPr>
                      <w:r w:rsidRPr="00802381">
                        <w:rPr>
                          <w:i/>
                        </w:rPr>
                        <w:t xml:space="preserve">FIG. </w:t>
                      </w:r>
                      <w:r>
                        <w:rPr>
                          <w:i/>
                        </w:rPr>
                        <w:t xml:space="preserve">2. </w:t>
                      </w:r>
                      <w:r w:rsidRPr="00042C4F">
                        <w:rPr>
                          <w:i/>
                        </w:rPr>
                        <w:t xml:space="preserve">Relationship between the maximum temperature of buffer material and </w:t>
                      </w:r>
                      <w:r>
                        <w:rPr>
                          <w:i/>
                        </w:rPr>
                        <w:t>waste occupied area</w:t>
                      </w:r>
                      <w:r w:rsidRPr="00042C4F">
                        <w:rPr>
                          <w:i/>
                        </w:rPr>
                        <w:t xml:space="preserve"> per waste package: (a) UO</w:t>
                      </w:r>
                      <w:r w:rsidRPr="00042C4F">
                        <w:rPr>
                          <w:i/>
                          <w:vertAlign w:val="subscript"/>
                        </w:rPr>
                        <w:t>2</w:t>
                      </w:r>
                      <w:r w:rsidRPr="00042C4F">
                        <w:rPr>
                          <w:i/>
                        </w:rPr>
                        <w:t xml:space="preserve"> SF - 30, 35wt</w:t>
                      </w:r>
                      <w:r>
                        <w:rPr>
                          <w:i/>
                        </w:rPr>
                        <w:t>.</w:t>
                      </w:r>
                      <w:r w:rsidRPr="00042C4F">
                        <w:rPr>
                          <w:i/>
                        </w:rPr>
                        <w:t>% waste loading (50 years cooling), (</w:t>
                      </w:r>
                      <w:r>
                        <w:rPr>
                          <w:i/>
                        </w:rPr>
                        <w:t>b</w:t>
                      </w:r>
                      <w:r w:rsidRPr="00042C4F">
                        <w:rPr>
                          <w:i/>
                        </w:rPr>
                        <w:t>) UO</w:t>
                      </w:r>
                      <w:r w:rsidRPr="00042C4F">
                        <w:rPr>
                          <w:i/>
                          <w:vertAlign w:val="subscript"/>
                        </w:rPr>
                        <w:t>2</w:t>
                      </w:r>
                      <w:r w:rsidRPr="00042C4F">
                        <w:rPr>
                          <w:i/>
                        </w:rPr>
                        <w:t xml:space="preserve"> SF - 30, 35wt% waste loading (100 years cooling), (</w:t>
                      </w:r>
                      <w:r>
                        <w:rPr>
                          <w:i/>
                        </w:rPr>
                        <w:t>c</w:t>
                      </w:r>
                      <w:r w:rsidRPr="00042C4F">
                        <w:rPr>
                          <w:i/>
                        </w:rPr>
                        <w:t xml:space="preserve">) </w:t>
                      </w:r>
                      <w:r>
                        <w:rPr>
                          <w:i/>
                        </w:rPr>
                        <w:t>MOX</w:t>
                      </w:r>
                      <w:r w:rsidRPr="00042C4F">
                        <w:rPr>
                          <w:i/>
                        </w:rPr>
                        <w:t xml:space="preserve"> SF - </w:t>
                      </w:r>
                      <w:r>
                        <w:rPr>
                          <w:i/>
                        </w:rPr>
                        <w:t>25</w:t>
                      </w:r>
                      <w:r w:rsidRPr="00042C4F">
                        <w:rPr>
                          <w:i/>
                        </w:rPr>
                        <w:t>, 35wt</w:t>
                      </w:r>
                      <w:r>
                        <w:rPr>
                          <w:i/>
                        </w:rPr>
                        <w:t>.</w:t>
                      </w:r>
                      <w:r w:rsidRPr="00042C4F">
                        <w:rPr>
                          <w:i/>
                        </w:rPr>
                        <w:t>% waste loading (50 years cooling), (</w:t>
                      </w:r>
                      <w:r>
                        <w:rPr>
                          <w:i/>
                        </w:rPr>
                        <w:t>d</w:t>
                      </w:r>
                      <w:r w:rsidRPr="00042C4F">
                        <w:rPr>
                          <w:i/>
                        </w:rPr>
                        <w:t xml:space="preserve">) </w:t>
                      </w:r>
                      <w:r>
                        <w:rPr>
                          <w:i/>
                        </w:rPr>
                        <w:t>MOX</w:t>
                      </w:r>
                      <w:r w:rsidRPr="00042C4F">
                        <w:rPr>
                          <w:i/>
                        </w:rPr>
                        <w:t xml:space="preserve"> SF </w:t>
                      </w:r>
                      <w:r w:rsidRPr="002034B7">
                        <w:rPr>
                          <w:i/>
                        </w:rPr>
                        <w:t xml:space="preserve">– </w:t>
                      </w:r>
                      <w:r w:rsidRPr="002034B7">
                        <w:rPr>
                          <w:rFonts w:hint="eastAsia"/>
                          <w:i/>
                          <w:lang w:eastAsia="ja-JP"/>
                        </w:rPr>
                        <w:t>2</w:t>
                      </w:r>
                      <w:r w:rsidRPr="002034B7">
                        <w:rPr>
                          <w:i/>
                          <w:lang w:eastAsia="ja-JP"/>
                        </w:rPr>
                        <w:t>5</w:t>
                      </w:r>
                      <w:r w:rsidRPr="00DE6C4B">
                        <w:rPr>
                          <w:i/>
                        </w:rPr>
                        <w:t>, 35wt.%</w:t>
                      </w:r>
                      <w:r w:rsidRPr="00042C4F">
                        <w:rPr>
                          <w:i/>
                        </w:rPr>
                        <w:t xml:space="preserve"> waste loading (100 years cooling), (</w:t>
                      </w:r>
                      <w:r>
                        <w:rPr>
                          <w:i/>
                        </w:rPr>
                        <w:t>e</w:t>
                      </w:r>
                      <w:r w:rsidRPr="00042C4F">
                        <w:rPr>
                          <w:i/>
                        </w:rPr>
                        <w:t>) MOX SF - 16wt</w:t>
                      </w:r>
                      <w:r>
                        <w:rPr>
                          <w:i/>
                        </w:rPr>
                        <w:t>.</w:t>
                      </w:r>
                      <w:r w:rsidRPr="00042C4F">
                        <w:rPr>
                          <w:i/>
                        </w:rPr>
                        <w:t>% waste loading (50, 100 years cooling)</w:t>
                      </w:r>
                    </w:p>
                  </w:txbxContent>
                </v:textbox>
                <w10:wrap type="topAndBottom" anchorx="margin"/>
              </v:shape>
            </w:pict>
          </mc:Fallback>
        </mc:AlternateContent>
      </w:r>
      <w:r w:rsidR="00ED5AC5" w:rsidRPr="002D7F63">
        <w:rPr>
          <w:noProof/>
          <w:lang w:val="en-US"/>
        </w:rPr>
        <w:drawing>
          <wp:inline distT="0" distB="0" distL="0" distR="0" wp14:anchorId="0A9D8AF7" wp14:editId="1CACF31D">
            <wp:extent cx="2982784" cy="2160000"/>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2784" cy="2160000"/>
                    </a:xfrm>
                    <a:prstGeom prst="rect">
                      <a:avLst/>
                    </a:prstGeom>
                    <a:noFill/>
                  </pic:spPr>
                </pic:pic>
              </a:graphicData>
            </a:graphic>
          </wp:inline>
        </w:drawing>
      </w:r>
    </w:p>
    <w:p w14:paraId="4352E9A3" w14:textId="77777777" w:rsidR="00B7258D" w:rsidRPr="002D7F63" w:rsidRDefault="00B7258D" w:rsidP="00E106F1">
      <w:pPr>
        <w:pStyle w:val="a1"/>
        <w:ind w:firstLine="0"/>
        <w:jc w:val="center"/>
      </w:pPr>
    </w:p>
    <w:p w14:paraId="1CB0C39B" w14:textId="5755FD15" w:rsidR="00442865" w:rsidRPr="002D7F63" w:rsidRDefault="00442865" w:rsidP="00442865">
      <w:pPr>
        <w:pStyle w:val="3"/>
        <w:numPr>
          <w:ilvl w:val="2"/>
          <w:numId w:val="35"/>
        </w:numPr>
      </w:pPr>
      <w:r w:rsidRPr="002D7F63">
        <w:t xml:space="preserve">Effects of MA separation on </w:t>
      </w:r>
      <w:r w:rsidR="009E7BC6" w:rsidRPr="002D7F63">
        <w:t>waste occupied area</w:t>
      </w:r>
      <w:r w:rsidRPr="002D7F63">
        <w:t xml:space="preserve"> reduction evaluat</w:t>
      </w:r>
      <w:r w:rsidR="00DE5050" w:rsidRPr="002D7F63">
        <w:t>ed</w:t>
      </w:r>
      <w:r w:rsidRPr="002D7F63">
        <w:t xml:space="preserve"> </w:t>
      </w:r>
      <w:r w:rsidR="00DE5050" w:rsidRPr="002D7F63">
        <w:t>by</w:t>
      </w:r>
      <w:r w:rsidRPr="002D7F63">
        <w:t xml:space="preserve"> CAERA index</w:t>
      </w:r>
    </w:p>
    <w:p w14:paraId="4087F8EA" w14:textId="0DCB9F61" w:rsidR="00CC0712" w:rsidRPr="002D7F63" w:rsidRDefault="006F5FB9" w:rsidP="0072698A">
      <w:pPr>
        <w:pStyle w:val="a1"/>
        <w:rPr>
          <w:b/>
          <w:lang w:val="en-US"/>
        </w:rPr>
      </w:pPr>
      <w:bookmarkStart w:id="2" w:name="OLE_LINK19"/>
      <w:bookmarkStart w:id="3" w:name="OLE_LINK20"/>
      <w:r w:rsidRPr="002D7F63">
        <w:t xml:space="preserve">To compare the </w:t>
      </w:r>
      <w:bookmarkStart w:id="4" w:name="_Hlk1985291"/>
      <w:r w:rsidRPr="002D7F63">
        <w:t>reduction effect to waste occupied area between various scenarios, CAERA index was introduced</w:t>
      </w:r>
      <w:r w:rsidR="006A4C40" w:rsidRPr="002D7F63">
        <w:t>.</w:t>
      </w:r>
      <w:bookmarkEnd w:id="4"/>
      <w:r w:rsidR="006A4C40" w:rsidRPr="002D7F63">
        <w:t xml:space="preserve"> </w:t>
      </w:r>
      <w:r w:rsidR="00CA7A38" w:rsidRPr="002D7F63">
        <w:rPr>
          <w:b/>
        </w:rPr>
        <w:t>Fig</w:t>
      </w:r>
      <w:r w:rsidR="00016996" w:rsidRPr="002D7F63">
        <w:rPr>
          <w:b/>
        </w:rPr>
        <w:t>. 3</w:t>
      </w:r>
      <w:r w:rsidR="006A4C40" w:rsidRPr="002D7F63">
        <w:t xml:space="preserve"> </w:t>
      </w:r>
      <w:r w:rsidR="00B068EC" w:rsidRPr="002D7F63">
        <w:t xml:space="preserve">shows the impact </w:t>
      </w:r>
      <w:r w:rsidR="00B068EC" w:rsidRPr="002D7F63">
        <w:rPr>
          <w:lang w:eastAsia="ja-JP"/>
        </w:rPr>
        <w:t xml:space="preserve">of the MA separation ratio </w:t>
      </w:r>
      <w:r w:rsidR="00B068EC" w:rsidRPr="002D7F63">
        <w:rPr>
          <w:noProof/>
        </w:rPr>
        <w:t>on</w:t>
      </w:r>
      <w:r w:rsidR="00B068EC" w:rsidRPr="002D7F63">
        <w:t xml:space="preserve"> the geological disposal area in the case of 50</w:t>
      </w:r>
      <w:r w:rsidR="00B7258D" w:rsidRPr="002D7F63">
        <w:t>-</w:t>
      </w:r>
      <w:r w:rsidR="00B068EC" w:rsidRPr="002D7F63">
        <w:t xml:space="preserve"> or 100-year-cooled spent UO</w:t>
      </w:r>
      <w:r w:rsidR="00B068EC" w:rsidRPr="002D7F63">
        <w:rPr>
          <w:vertAlign w:val="subscript"/>
        </w:rPr>
        <w:t>2</w:t>
      </w:r>
      <w:r w:rsidR="00B068EC" w:rsidRPr="002D7F63">
        <w:t xml:space="preserve"> fuels with high-waste-loading. The CAERA index reached </w:t>
      </w:r>
      <w:r w:rsidR="00B068EC" w:rsidRPr="002D7F63">
        <w:rPr>
          <w:lang w:eastAsia="ja-JP"/>
        </w:rPr>
        <w:t>its</w:t>
      </w:r>
      <w:r w:rsidR="00B068EC" w:rsidRPr="002D7F63">
        <w:t xml:space="preserve"> maximum </w:t>
      </w:r>
      <w:proofErr w:type="gramStart"/>
      <w:r w:rsidR="00B068EC" w:rsidRPr="002D7F63">
        <w:t>with  90</w:t>
      </w:r>
      <w:proofErr w:type="gramEnd"/>
      <w:r w:rsidR="00B068EC" w:rsidRPr="002D7F63">
        <w:t xml:space="preserve">% of MA separation of 50-year-cooled SF and with 70% of MA separation of 100-year-cooled SF as shown in </w:t>
      </w:r>
      <w:r w:rsidR="00B068EC" w:rsidRPr="002D7F63">
        <w:rPr>
          <w:b/>
        </w:rPr>
        <w:t>Fig. 3(a)</w:t>
      </w:r>
      <w:r w:rsidR="00B068EC" w:rsidRPr="002D7F63">
        <w:t xml:space="preserve">. </w:t>
      </w:r>
      <w:r w:rsidR="00B068EC" w:rsidRPr="002D7F63">
        <w:rPr>
          <w:b/>
        </w:rPr>
        <w:t>Fig.3(b)</w:t>
      </w:r>
      <w:r w:rsidR="00B068EC" w:rsidRPr="002D7F63">
        <w:t xml:space="preserve"> shows the reduction effect of waste occupied area based on the result of Fig. 3(a).</w:t>
      </w:r>
      <w:r w:rsidR="006E7B10" w:rsidRPr="002D7F63">
        <w:t xml:space="preserve"> </w:t>
      </w:r>
      <w:r w:rsidR="0072698A" w:rsidRPr="002D7F63">
        <w:t xml:space="preserve">It </w:t>
      </w:r>
      <w:r w:rsidR="005F6A29" w:rsidRPr="002D7F63">
        <w:t xml:space="preserve">was </w:t>
      </w:r>
      <w:r w:rsidR="00DD6C52" w:rsidRPr="002D7F63">
        <w:t>reveal</w:t>
      </w:r>
      <w:r w:rsidR="005F6A29" w:rsidRPr="002D7F63">
        <w:t>ed</w:t>
      </w:r>
      <w:r w:rsidR="0072698A" w:rsidRPr="002D7F63">
        <w:t xml:space="preserve"> that more than 50% reduction in the </w:t>
      </w:r>
      <w:r w:rsidR="009E7BC6" w:rsidRPr="002D7F63">
        <w:t>waste occupied area</w:t>
      </w:r>
      <w:r w:rsidR="0072698A" w:rsidRPr="002D7F63">
        <w:t xml:space="preserve"> can be </w:t>
      </w:r>
      <w:r w:rsidR="005F6A29" w:rsidRPr="002D7F63">
        <w:t>expected</w:t>
      </w:r>
      <w:r w:rsidR="0072698A" w:rsidRPr="002D7F63">
        <w:t xml:space="preserve"> with 70-90% of MA separation.</w:t>
      </w:r>
      <w:bookmarkStart w:id="5" w:name="_Hlk1765886"/>
      <w:bookmarkEnd w:id="2"/>
      <w:bookmarkEnd w:id="3"/>
      <w:r w:rsidR="00CC0712" w:rsidRPr="002D7F63">
        <w:rPr>
          <w:b/>
          <w:lang w:val="en-US"/>
        </w:rPr>
        <w:t xml:space="preserve"> </w:t>
      </w:r>
    </w:p>
    <w:p w14:paraId="62337223" w14:textId="4389CC4D" w:rsidR="00CC0712" w:rsidRPr="002D7F63" w:rsidRDefault="00CC0712" w:rsidP="0072698A">
      <w:pPr>
        <w:pStyle w:val="a1"/>
        <w:rPr>
          <w:b/>
          <w:lang w:val="en-US"/>
        </w:rPr>
      </w:pPr>
    </w:p>
    <w:p w14:paraId="3212F8DE" w14:textId="186F898E" w:rsidR="00715AE8" w:rsidRPr="002D7F63" w:rsidRDefault="00AB20A9" w:rsidP="0072698A">
      <w:pPr>
        <w:pStyle w:val="a1"/>
      </w:pPr>
      <w:r w:rsidRPr="002D7F63">
        <w:rPr>
          <w:noProof/>
          <w:lang w:val="en-US"/>
        </w:rPr>
        <mc:AlternateContent>
          <mc:Choice Requires="wps">
            <w:drawing>
              <wp:anchor distT="0" distB="0" distL="114300" distR="114300" simplePos="0" relativeHeight="251664384" behindDoc="0" locked="0" layoutInCell="1" allowOverlap="1" wp14:anchorId="6AF50B5B" wp14:editId="5E7E57F4">
                <wp:simplePos x="0" y="0"/>
                <wp:positionH relativeFrom="margin">
                  <wp:posOffset>577215</wp:posOffset>
                </wp:positionH>
                <wp:positionV relativeFrom="paragraph">
                  <wp:posOffset>2583815</wp:posOffset>
                </wp:positionV>
                <wp:extent cx="5628005" cy="635"/>
                <wp:effectExtent l="0" t="0" r="0" b="8890"/>
                <wp:wrapTopAndBottom/>
                <wp:docPr id="6" name="Text Box 2"/>
                <wp:cNvGraphicFramePr/>
                <a:graphic xmlns:a="http://schemas.openxmlformats.org/drawingml/2006/main">
                  <a:graphicData uri="http://schemas.microsoft.com/office/word/2010/wordprocessingShape">
                    <wps:wsp>
                      <wps:cNvSpPr txBox="1"/>
                      <wps:spPr>
                        <a:xfrm>
                          <a:off x="0" y="0"/>
                          <a:ext cx="5628005" cy="635"/>
                        </a:xfrm>
                        <a:prstGeom prst="rect">
                          <a:avLst/>
                        </a:prstGeom>
                        <a:solidFill>
                          <a:prstClr val="white"/>
                        </a:solidFill>
                        <a:ln>
                          <a:noFill/>
                        </a:ln>
                        <a:effectLst/>
                      </wps:spPr>
                      <wps:txbx>
                        <w:txbxContent>
                          <w:p w14:paraId="34A22324" w14:textId="724A9C2C" w:rsidR="00163101" w:rsidRDefault="00163101" w:rsidP="00641BAC">
                            <w:pPr>
                              <w:pStyle w:val="a7"/>
                              <w:rPr>
                                <w:i/>
                              </w:rPr>
                            </w:pPr>
                            <w:r w:rsidRPr="00802381">
                              <w:rPr>
                                <w:i/>
                              </w:rPr>
                              <w:t xml:space="preserve">FIG. </w:t>
                            </w:r>
                            <w:r>
                              <w:rPr>
                                <w:i/>
                              </w:rPr>
                              <w:t xml:space="preserve">3. </w:t>
                            </w:r>
                            <w:r w:rsidRPr="00641BAC">
                              <w:rPr>
                                <w:i/>
                              </w:rPr>
                              <w:t>Effect of MA separation on evaluation with UO</w:t>
                            </w:r>
                            <w:r w:rsidRPr="00641BAC">
                              <w:rPr>
                                <w:i/>
                                <w:vertAlign w:val="subscript"/>
                              </w:rPr>
                              <w:t>2</w:t>
                            </w:r>
                            <w:r w:rsidRPr="00641BAC">
                              <w:rPr>
                                <w:i/>
                              </w:rPr>
                              <w:t xml:space="preserve"> </w:t>
                            </w:r>
                            <w:r>
                              <w:rPr>
                                <w:i/>
                              </w:rPr>
                              <w:t>SF</w:t>
                            </w:r>
                            <w:r w:rsidRPr="00641BAC">
                              <w:rPr>
                                <w:i/>
                              </w:rPr>
                              <w:t xml:space="preserve"> 3</w:t>
                            </w:r>
                            <w:r>
                              <w:rPr>
                                <w:i/>
                              </w:rPr>
                              <w:t>5</w:t>
                            </w:r>
                            <w:r w:rsidRPr="00641BAC">
                              <w:rPr>
                                <w:i/>
                              </w:rPr>
                              <w:t xml:space="preserve"> wt.% of waste loading (50, 100</w:t>
                            </w:r>
                            <w:r>
                              <w:rPr>
                                <w:i/>
                              </w:rPr>
                              <w:t xml:space="preserve"> </w:t>
                            </w:r>
                            <w:r w:rsidRPr="00641BAC">
                              <w:rPr>
                                <w:i/>
                              </w:rPr>
                              <w:t>year</w:t>
                            </w:r>
                            <w:r>
                              <w:rPr>
                                <w:i/>
                              </w:rPr>
                              <w:t>s</w:t>
                            </w:r>
                            <w:r w:rsidRPr="00641BAC">
                              <w:rPr>
                                <w:i/>
                              </w:rPr>
                              <w:t xml:space="preserve"> cooling period) (a) Relationship between the MA separation rate and CAERA index, (b) Relationship between the MA separation rate and reduction ratio of disposal area.</w:t>
                            </w:r>
                          </w:p>
                          <w:p w14:paraId="3356319B" w14:textId="77777777" w:rsidR="0021681F" w:rsidRPr="0021681F" w:rsidRDefault="0021681F" w:rsidP="0021681F">
                            <w:pPr>
                              <w:rPr>
                                <w:sz w:val="1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F50B5B" id="_x0000_s1028" type="#_x0000_t202" style="position:absolute;left:0;text-align:left;margin-left:45.45pt;margin-top:203.45pt;width:443.15pt;height:.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" stroked="f">
                <v:textbox style="mso-fit-shape-to-text:t" inset="0,0,0,0">
                  <w:txbxContent>
                    <w:p w14:paraId="34A22324" w14:textId="724A9C2C" w:rsidR="00163101" w:rsidRDefault="00163101" w:rsidP="00641BAC">
                      <w:pPr>
                        <w:pStyle w:val="a7"/>
                        <w:rPr>
                          <w:i/>
                        </w:rPr>
                      </w:pPr>
                      <w:r w:rsidRPr="00802381">
                        <w:rPr>
                          <w:i/>
                        </w:rPr>
                        <w:t xml:space="preserve">FIG. </w:t>
                      </w:r>
                      <w:r>
                        <w:rPr>
                          <w:i/>
                        </w:rPr>
                        <w:t xml:space="preserve">3. </w:t>
                      </w:r>
                      <w:r w:rsidRPr="00641BAC">
                        <w:rPr>
                          <w:i/>
                        </w:rPr>
                        <w:t>Effect of MA separation on evaluation with UO</w:t>
                      </w:r>
                      <w:r w:rsidRPr="00641BAC">
                        <w:rPr>
                          <w:i/>
                          <w:vertAlign w:val="subscript"/>
                        </w:rPr>
                        <w:t>2</w:t>
                      </w:r>
                      <w:r w:rsidRPr="00641BAC">
                        <w:rPr>
                          <w:i/>
                        </w:rPr>
                        <w:t xml:space="preserve"> </w:t>
                      </w:r>
                      <w:r>
                        <w:rPr>
                          <w:i/>
                        </w:rPr>
                        <w:t>SF</w:t>
                      </w:r>
                      <w:r w:rsidRPr="00641BAC">
                        <w:rPr>
                          <w:i/>
                        </w:rPr>
                        <w:t xml:space="preserve"> 3</w:t>
                      </w:r>
                      <w:r>
                        <w:rPr>
                          <w:i/>
                        </w:rPr>
                        <w:t>5</w:t>
                      </w:r>
                      <w:r w:rsidRPr="00641BAC">
                        <w:rPr>
                          <w:i/>
                        </w:rPr>
                        <w:t xml:space="preserve"> wt.% of waste loading (50, 100</w:t>
                      </w:r>
                      <w:r>
                        <w:rPr>
                          <w:i/>
                        </w:rPr>
                        <w:t xml:space="preserve"> </w:t>
                      </w:r>
                      <w:r w:rsidRPr="00641BAC">
                        <w:rPr>
                          <w:i/>
                        </w:rPr>
                        <w:t>year</w:t>
                      </w:r>
                      <w:r>
                        <w:rPr>
                          <w:i/>
                        </w:rPr>
                        <w:t>s</w:t>
                      </w:r>
                      <w:r w:rsidRPr="00641BAC">
                        <w:rPr>
                          <w:i/>
                        </w:rPr>
                        <w:t xml:space="preserve"> cooling period) (a) Relationship between the MA separation rate and CAERA index, (b) Relationship between the MA separation rate and reduction ratio of disposal area.</w:t>
                      </w:r>
                    </w:p>
                    <w:p w14:paraId="3356319B" w14:textId="77777777" w:rsidR="0021681F" w:rsidRPr="0021681F" w:rsidRDefault="0021681F" w:rsidP="0021681F">
                      <w:pPr>
                        <w:rPr>
                          <w:sz w:val="10"/>
                          <w:lang w:val="en-US"/>
                        </w:rPr>
                      </w:pPr>
                    </w:p>
                  </w:txbxContent>
                </v:textbox>
                <w10:wrap type="topAndBottom" anchorx="margin"/>
              </v:shape>
            </w:pict>
          </mc:Fallback>
        </mc:AlternateContent>
      </w:r>
      <w:r w:rsidR="00CC0712" w:rsidRPr="002D7F63">
        <w:rPr>
          <w:b/>
          <w:noProof/>
          <w:lang w:val="en-US"/>
        </w:rPr>
        <w:drawing>
          <wp:inline distT="0" distB="0" distL="0" distR="0" wp14:anchorId="4D461F66" wp14:editId="162F7B1A">
            <wp:extent cx="5400000" cy="25622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2562257"/>
                    </a:xfrm>
                    <a:prstGeom prst="rect">
                      <a:avLst/>
                    </a:prstGeom>
                    <a:noFill/>
                  </pic:spPr>
                </pic:pic>
              </a:graphicData>
            </a:graphic>
          </wp:inline>
        </w:drawing>
      </w:r>
    </w:p>
    <w:bookmarkEnd w:id="5"/>
    <w:p w14:paraId="1F3302F0" w14:textId="6763A464" w:rsidR="00CC0712" w:rsidRPr="002D7F63" w:rsidRDefault="00715AE8" w:rsidP="00715AE8">
      <w:pPr>
        <w:pStyle w:val="a1"/>
      </w:pPr>
      <w:r w:rsidRPr="002D7F63">
        <w:rPr>
          <w:b/>
        </w:rPr>
        <w:t xml:space="preserve">Fig. 4 </w:t>
      </w:r>
      <w:r w:rsidRPr="002D7F63">
        <w:t xml:space="preserve">shows the impact on the geological disposal </w:t>
      </w:r>
      <w:r w:rsidR="005F6A29" w:rsidRPr="002D7F63">
        <w:t>of</w:t>
      </w:r>
      <w:r w:rsidRPr="002D7F63">
        <w:t xml:space="preserve"> 50</w:t>
      </w:r>
      <w:r w:rsidR="005F6A29" w:rsidRPr="002D7F63">
        <w:t xml:space="preserve"> and</w:t>
      </w:r>
      <w:r w:rsidRPr="002D7F63">
        <w:t xml:space="preserve"> 100-year-cooled</w:t>
      </w:r>
      <w:r w:rsidR="005F6A29" w:rsidRPr="002D7F63">
        <w:t xml:space="preserve"> spent</w:t>
      </w:r>
      <w:r w:rsidRPr="002D7F63">
        <w:t xml:space="preserve"> MOX</w:t>
      </w:r>
      <w:r w:rsidR="005F6A29" w:rsidRPr="002D7F63">
        <w:t xml:space="preserve"> fuels</w:t>
      </w:r>
      <w:r w:rsidRPr="002D7F63">
        <w:t xml:space="preserve"> with 16 </w:t>
      </w:r>
      <w:proofErr w:type="spellStart"/>
      <w:r w:rsidRPr="002D7F63">
        <w:t>wt</w:t>
      </w:r>
      <w:proofErr w:type="spellEnd"/>
      <w:r w:rsidRPr="002D7F63">
        <w:t xml:space="preserve">% waste-loading. </w:t>
      </w:r>
      <w:r w:rsidRPr="002D7F63">
        <w:rPr>
          <w:b/>
        </w:rPr>
        <w:t xml:space="preserve">Fig. 4(a) </w:t>
      </w:r>
      <w:r w:rsidRPr="002D7F63">
        <w:t xml:space="preserve">shows that </w:t>
      </w:r>
      <w:r w:rsidR="005F6A29" w:rsidRPr="002D7F63">
        <w:t xml:space="preserve">the </w:t>
      </w:r>
      <w:r w:rsidRPr="002D7F63">
        <w:t xml:space="preserve">CAERA index </w:t>
      </w:r>
      <w:r w:rsidR="00EC54EE" w:rsidRPr="002D7F63">
        <w:t xml:space="preserve">got </w:t>
      </w:r>
      <w:r w:rsidRPr="002D7F63">
        <w:t>max</w:t>
      </w:r>
      <w:r w:rsidR="00EC54EE" w:rsidRPr="002D7F63">
        <w:t>imized</w:t>
      </w:r>
      <w:r w:rsidRPr="002D7F63">
        <w:t xml:space="preserve"> </w:t>
      </w:r>
      <w:r w:rsidR="005F6A29" w:rsidRPr="002D7F63">
        <w:t>when</w:t>
      </w:r>
      <w:r w:rsidRPr="002D7F63">
        <w:t xml:space="preserve"> </w:t>
      </w:r>
      <w:r w:rsidRPr="002D7F63">
        <w:rPr>
          <w:noProof/>
        </w:rPr>
        <w:t>90</w:t>
      </w:r>
      <w:r w:rsidRPr="002D7F63">
        <w:t xml:space="preserve">% </w:t>
      </w:r>
      <w:r w:rsidR="005F6A29" w:rsidRPr="002D7F63">
        <w:t xml:space="preserve">of MA was separated from </w:t>
      </w:r>
      <w:r w:rsidRPr="002D7F63">
        <w:t>50- and 100-year-cooled SF</w:t>
      </w:r>
      <w:r w:rsidR="005F6A29" w:rsidRPr="002D7F63">
        <w:t>s</w:t>
      </w:r>
      <w:r w:rsidRPr="002D7F63">
        <w:t xml:space="preserve">. </w:t>
      </w:r>
      <w:r w:rsidRPr="002D7F63">
        <w:rPr>
          <w:b/>
        </w:rPr>
        <w:t>Fig. 4(b)</w:t>
      </w:r>
      <w:r w:rsidRPr="002D7F63">
        <w:t xml:space="preserve"> shows the effect by indexation of the reduction ratio using the reference case</w:t>
      </w:r>
      <w:r w:rsidR="00955EFE" w:rsidRPr="002D7F63">
        <w:rPr>
          <w:lang w:eastAsia="ja-JP"/>
        </w:rPr>
        <w:t xml:space="preserve"> (0.97kg/m</w:t>
      </w:r>
      <w:r w:rsidR="00955EFE" w:rsidRPr="002D7F63">
        <w:rPr>
          <w:vertAlign w:val="superscript"/>
          <w:lang w:eastAsia="ja-JP"/>
        </w:rPr>
        <w:t>2</w:t>
      </w:r>
      <w:r w:rsidR="00955EFE" w:rsidRPr="002D7F63">
        <w:rPr>
          <w:lang w:eastAsia="ja-JP"/>
        </w:rPr>
        <w:t>)</w:t>
      </w:r>
      <w:r w:rsidRPr="002D7F63">
        <w:t xml:space="preserve"> as 1 and it reveals that although 90% of MA separation, it was not sufficiently effective in terms of the reduction ratio of the waste occupied area</w:t>
      </w:r>
      <w:r w:rsidR="00BA5034" w:rsidRPr="002D7F63">
        <w:t>.</w:t>
      </w:r>
    </w:p>
    <w:p w14:paraId="74A675DA" w14:textId="77777777" w:rsidR="00B7258D" w:rsidRPr="002D7F63" w:rsidRDefault="00B7258D" w:rsidP="00715AE8">
      <w:pPr>
        <w:pStyle w:val="a1"/>
        <w:rPr>
          <w:lang w:eastAsia="ja-JP"/>
        </w:rPr>
      </w:pPr>
    </w:p>
    <w:p w14:paraId="775128D8" w14:textId="43EE366F" w:rsidR="00715AE8" w:rsidRPr="002D7F63" w:rsidRDefault="00CC0712" w:rsidP="00C73C92">
      <w:pPr>
        <w:pStyle w:val="a1"/>
        <w:rPr>
          <w:b/>
          <w:lang w:eastAsia="ja-JP"/>
        </w:rPr>
      </w:pPr>
      <w:r w:rsidRPr="002D7F63">
        <w:rPr>
          <w:b/>
          <w:noProof/>
          <w:lang w:val="en-US"/>
        </w:rPr>
        <w:drawing>
          <wp:inline distT="0" distB="0" distL="0" distR="0" wp14:anchorId="24AB1FDC" wp14:editId="53F2051A">
            <wp:extent cx="5400000" cy="24836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2483675"/>
                    </a:xfrm>
                    <a:prstGeom prst="rect">
                      <a:avLst/>
                    </a:prstGeom>
                    <a:noFill/>
                  </pic:spPr>
                </pic:pic>
              </a:graphicData>
            </a:graphic>
          </wp:inline>
        </w:drawing>
      </w:r>
    </w:p>
    <w:p w14:paraId="4D96A823" w14:textId="1F70E851" w:rsidR="00442865" w:rsidRPr="002D7F63" w:rsidRDefault="00B7258D" w:rsidP="00754EE7">
      <w:pPr>
        <w:rPr>
          <w:b/>
          <w:sz w:val="20"/>
          <w:lang w:eastAsia="ja-JP"/>
        </w:rPr>
      </w:pPr>
      <w:r w:rsidRPr="002D7F63">
        <w:rPr>
          <w:noProof/>
          <w:lang w:val="en-US"/>
        </w:rPr>
        <mc:AlternateContent>
          <mc:Choice Requires="wps">
            <w:drawing>
              <wp:anchor distT="0" distB="0" distL="114300" distR="114300" simplePos="0" relativeHeight="251666432" behindDoc="0" locked="0" layoutInCell="1" allowOverlap="1" wp14:anchorId="355E15AD" wp14:editId="56A8A807">
                <wp:simplePos x="0" y="0"/>
                <wp:positionH relativeFrom="margin">
                  <wp:posOffset>488950</wp:posOffset>
                </wp:positionH>
                <wp:positionV relativeFrom="paragraph">
                  <wp:posOffset>188595</wp:posOffset>
                </wp:positionV>
                <wp:extent cx="5396865" cy="635"/>
                <wp:effectExtent l="0" t="0" r="0" b="8890"/>
                <wp:wrapTopAndBottom/>
                <wp:docPr id="11" name="Text Box 2"/>
                <wp:cNvGraphicFramePr/>
                <a:graphic xmlns:a="http://schemas.openxmlformats.org/drawingml/2006/main">
                  <a:graphicData uri="http://schemas.microsoft.com/office/word/2010/wordprocessingShape">
                    <wps:wsp>
                      <wps:cNvSpPr txBox="1"/>
                      <wps:spPr>
                        <a:xfrm>
                          <a:off x="0" y="0"/>
                          <a:ext cx="5396865" cy="635"/>
                        </a:xfrm>
                        <a:prstGeom prst="rect">
                          <a:avLst/>
                        </a:prstGeom>
                        <a:solidFill>
                          <a:prstClr val="white"/>
                        </a:solidFill>
                        <a:ln>
                          <a:noFill/>
                        </a:ln>
                        <a:effectLst/>
                      </wps:spPr>
                      <wps:txbx>
                        <w:txbxContent>
                          <w:p w14:paraId="44F06076" w14:textId="2CCDD50D" w:rsidR="00163101" w:rsidRPr="00802381" w:rsidRDefault="00163101" w:rsidP="000E25D6">
                            <w:pPr>
                              <w:pStyle w:val="a7"/>
                              <w:rPr>
                                <w:i/>
                                <w:sz w:val="20"/>
                              </w:rPr>
                            </w:pPr>
                            <w:r w:rsidRPr="00802381">
                              <w:rPr>
                                <w:i/>
                              </w:rPr>
                              <w:t xml:space="preserve">FIG. </w:t>
                            </w:r>
                            <w:r>
                              <w:rPr>
                                <w:i/>
                              </w:rPr>
                              <w:t xml:space="preserve">4. </w:t>
                            </w:r>
                            <w:r w:rsidRPr="00641BAC">
                              <w:rPr>
                                <w:i/>
                              </w:rPr>
                              <w:t xml:space="preserve">Effect of MA separation on evaluation with </w:t>
                            </w:r>
                            <w:r>
                              <w:rPr>
                                <w:i/>
                              </w:rPr>
                              <w:t>MOX</w:t>
                            </w:r>
                            <w:r w:rsidRPr="00641BAC">
                              <w:rPr>
                                <w:i/>
                              </w:rPr>
                              <w:t xml:space="preserve"> </w:t>
                            </w:r>
                            <w:r>
                              <w:rPr>
                                <w:i/>
                              </w:rPr>
                              <w:t>SF</w:t>
                            </w:r>
                            <w:r w:rsidRPr="00641BAC">
                              <w:rPr>
                                <w:i/>
                              </w:rPr>
                              <w:t xml:space="preserve"> </w:t>
                            </w:r>
                            <w:r>
                              <w:rPr>
                                <w:i/>
                              </w:rPr>
                              <w:t>16</w:t>
                            </w:r>
                            <w:r w:rsidRPr="00641BAC">
                              <w:rPr>
                                <w:i/>
                              </w:rPr>
                              <w:t>wt</w:t>
                            </w:r>
                            <w:r>
                              <w:rPr>
                                <w:i/>
                              </w:rPr>
                              <w:t>.</w:t>
                            </w:r>
                            <w:r w:rsidRPr="00641BAC">
                              <w:rPr>
                                <w:i/>
                              </w:rPr>
                              <w:t>% of waste loading (50, 100</w:t>
                            </w:r>
                            <w:r>
                              <w:rPr>
                                <w:i/>
                              </w:rPr>
                              <w:t xml:space="preserve"> </w:t>
                            </w:r>
                            <w:r w:rsidRPr="00641BAC">
                              <w:rPr>
                                <w:i/>
                              </w:rPr>
                              <w:t>year</w:t>
                            </w:r>
                            <w:r>
                              <w:rPr>
                                <w:i/>
                              </w:rPr>
                              <w:t>s</w:t>
                            </w:r>
                            <w:r w:rsidRPr="00641BAC">
                              <w:rPr>
                                <w:i/>
                              </w:rPr>
                              <w:t xml:space="preserve"> cooling period) (a) Relationship between the MA separation rat</w:t>
                            </w:r>
                            <w:r>
                              <w:rPr>
                                <w:i/>
                              </w:rPr>
                              <w:t>io</w:t>
                            </w:r>
                            <w:r w:rsidRPr="00641BAC">
                              <w:rPr>
                                <w:i/>
                              </w:rPr>
                              <w:t xml:space="preserve"> and CAERA index, (b) Relationship between the MA separation rat</w:t>
                            </w:r>
                            <w:r>
                              <w:rPr>
                                <w:i/>
                              </w:rPr>
                              <w:t>io</w:t>
                            </w:r>
                            <w:r w:rsidRPr="00641BAC">
                              <w:rPr>
                                <w:i/>
                              </w:rPr>
                              <w:t xml:space="preserve"> and reduction ratio of disposal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5E15AD" id="_x0000_s1029" type="#_x0000_t202" style="position:absolute;margin-left:38.5pt;margin-top:14.85pt;width:424.95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" stroked="f">
                <v:textbox style="mso-fit-shape-to-text:t" inset="0,0,0,0">
                  <w:txbxContent>
                    <w:p w14:paraId="44F06076" w14:textId="2CCDD50D" w:rsidR="00163101" w:rsidRPr="00802381" w:rsidRDefault="00163101" w:rsidP="000E25D6">
                      <w:pPr>
                        <w:pStyle w:val="a7"/>
                        <w:rPr>
                          <w:i/>
                          <w:sz w:val="20"/>
                        </w:rPr>
                      </w:pPr>
                      <w:r w:rsidRPr="00802381">
                        <w:rPr>
                          <w:i/>
                        </w:rPr>
                        <w:t xml:space="preserve">FIG. </w:t>
                      </w:r>
                      <w:r>
                        <w:rPr>
                          <w:i/>
                        </w:rPr>
                        <w:t xml:space="preserve">4. </w:t>
                      </w:r>
                      <w:r w:rsidRPr="00641BAC">
                        <w:rPr>
                          <w:i/>
                        </w:rPr>
                        <w:t xml:space="preserve">Effect of MA separation on evaluation with </w:t>
                      </w:r>
                      <w:r>
                        <w:rPr>
                          <w:i/>
                        </w:rPr>
                        <w:t>MOX</w:t>
                      </w:r>
                      <w:r w:rsidRPr="00641BAC">
                        <w:rPr>
                          <w:i/>
                        </w:rPr>
                        <w:t xml:space="preserve"> </w:t>
                      </w:r>
                      <w:r>
                        <w:rPr>
                          <w:i/>
                        </w:rPr>
                        <w:t>SF</w:t>
                      </w:r>
                      <w:r w:rsidRPr="00641BAC">
                        <w:rPr>
                          <w:i/>
                        </w:rPr>
                        <w:t xml:space="preserve"> </w:t>
                      </w:r>
                      <w:r>
                        <w:rPr>
                          <w:i/>
                        </w:rPr>
                        <w:t>16</w:t>
                      </w:r>
                      <w:r w:rsidRPr="00641BAC">
                        <w:rPr>
                          <w:i/>
                        </w:rPr>
                        <w:t>wt</w:t>
                      </w:r>
                      <w:r>
                        <w:rPr>
                          <w:i/>
                        </w:rPr>
                        <w:t>.</w:t>
                      </w:r>
                      <w:r w:rsidRPr="00641BAC">
                        <w:rPr>
                          <w:i/>
                        </w:rPr>
                        <w:t>% of waste loading (50, 100</w:t>
                      </w:r>
                      <w:r>
                        <w:rPr>
                          <w:i/>
                        </w:rPr>
                        <w:t xml:space="preserve"> </w:t>
                      </w:r>
                      <w:r w:rsidRPr="00641BAC">
                        <w:rPr>
                          <w:i/>
                        </w:rPr>
                        <w:t>year</w:t>
                      </w:r>
                      <w:r>
                        <w:rPr>
                          <w:i/>
                        </w:rPr>
                        <w:t>s</w:t>
                      </w:r>
                      <w:r w:rsidRPr="00641BAC">
                        <w:rPr>
                          <w:i/>
                        </w:rPr>
                        <w:t xml:space="preserve"> cooling period) (a) Relationship between the MA separation rat</w:t>
                      </w:r>
                      <w:r>
                        <w:rPr>
                          <w:i/>
                        </w:rPr>
                        <w:t>io</w:t>
                      </w:r>
                      <w:r w:rsidRPr="00641BAC">
                        <w:rPr>
                          <w:i/>
                        </w:rPr>
                        <w:t xml:space="preserve"> and CAERA index, (b) Relationship between the MA separation rat</w:t>
                      </w:r>
                      <w:r>
                        <w:rPr>
                          <w:i/>
                        </w:rPr>
                        <w:t>io</w:t>
                      </w:r>
                      <w:r w:rsidRPr="00641BAC">
                        <w:rPr>
                          <w:i/>
                        </w:rPr>
                        <w:t xml:space="preserve"> and reduction ratio of disposal area.</w:t>
                      </w:r>
                    </w:p>
                  </w:txbxContent>
                </v:textbox>
                <w10:wrap type="topAndBottom" anchorx="margin"/>
              </v:shape>
            </w:pict>
          </mc:Fallback>
        </mc:AlternateContent>
      </w:r>
    </w:p>
    <w:p w14:paraId="33C2A6EF" w14:textId="4271B671" w:rsidR="00414795" w:rsidRPr="002D7F63" w:rsidRDefault="00414795" w:rsidP="00414795">
      <w:pPr>
        <w:pStyle w:val="2"/>
        <w:numPr>
          <w:ilvl w:val="1"/>
          <w:numId w:val="10"/>
        </w:numPr>
      </w:pPr>
      <w:r w:rsidRPr="002D7F63">
        <w:t>CONCLUSIONS</w:t>
      </w:r>
    </w:p>
    <w:p w14:paraId="08A1698E" w14:textId="5E5B6D87" w:rsidR="00755052" w:rsidRPr="002D7F63" w:rsidRDefault="005F6A29" w:rsidP="00755052">
      <w:pPr>
        <w:pStyle w:val="a1"/>
        <w:rPr>
          <w:lang w:eastAsia="ja-JP"/>
        </w:rPr>
      </w:pPr>
      <w:r w:rsidRPr="002D7F63">
        <w:rPr>
          <w:lang w:eastAsia="ja-JP"/>
        </w:rPr>
        <w:t>The</w:t>
      </w:r>
      <w:r w:rsidRPr="002D7F63">
        <w:t xml:space="preserve"> effects of MA separation on waste occupied area reduction of spent MOX fuel and spent UO</w:t>
      </w:r>
      <w:r w:rsidRPr="002D7F63">
        <w:rPr>
          <w:vertAlign w:val="subscript"/>
        </w:rPr>
        <w:t>2</w:t>
      </w:r>
      <w:r w:rsidRPr="002D7F63">
        <w:t xml:space="preserve"> fuels with </w:t>
      </w:r>
      <w:r w:rsidRPr="002D7F63">
        <w:rPr>
          <w:noProof/>
        </w:rPr>
        <w:t>prolonged</w:t>
      </w:r>
      <w:r w:rsidRPr="002D7F63">
        <w:t xml:space="preserve"> cooling period were comprehensively evaluated. </w:t>
      </w:r>
      <w:r w:rsidR="002A0E88" w:rsidRPr="002D7F63">
        <w:t>For UO</w:t>
      </w:r>
      <w:r w:rsidR="002A0E88" w:rsidRPr="002D7F63">
        <w:rPr>
          <w:vertAlign w:val="subscript"/>
        </w:rPr>
        <w:t>2</w:t>
      </w:r>
      <w:r w:rsidR="002A0E88" w:rsidRPr="002D7F63">
        <w:t xml:space="preserve"> fuel</w:t>
      </w:r>
      <w:r w:rsidRPr="002D7F63">
        <w:t xml:space="preserve"> with </w:t>
      </w:r>
      <w:r w:rsidRPr="002D7F63">
        <w:rPr>
          <w:noProof/>
        </w:rPr>
        <w:t>prolonged</w:t>
      </w:r>
      <w:r w:rsidRPr="002D7F63">
        <w:t xml:space="preserve"> cooling period</w:t>
      </w:r>
      <w:r w:rsidR="002A0E88" w:rsidRPr="002D7F63">
        <w:t>, it</w:t>
      </w:r>
      <w:r w:rsidRPr="002D7F63">
        <w:t xml:space="preserve"> was</w:t>
      </w:r>
      <w:r w:rsidR="002A0E88" w:rsidRPr="002D7F63">
        <w:t xml:space="preserve"> revealed that more than 50% reduction </w:t>
      </w:r>
      <w:r w:rsidRPr="002D7F63">
        <w:t>of</w:t>
      </w:r>
      <w:r w:rsidR="002A0E88" w:rsidRPr="002D7F63">
        <w:t xml:space="preserve"> the waste occupied area can be obtained </w:t>
      </w:r>
      <w:r w:rsidRPr="002D7F63">
        <w:t>by</w:t>
      </w:r>
      <w:r w:rsidR="002A0E88" w:rsidRPr="002D7F63">
        <w:t xml:space="preserve"> 70-90% </w:t>
      </w:r>
      <w:r w:rsidRPr="002D7F63">
        <w:t xml:space="preserve">separation </w:t>
      </w:r>
      <w:r w:rsidR="002A0E88" w:rsidRPr="002D7F63">
        <w:t xml:space="preserve">of MA </w:t>
      </w:r>
      <w:r w:rsidR="00EC3FA5" w:rsidRPr="002D7F63">
        <w:t>and high-waste-loading</w:t>
      </w:r>
      <w:r w:rsidR="002A0E88" w:rsidRPr="002D7F63">
        <w:t xml:space="preserve">. </w:t>
      </w:r>
      <w:r w:rsidR="00990E80" w:rsidRPr="002D7F63">
        <w:t>O</w:t>
      </w:r>
      <w:r w:rsidR="002A0E88" w:rsidRPr="002D7F63">
        <w:t xml:space="preserve">n the other hand, the results showed that </w:t>
      </w:r>
      <w:r w:rsidR="00754EE7" w:rsidRPr="002D7F63">
        <w:t xml:space="preserve">introduction of MA separation </w:t>
      </w:r>
      <w:r w:rsidR="00E16224" w:rsidRPr="002D7F63">
        <w:t>to spent</w:t>
      </w:r>
      <w:r w:rsidR="00754EE7" w:rsidRPr="002D7F63">
        <w:t xml:space="preserve"> MOX fuel</w:t>
      </w:r>
      <w:r w:rsidR="00E16224" w:rsidRPr="002D7F63">
        <w:t>s</w:t>
      </w:r>
      <w:r w:rsidR="00754EE7" w:rsidRPr="002D7F63">
        <w:t xml:space="preserve"> </w:t>
      </w:r>
      <w:r w:rsidR="00676752" w:rsidRPr="002D7F63">
        <w:t xml:space="preserve">was </w:t>
      </w:r>
      <w:r w:rsidR="00754EE7" w:rsidRPr="002D7F63">
        <w:t>not effective</w:t>
      </w:r>
      <w:r w:rsidRPr="002D7F63">
        <w:t xml:space="preserve"> enough</w:t>
      </w:r>
      <w:r w:rsidR="00754EE7" w:rsidRPr="002D7F63">
        <w:t xml:space="preserve"> </w:t>
      </w:r>
      <w:r w:rsidRPr="002D7F63">
        <w:t xml:space="preserve">from the </w:t>
      </w:r>
      <w:r w:rsidRPr="002D7F63">
        <w:rPr>
          <w:noProof/>
        </w:rPr>
        <w:t>view point</w:t>
      </w:r>
      <w:r w:rsidRPr="002D7F63">
        <w:t xml:space="preserve"> of the </w:t>
      </w:r>
      <w:r w:rsidR="00754EE7" w:rsidRPr="002D7F63">
        <w:t>thermal property of a geological repository</w:t>
      </w:r>
      <w:r w:rsidR="0094406C" w:rsidRPr="002D7F63">
        <w:t xml:space="preserve"> for fuels cooled for over 50 years with high-waste-loading vitrified waste</w:t>
      </w:r>
      <w:r w:rsidR="00E16224" w:rsidRPr="002D7F63">
        <w:t xml:space="preserve"> like spent UO</w:t>
      </w:r>
      <w:r w:rsidR="00E16224" w:rsidRPr="002D7F63">
        <w:rPr>
          <w:vertAlign w:val="subscript"/>
        </w:rPr>
        <w:t>2</w:t>
      </w:r>
      <w:r w:rsidR="00E16224" w:rsidRPr="002D7F63">
        <w:t xml:space="preserve"> fuels. </w:t>
      </w:r>
      <w:r w:rsidR="008A54B2" w:rsidRPr="002D7F63">
        <w:rPr>
          <w:lang w:eastAsia="ja-JP"/>
        </w:rPr>
        <w:t>It also indicated that for</w:t>
      </w:r>
      <w:r w:rsidR="00E16224" w:rsidRPr="002D7F63">
        <w:rPr>
          <w:lang w:eastAsia="ja-JP"/>
        </w:rPr>
        <w:t xml:space="preserve"> spent </w:t>
      </w:r>
      <w:r w:rsidR="008A54B2" w:rsidRPr="002D7F63">
        <w:rPr>
          <w:lang w:eastAsia="ja-JP"/>
        </w:rPr>
        <w:t>MOX fuel</w:t>
      </w:r>
      <w:r w:rsidR="00E16224" w:rsidRPr="002D7F63">
        <w:rPr>
          <w:lang w:eastAsia="ja-JP"/>
        </w:rPr>
        <w:t>s</w:t>
      </w:r>
      <w:r w:rsidR="008A54B2" w:rsidRPr="002D7F63">
        <w:rPr>
          <w:lang w:eastAsia="ja-JP"/>
        </w:rPr>
        <w:t xml:space="preserve">, the contribution of MA to the overall heat generation rate is </w:t>
      </w:r>
      <w:r w:rsidR="00E16224" w:rsidRPr="002D7F63">
        <w:rPr>
          <w:lang w:eastAsia="ja-JP"/>
        </w:rPr>
        <w:t xml:space="preserve">more </w:t>
      </w:r>
      <w:r w:rsidR="008A54B2" w:rsidRPr="002D7F63">
        <w:rPr>
          <w:lang w:eastAsia="ja-JP"/>
        </w:rPr>
        <w:t>significant than th</w:t>
      </w:r>
      <w:r w:rsidR="00E16224" w:rsidRPr="002D7F63">
        <w:rPr>
          <w:lang w:eastAsia="ja-JP"/>
        </w:rPr>
        <w:t>ose</w:t>
      </w:r>
      <w:r w:rsidR="008A54B2" w:rsidRPr="002D7F63">
        <w:rPr>
          <w:lang w:eastAsia="ja-JP"/>
        </w:rPr>
        <w:t xml:space="preserve"> of </w:t>
      </w:r>
      <w:r w:rsidR="00E16224" w:rsidRPr="002D7F63">
        <w:rPr>
          <w:lang w:eastAsia="ja-JP"/>
        </w:rPr>
        <w:t xml:space="preserve">spent </w:t>
      </w:r>
      <w:r w:rsidR="008A54B2" w:rsidRPr="002D7F63">
        <w:rPr>
          <w:lang w:eastAsia="ja-JP"/>
        </w:rPr>
        <w:t>UO</w:t>
      </w:r>
      <w:r w:rsidR="008A54B2" w:rsidRPr="002D7F63">
        <w:rPr>
          <w:vertAlign w:val="subscript"/>
          <w:lang w:eastAsia="ja-JP"/>
        </w:rPr>
        <w:t>2</w:t>
      </w:r>
      <w:r w:rsidR="008A54B2" w:rsidRPr="002D7F63">
        <w:rPr>
          <w:lang w:eastAsia="ja-JP"/>
        </w:rPr>
        <w:t xml:space="preserve"> fuel</w:t>
      </w:r>
      <w:r w:rsidR="00E16224" w:rsidRPr="002D7F63">
        <w:rPr>
          <w:lang w:eastAsia="ja-JP"/>
        </w:rPr>
        <w:t>s</w:t>
      </w:r>
      <w:r w:rsidR="008A54B2" w:rsidRPr="002D7F63">
        <w:rPr>
          <w:lang w:eastAsia="ja-JP"/>
        </w:rPr>
        <w:t>.</w:t>
      </w:r>
      <w:r w:rsidR="002A0E88" w:rsidRPr="002D7F63">
        <w:rPr>
          <w:lang w:eastAsia="ja-JP"/>
        </w:rPr>
        <w:t xml:space="preserve"> </w:t>
      </w:r>
      <w:bookmarkStart w:id="6" w:name="_Hlk1989712"/>
      <w:r w:rsidR="002A0E88" w:rsidRPr="002D7F63">
        <w:t>These results highlighted that UO</w:t>
      </w:r>
      <w:r w:rsidR="002A0E88" w:rsidRPr="002D7F63">
        <w:rPr>
          <w:vertAlign w:val="subscript"/>
        </w:rPr>
        <w:t>2</w:t>
      </w:r>
      <w:r w:rsidR="002A0E88" w:rsidRPr="002D7F63">
        <w:t xml:space="preserve"> fuel and MOX fuel </w:t>
      </w:r>
      <w:r w:rsidR="00755052" w:rsidRPr="002D7F63">
        <w:t xml:space="preserve">are different </w:t>
      </w:r>
      <w:r w:rsidR="00117148" w:rsidRPr="002D7F63">
        <w:rPr>
          <w:lang w:eastAsia="ja-JP"/>
        </w:rPr>
        <w:t xml:space="preserve">in its </w:t>
      </w:r>
      <w:r w:rsidR="00CC0712" w:rsidRPr="002D7F63">
        <w:t>isotopic composition</w:t>
      </w:r>
      <w:r w:rsidR="00180D28" w:rsidRPr="002D7F63">
        <w:t xml:space="preserve"> and</w:t>
      </w:r>
      <w:r w:rsidR="00117148" w:rsidRPr="002D7F63">
        <w:t xml:space="preserve"> heat generation rate,</w:t>
      </w:r>
      <w:r w:rsidR="006A0E61" w:rsidRPr="002D7F63">
        <w:t xml:space="preserve"> that </w:t>
      </w:r>
      <w:r w:rsidR="00163101" w:rsidRPr="002D7F63">
        <w:t>was difficult to be directly compared according to the waste occupied area</w:t>
      </w:r>
      <w:r w:rsidR="00755052" w:rsidRPr="002D7F63">
        <w:t xml:space="preserve">. Therefore, </w:t>
      </w:r>
      <w:r w:rsidR="00E957EF" w:rsidRPr="002D7F63">
        <w:t xml:space="preserve">further discussion toward </w:t>
      </w:r>
      <w:r w:rsidR="00E957EF" w:rsidRPr="002D7F63">
        <w:rPr>
          <w:lang w:eastAsia="ja-JP"/>
        </w:rPr>
        <w:t>disposal</w:t>
      </w:r>
      <w:r w:rsidR="00E957EF" w:rsidRPr="002D7F63">
        <w:t xml:space="preserve"> </w:t>
      </w:r>
      <w:r w:rsidR="00755052" w:rsidRPr="002D7F63">
        <w:t xml:space="preserve">would be needed to evaluate the reduction effect of </w:t>
      </w:r>
      <w:r w:rsidR="00903D62" w:rsidRPr="002D7F63">
        <w:t xml:space="preserve">the </w:t>
      </w:r>
      <w:r w:rsidR="00755052" w:rsidRPr="002D7F63">
        <w:rPr>
          <w:noProof/>
        </w:rPr>
        <w:t>waste</w:t>
      </w:r>
      <w:r w:rsidR="00755052" w:rsidRPr="002D7F63">
        <w:t xml:space="preserve"> occupied area for realistic discussion toward MOX fuel disposal</w:t>
      </w:r>
      <w:r w:rsidR="006A0E61" w:rsidRPr="002D7F63">
        <w:t>.</w:t>
      </w:r>
    </w:p>
    <w:bookmarkEnd w:id="6"/>
    <w:p w14:paraId="5FDF9CEE" w14:textId="77777777" w:rsidR="006A0E61" w:rsidRPr="002D7F63" w:rsidRDefault="006A0E61" w:rsidP="00755052">
      <w:pPr>
        <w:pStyle w:val="a1"/>
      </w:pPr>
    </w:p>
    <w:p w14:paraId="52161FD8" w14:textId="7FB831FC" w:rsidR="001D2867" w:rsidRPr="002D7F63" w:rsidRDefault="00E16224" w:rsidP="008A54B2">
      <w:pPr>
        <w:pStyle w:val="a1"/>
      </w:pPr>
      <w:r w:rsidRPr="002D7F63">
        <w:t xml:space="preserve">Illustration of the </w:t>
      </w:r>
      <w:r w:rsidR="001D2867" w:rsidRPr="002D7F63">
        <w:t xml:space="preserve">potential effects of </w:t>
      </w:r>
      <w:r w:rsidRPr="002D7F63">
        <w:t xml:space="preserve">various conditions such as fuel type, SF cooling period, weight loading and MA separation affects environmental load reduction on </w:t>
      </w:r>
      <w:r w:rsidR="00903D62" w:rsidRPr="002D7F63">
        <w:t xml:space="preserve">the </w:t>
      </w:r>
      <w:r w:rsidRPr="002D7F63">
        <w:rPr>
          <w:noProof/>
        </w:rPr>
        <w:t>nuclear</w:t>
      </w:r>
      <w:r w:rsidRPr="002D7F63">
        <w:t xml:space="preserve"> fuel cycle by </w:t>
      </w:r>
      <w:r w:rsidR="00903D62" w:rsidRPr="002D7F63">
        <w:t xml:space="preserve">the </w:t>
      </w:r>
      <w:r w:rsidRPr="002D7F63">
        <w:rPr>
          <w:noProof/>
        </w:rPr>
        <w:t>introduction</w:t>
      </w:r>
      <w:r w:rsidRPr="002D7F63">
        <w:t xml:space="preserve"> of CAERA index was successful. This study has </w:t>
      </w:r>
      <w:r w:rsidR="00903D62" w:rsidRPr="002D7F63">
        <w:t xml:space="preserve">the </w:t>
      </w:r>
      <w:r w:rsidRPr="002D7F63">
        <w:rPr>
          <w:noProof/>
        </w:rPr>
        <w:t>potential</w:t>
      </w:r>
      <w:r w:rsidRPr="002D7F63">
        <w:t xml:space="preserve"> to apply to the </w:t>
      </w:r>
      <w:r w:rsidR="001D2867" w:rsidRPr="002D7F63">
        <w:t>safety</w:t>
      </w:r>
      <w:r w:rsidRPr="002D7F63">
        <w:t xml:space="preserve"> assessment and combination with potential radiotoxicity</w:t>
      </w:r>
      <w:r w:rsidR="001D2867" w:rsidRPr="002D7F63">
        <w:t xml:space="preserve"> </w:t>
      </w:r>
      <w:r w:rsidRPr="002D7F63">
        <w:t xml:space="preserve">estimation can help </w:t>
      </w:r>
      <w:r w:rsidR="00903D62" w:rsidRPr="002D7F63">
        <w:t xml:space="preserve">the </w:t>
      </w:r>
      <w:r w:rsidRPr="002D7F63">
        <w:rPr>
          <w:noProof/>
        </w:rPr>
        <w:t>development</w:t>
      </w:r>
      <w:r w:rsidRPr="002D7F63">
        <w:t xml:space="preserve"> of more sophisticated nuclear fuel cycle in </w:t>
      </w:r>
      <w:r w:rsidR="00903D62" w:rsidRPr="002D7F63">
        <w:t xml:space="preserve">the </w:t>
      </w:r>
      <w:r w:rsidRPr="002D7F63">
        <w:rPr>
          <w:noProof/>
        </w:rPr>
        <w:t>future</w:t>
      </w:r>
      <w:r w:rsidR="00967048" w:rsidRPr="002D7F63">
        <w:t>.</w:t>
      </w:r>
    </w:p>
    <w:p w14:paraId="02C6C396" w14:textId="77777777" w:rsidR="00285755" w:rsidRPr="002D7F63" w:rsidRDefault="00285755" w:rsidP="00537496">
      <w:pPr>
        <w:pStyle w:val="Otherunnumberedheadings"/>
        <w:rPr>
          <w:rFonts w:ascii="Times New Roman" w:hAnsi="Times New Roman"/>
        </w:rPr>
      </w:pPr>
      <w:r w:rsidRPr="002D7F63">
        <w:rPr>
          <w:rFonts w:ascii="Times New Roman" w:hAnsi="Times New Roman"/>
          <w:noProof/>
        </w:rPr>
        <w:t>ACKNOWLEDGEMENTS</w:t>
      </w:r>
    </w:p>
    <w:p w14:paraId="1E4A032C" w14:textId="57CD4C35" w:rsidR="00D26ADA" w:rsidRPr="002D7F63" w:rsidRDefault="00641BAC" w:rsidP="00537496">
      <w:pPr>
        <w:pStyle w:val="a1"/>
      </w:pPr>
      <w:r w:rsidRPr="002D7F63">
        <w:t xml:space="preserve">This research was supported in part by the Radioactive Waste Management Funding and Research </w:t>
      </w:r>
      <w:proofErr w:type="spellStart"/>
      <w:r w:rsidRPr="002D7F63">
        <w:t>Center</w:t>
      </w:r>
      <w:proofErr w:type="spellEnd"/>
      <w:r w:rsidRPr="002D7F63">
        <w:t xml:space="preserve"> (RWMC) and some results of this study were obtained as part of their research program “Study on the effects of advanced nuclear fuel cycle technology to the geological disposal concept”. Discussions with them have been particularly fruitful and thank you for helpful discussions.</w:t>
      </w:r>
    </w:p>
    <w:p w14:paraId="79F18177" w14:textId="77777777" w:rsidR="00A849F6" w:rsidRPr="002D7F63" w:rsidRDefault="00A849F6" w:rsidP="00537496">
      <w:pPr>
        <w:pStyle w:val="a1"/>
      </w:pPr>
    </w:p>
    <w:p w14:paraId="186872E0" w14:textId="72E98D1A" w:rsidR="00D26ADA" w:rsidRPr="002D7F63" w:rsidRDefault="00D26ADA" w:rsidP="00537496">
      <w:pPr>
        <w:pStyle w:val="Otherunnumberedheadings"/>
        <w:rPr>
          <w:rFonts w:ascii="Times New Roman" w:hAnsi="Times New Roman"/>
        </w:rPr>
      </w:pPr>
      <w:r w:rsidRPr="002D7F63">
        <w:rPr>
          <w:rFonts w:ascii="Times New Roman" w:hAnsi="Times New Roman"/>
        </w:rPr>
        <w:t>References</w:t>
      </w:r>
    </w:p>
    <w:p w14:paraId="4EF41CE2" w14:textId="0D33D9CD" w:rsidR="00641BAC" w:rsidRPr="002D7F63" w:rsidRDefault="00641BAC" w:rsidP="00641BAC">
      <w:pPr>
        <w:pStyle w:val="Referencelist"/>
      </w:pPr>
      <w:proofErr w:type="spellStart"/>
      <w:r w:rsidRPr="002D7F63">
        <w:t>Oigawa</w:t>
      </w:r>
      <w:proofErr w:type="spellEnd"/>
      <w:r w:rsidRPr="002D7F63">
        <w:t xml:space="preserve"> H, </w:t>
      </w:r>
      <w:proofErr w:type="spellStart"/>
      <w:r w:rsidRPr="002D7F63">
        <w:t>Yokoo</w:t>
      </w:r>
      <w:proofErr w:type="spellEnd"/>
      <w:r w:rsidRPr="002D7F63">
        <w:t xml:space="preserve"> T, Nishihara K, et al. Parametric survey for benefit of partitioning and transmutation technology in terms of high-level radioactive waste disposal. J </w:t>
      </w:r>
      <w:proofErr w:type="spellStart"/>
      <w:r w:rsidRPr="002D7F63">
        <w:t>Nucl</w:t>
      </w:r>
      <w:proofErr w:type="spellEnd"/>
      <w:r w:rsidRPr="002D7F63">
        <w:t xml:space="preserve"> Sci Technol. (2007); 44:398–404.</w:t>
      </w:r>
    </w:p>
    <w:p w14:paraId="0604F40E" w14:textId="015B7AF1" w:rsidR="00641BAC" w:rsidRPr="002D7F63" w:rsidRDefault="00641BAC" w:rsidP="00641BAC">
      <w:pPr>
        <w:pStyle w:val="Referencelist"/>
      </w:pPr>
      <w:r w:rsidRPr="002D7F63">
        <w:t xml:space="preserve">Liang F, Liu X. Analysis </w:t>
      </w:r>
      <w:r w:rsidRPr="002D7F63">
        <w:rPr>
          <w:noProof/>
        </w:rPr>
        <w:t>on</w:t>
      </w:r>
      <w:r w:rsidRPr="002D7F63">
        <w:t xml:space="preserve"> the characteristics of geologic disposal waste arising from various partitioning and conditioning options. Ann </w:t>
      </w:r>
      <w:proofErr w:type="spellStart"/>
      <w:r w:rsidRPr="002D7F63">
        <w:t>Nucl</w:t>
      </w:r>
      <w:proofErr w:type="spellEnd"/>
      <w:r w:rsidRPr="002D7F63">
        <w:t xml:space="preserve"> Energy. (2015); 85:371–379.</w:t>
      </w:r>
    </w:p>
    <w:p w14:paraId="07136A6C" w14:textId="2FF6C86B" w:rsidR="00641BAC" w:rsidRPr="002D7F63" w:rsidRDefault="00641BAC" w:rsidP="00641BAC">
      <w:pPr>
        <w:pStyle w:val="Referencelist"/>
      </w:pPr>
      <w:r w:rsidRPr="002D7F63">
        <w:t xml:space="preserve">Inagaki Y, Iwasaki T, Sato S, et al. LWR high burnup operation and MOX introduction; fuel cycle performance from the viewpoint of waste management. J </w:t>
      </w:r>
      <w:proofErr w:type="spellStart"/>
      <w:r w:rsidRPr="002D7F63">
        <w:t>Nucl</w:t>
      </w:r>
      <w:proofErr w:type="spellEnd"/>
      <w:r w:rsidRPr="002D7F63">
        <w:t xml:space="preserve"> Sci Technol. (2009); 46:677–689.</w:t>
      </w:r>
    </w:p>
    <w:p w14:paraId="0EE66098" w14:textId="77777777" w:rsidR="00641BAC" w:rsidRPr="002D7F63" w:rsidRDefault="00641BAC" w:rsidP="00641BAC">
      <w:pPr>
        <w:pStyle w:val="Referencelist"/>
      </w:pPr>
      <w:r w:rsidRPr="002D7F63">
        <w:t>Second Progress Report on Research and Development for the Geological Disposal of HLW in Japan; H12 Project to Establish the Scientific and Technical Basis for HLW Disposal in Japan, Supporting Report 2: Repository Design and Engineering Technology, JNC TN1410, 2000-003, JNC, Japan (2000)</w:t>
      </w:r>
    </w:p>
    <w:p w14:paraId="371452E7" w14:textId="223A74B8" w:rsidR="00641BAC" w:rsidRPr="002D7F63" w:rsidRDefault="00641BAC" w:rsidP="00641BAC">
      <w:pPr>
        <w:pStyle w:val="Referencelist"/>
      </w:pPr>
      <w:r w:rsidRPr="002D7F63">
        <w:t xml:space="preserve">Ludwig, S.B.; </w:t>
      </w:r>
      <w:proofErr w:type="spellStart"/>
      <w:r w:rsidRPr="002D7F63">
        <w:t>Croff</w:t>
      </w:r>
      <w:proofErr w:type="spellEnd"/>
      <w:r w:rsidRPr="002D7F63">
        <w:t xml:space="preserve">, A.G. (2002) “Revision to ORIGEN2 – Version 2.2”, Transmittal memo of CCC-371/17, Oak Ridge National Laboratory. </w:t>
      </w:r>
      <w:r w:rsidRPr="002D7F63">
        <w:rPr>
          <w:noProof/>
        </w:rPr>
        <w:t>doi</w:t>
      </w:r>
      <w:r w:rsidRPr="002D7F63">
        <w:t>: (2001); 10.1044/1059-0889</w:t>
      </w:r>
    </w:p>
    <w:p w14:paraId="21BD3DCA" w14:textId="77777777" w:rsidR="00641BAC" w:rsidRPr="002D7F63" w:rsidRDefault="00641BAC" w:rsidP="00641BAC">
      <w:pPr>
        <w:pStyle w:val="Referencelist"/>
      </w:pPr>
      <w:r w:rsidRPr="002D7F63">
        <w:t xml:space="preserve">COMSOL. (2016) COMSOL Multiphysics 5.2a, Heat Transfer Module, COMSOLAB: Stockholm. </w:t>
      </w:r>
    </w:p>
    <w:p w14:paraId="73F82800" w14:textId="16C15967" w:rsidR="00641BAC" w:rsidRPr="002D7F63" w:rsidRDefault="00641BAC" w:rsidP="00641BAC">
      <w:pPr>
        <w:pStyle w:val="Referencelist"/>
      </w:pPr>
      <w:r w:rsidRPr="002D7F63">
        <w:t xml:space="preserve">Okumura, K.; </w:t>
      </w:r>
      <w:proofErr w:type="spellStart"/>
      <w:r w:rsidRPr="002D7F63">
        <w:t>Sugino</w:t>
      </w:r>
      <w:proofErr w:type="spellEnd"/>
      <w:r w:rsidRPr="002D7F63">
        <w:t xml:space="preserve">, K.; Kojima, K.; </w:t>
      </w:r>
      <w:proofErr w:type="spellStart"/>
      <w:r w:rsidRPr="002D7F63">
        <w:t>Jin</w:t>
      </w:r>
      <w:proofErr w:type="spellEnd"/>
      <w:r w:rsidRPr="002D7F63">
        <w:t xml:space="preserve">, T.; Okamoto, T.; Katakura, J. A set of ORIGEN2 </w:t>
      </w:r>
      <w:r w:rsidRPr="002D7F63">
        <w:rPr>
          <w:noProof/>
        </w:rPr>
        <w:t>cross section</w:t>
      </w:r>
      <w:r w:rsidRPr="002D7F63">
        <w:t xml:space="preserve"> libraries based on JENDL4.0: ORILIBJ40, JAEA-Data /Code 2012-032, Japan Atomic Energy Agency. (2013)</w:t>
      </w:r>
    </w:p>
    <w:p w14:paraId="12237BFE" w14:textId="6FC58D3A" w:rsidR="00641BAC" w:rsidRPr="002D7F63" w:rsidRDefault="00641BAC" w:rsidP="00641BAC">
      <w:pPr>
        <w:pStyle w:val="Referencelist"/>
      </w:pPr>
      <w:r w:rsidRPr="002D7F63">
        <w:t xml:space="preserve">Kawai, K.; </w:t>
      </w:r>
      <w:proofErr w:type="spellStart"/>
      <w:proofErr w:type="gramStart"/>
      <w:r w:rsidRPr="002D7F63">
        <w:t>H.Sagara</w:t>
      </w:r>
      <w:proofErr w:type="spellEnd"/>
      <w:proofErr w:type="gramEnd"/>
      <w:r w:rsidRPr="002D7F63">
        <w:t xml:space="preserve">, </w:t>
      </w:r>
      <w:proofErr w:type="spellStart"/>
      <w:r w:rsidRPr="002D7F63">
        <w:t>K.Takeshita</w:t>
      </w:r>
      <w:proofErr w:type="spellEnd"/>
      <w:r w:rsidRPr="002D7F63">
        <w:t xml:space="preserve">, et al. High burn-up operation and MOX burning in LWR; Effects of burn-up and </w:t>
      </w:r>
      <w:r w:rsidRPr="002D7F63">
        <w:rPr>
          <w:noProof/>
        </w:rPr>
        <w:t>extended</w:t>
      </w:r>
      <w:r w:rsidRPr="002D7F63">
        <w:t xml:space="preserve"> cooling period of spent fuel on vitrification and disposal. J </w:t>
      </w:r>
      <w:proofErr w:type="spellStart"/>
      <w:r w:rsidRPr="002D7F63">
        <w:t>Nucl</w:t>
      </w:r>
      <w:proofErr w:type="spellEnd"/>
      <w:r w:rsidRPr="002D7F63">
        <w:t xml:space="preserve"> Sci Technol. (2018); 55:1130–1140.</w:t>
      </w:r>
    </w:p>
    <w:p w14:paraId="765879A4" w14:textId="596F0897" w:rsidR="00641BAC" w:rsidRPr="002D7F63" w:rsidRDefault="00641BAC" w:rsidP="00641BAC">
      <w:pPr>
        <w:pStyle w:val="Referencelist"/>
      </w:pPr>
      <w:r w:rsidRPr="002D7F63">
        <w:t>Japan Nuclear Cycle Development Institute. Second progress report on research and development for the geological disposal of HLW in Japan. H12 project to establish the scientific and technical basis for HLW disposal in Japan, supporting report 3: safety assessment of the geological disposal system, Report no. JNC TN1410 2000-004, Japan: Japan nuclear cycle development institute. (2000)</w:t>
      </w:r>
    </w:p>
    <w:p w14:paraId="3B3F7586" w14:textId="11CB17DE" w:rsidR="00641BAC" w:rsidRPr="002D7F63" w:rsidRDefault="00641BAC" w:rsidP="00641BAC">
      <w:pPr>
        <w:pStyle w:val="Referencelist"/>
      </w:pPr>
      <w:r w:rsidRPr="002D7F63">
        <w:t>Okamura</w:t>
      </w:r>
      <w:r w:rsidR="00760157" w:rsidRPr="002D7F63">
        <w:t xml:space="preserve"> T</w:t>
      </w:r>
      <w:r w:rsidRPr="002D7F63">
        <w:t>, Kawai</w:t>
      </w:r>
      <w:r w:rsidR="00760157" w:rsidRPr="002D7F63">
        <w:t xml:space="preserve"> K</w:t>
      </w:r>
      <w:r w:rsidRPr="002D7F63">
        <w:t>, Minari</w:t>
      </w:r>
      <w:r w:rsidR="00760157" w:rsidRPr="002D7F63">
        <w:t xml:space="preserve"> E</w:t>
      </w:r>
      <w:r w:rsidRPr="002D7F63">
        <w:t xml:space="preserve">, et al. Effect of Cs and Sr separation on occupied area reduction in </w:t>
      </w:r>
      <w:r w:rsidRPr="002D7F63">
        <w:rPr>
          <w:noProof/>
        </w:rPr>
        <w:t>current</w:t>
      </w:r>
      <w:r w:rsidRPr="002D7F63">
        <w:t xml:space="preserve"> nuclear energy system and its evaluation by CAERA index. Separation Science and Technology. </w:t>
      </w:r>
      <w:r w:rsidR="00760157" w:rsidRPr="002D7F63">
        <w:t>(</w:t>
      </w:r>
      <w:r w:rsidRPr="002D7F63">
        <w:t>2018</w:t>
      </w:r>
      <w:r w:rsidR="00760157" w:rsidRPr="002D7F63">
        <w:t>)</w:t>
      </w:r>
      <w:r w:rsidRPr="002D7F63">
        <w:t>; Published online</w:t>
      </w:r>
    </w:p>
    <w:p w14:paraId="25F01619" w14:textId="154073DC" w:rsidR="00760157" w:rsidRPr="002D7F63" w:rsidRDefault="00641BAC" w:rsidP="00163101">
      <w:pPr>
        <w:pStyle w:val="Referencelist"/>
      </w:pPr>
      <w:r w:rsidRPr="002D7F63">
        <w:t xml:space="preserve">Kawai K. Establishment of back-end systems for load reduction of </w:t>
      </w:r>
      <w:r w:rsidRPr="002D7F63">
        <w:rPr>
          <w:noProof/>
        </w:rPr>
        <w:t>geological</w:t>
      </w:r>
      <w:r w:rsidRPr="002D7F63">
        <w:t xml:space="preserve"> repository. Ph. D. thesis, Tokyo Institute of Technology.</w:t>
      </w:r>
      <w:r w:rsidR="00760157" w:rsidRPr="002D7F63">
        <w:t xml:space="preserve"> (2018)</w:t>
      </w:r>
    </w:p>
    <w:sectPr w:rsidR="00760157" w:rsidRPr="002D7F63"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D7A8" w14:textId="77777777" w:rsidR="00223642" w:rsidRDefault="00223642">
      <w:r>
        <w:separator/>
      </w:r>
    </w:p>
  </w:endnote>
  <w:endnote w:type="continuationSeparator" w:id="0">
    <w:p w14:paraId="6C78FB8C" w14:textId="77777777" w:rsidR="00223642" w:rsidRDefault="00223642">
      <w:r>
        <w:continuationSeparator/>
      </w:r>
    </w:p>
  </w:endnote>
  <w:endnote w:type="continuationNotice" w:id="1">
    <w:p w14:paraId="42BBFC25" w14:textId="77777777" w:rsidR="00223642" w:rsidRDefault="0022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2C89F6C8" w:rsidR="00163101" w:rsidRDefault="00163101">
    <w:pPr>
      <w:pStyle w:val="zyxClassification1"/>
    </w:pPr>
    <w:r>
      <w:fldChar w:fldCharType="begin"/>
    </w:r>
    <w:r>
      <w:instrText xml:space="preserve"> DOCPROPERTY "IaeaClassification"  \* MERGEFORMAT </w:instrText>
    </w:r>
    <w:r>
      <w:fldChar w:fldCharType="end"/>
    </w:r>
  </w:p>
  <w:p w14:paraId="291899CE" w14:textId="31A20B9F" w:rsidR="00163101" w:rsidRDefault="0016310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3593033E" w:rsidR="00163101" w:rsidRDefault="00163101">
    <w:pPr>
      <w:pStyle w:val="zyxClassification1"/>
    </w:pPr>
    <w:r>
      <w:fldChar w:fldCharType="begin"/>
    </w:r>
    <w:r>
      <w:instrText xml:space="preserve"> DOCPROPERTY "IaeaClassification"  \* MERGEFORMAT </w:instrText>
    </w:r>
    <w:r>
      <w:fldChar w:fldCharType="end"/>
    </w:r>
  </w:p>
  <w:p w14:paraId="6047A923" w14:textId="11A975E4" w:rsidR="00163101" w:rsidRPr="00037321" w:rsidRDefault="0016310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63101" w14:paraId="5ADC0CF1" w14:textId="77777777">
      <w:trPr>
        <w:cantSplit/>
      </w:trPr>
      <w:tc>
        <w:tcPr>
          <w:tcW w:w="4644" w:type="dxa"/>
        </w:tcPr>
        <w:p w14:paraId="4E1FAC46" w14:textId="487C115B" w:rsidR="00163101" w:rsidRDefault="0016310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1620AC37" w:rsidR="00163101" w:rsidRDefault="0016310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8" w:name="DOC_bkmClassification2"/>
      <w:tc>
        <w:tcPr>
          <w:tcW w:w="5670" w:type="dxa"/>
          <w:tcMar>
            <w:right w:w="249" w:type="dxa"/>
          </w:tcMar>
        </w:tcPr>
        <w:p w14:paraId="76D44A0B" w14:textId="645EA26B" w:rsidR="00163101" w:rsidRDefault="0016310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929923D" w14:textId="32957CF1" w:rsidR="00163101" w:rsidRDefault="0016310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 w:name="DOC_bkmFileName"/>
  <w:p w14:paraId="46E97123" w14:textId="599C37F0" w:rsidR="00163101" w:rsidRDefault="00163101">
    <w:r>
      <w:rPr>
        <w:sz w:val="16"/>
      </w:rPr>
      <w:fldChar w:fldCharType="begin"/>
    </w:r>
    <w:r>
      <w:rPr>
        <w:sz w:val="16"/>
      </w:rPr>
      <w:instrText xml:space="preserve"> FILENAME \* MERGEFORMAT </w:instrText>
    </w:r>
    <w:r>
      <w:rPr>
        <w:sz w:val="16"/>
      </w:rPr>
      <w:fldChar w:fldCharType="separate"/>
    </w:r>
    <w:r w:rsidR="0052501F">
      <w:rPr>
        <w:noProof/>
        <w:sz w:val="16"/>
      </w:rPr>
      <w:t>Conference_Proceedings_Eriko Minari_final</w:t>
    </w:r>
    <w:r>
      <w:rPr>
        <w:sz w:val="16"/>
      </w:rP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5709" w14:textId="77777777" w:rsidR="00223642" w:rsidRDefault="00223642">
      <w:r>
        <w:t>___________________________________________________________________________</w:t>
      </w:r>
    </w:p>
  </w:footnote>
  <w:footnote w:type="continuationSeparator" w:id="0">
    <w:p w14:paraId="18EB712E" w14:textId="77777777" w:rsidR="00223642" w:rsidRDefault="00223642">
      <w:r>
        <w:t>___________________________________________________________________________</w:t>
      </w:r>
    </w:p>
  </w:footnote>
  <w:footnote w:type="continuationNotice" w:id="1">
    <w:p w14:paraId="10971FBC" w14:textId="77777777" w:rsidR="00223642" w:rsidRDefault="00223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77777777" w:rsidR="00163101" w:rsidRDefault="00163101" w:rsidP="00CF7AF3">
    <w:pPr>
      <w:pStyle w:val="Runninghead"/>
    </w:pPr>
    <w:r>
      <w:tab/>
      <w:t>IAEA-CN-123/45</w:t>
    </w:r>
  </w:p>
  <w:p w14:paraId="385AEE9B" w14:textId="77777777" w:rsidR="00163101" w:rsidRPr="009E1558" w:rsidRDefault="00163101"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3808C8C" w14:textId="57896CA2" w:rsidR="00163101" w:rsidRDefault="00163101"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41C5D8C7" w:rsidR="00163101" w:rsidRDefault="0016310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35FD522D" w:rsidR="00163101" w:rsidRDefault="00163101" w:rsidP="00B82FA5">
    <w:pPr>
      <w:pStyle w:val="Runninghead"/>
    </w:pPr>
    <w:r>
      <w:t>Eriko MINARI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63101" w14:paraId="7E7518E8" w14:textId="77777777">
      <w:trPr>
        <w:cantSplit/>
        <w:trHeight w:val="716"/>
      </w:trPr>
      <w:tc>
        <w:tcPr>
          <w:tcW w:w="979" w:type="dxa"/>
          <w:vMerge w:val="restart"/>
        </w:tcPr>
        <w:p w14:paraId="39A6473B" w14:textId="77777777" w:rsidR="00163101" w:rsidRDefault="00163101">
          <w:pPr>
            <w:spacing w:before="180"/>
            <w:ind w:left="17"/>
          </w:pPr>
        </w:p>
      </w:tc>
      <w:tc>
        <w:tcPr>
          <w:tcW w:w="3638" w:type="dxa"/>
          <w:vAlign w:val="bottom"/>
        </w:tcPr>
        <w:p w14:paraId="3B076A84" w14:textId="77777777" w:rsidR="00163101" w:rsidRDefault="00163101">
          <w:pPr>
            <w:spacing w:after="20"/>
          </w:pPr>
        </w:p>
      </w:tc>
      <w:bookmarkStart w:id="7" w:name="DOC_bkmClassification1"/>
      <w:tc>
        <w:tcPr>
          <w:tcW w:w="5702" w:type="dxa"/>
          <w:vMerge w:val="restart"/>
          <w:tcMar>
            <w:right w:w="193" w:type="dxa"/>
          </w:tcMar>
        </w:tcPr>
        <w:p w14:paraId="268E19C1" w14:textId="3760E3E7" w:rsidR="00163101" w:rsidRDefault="0016310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347EC5C0" w14:textId="0359FD33" w:rsidR="00163101" w:rsidRDefault="00163101">
          <w:pPr>
            <w:pStyle w:val="zyxConfid2Red"/>
          </w:pPr>
          <w:r>
            <w:fldChar w:fldCharType="begin"/>
          </w:r>
          <w:r>
            <w:instrText>DOCPROPERTY "IaeaClassification2"  \* MERGEFORMAT</w:instrText>
          </w:r>
          <w:r>
            <w:fldChar w:fldCharType="end"/>
          </w:r>
        </w:p>
      </w:tc>
    </w:tr>
    <w:tr w:rsidR="00163101" w14:paraId="38F39606" w14:textId="77777777">
      <w:trPr>
        <w:cantSplit/>
        <w:trHeight w:val="167"/>
      </w:trPr>
      <w:tc>
        <w:tcPr>
          <w:tcW w:w="979" w:type="dxa"/>
          <w:vMerge/>
        </w:tcPr>
        <w:p w14:paraId="6D498B64" w14:textId="77777777" w:rsidR="00163101" w:rsidRDefault="00163101">
          <w:pPr>
            <w:spacing w:before="57"/>
          </w:pPr>
        </w:p>
      </w:tc>
      <w:tc>
        <w:tcPr>
          <w:tcW w:w="3638" w:type="dxa"/>
          <w:vAlign w:val="bottom"/>
        </w:tcPr>
        <w:p w14:paraId="39757922" w14:textId="77777777" w:rsidR="00163101" w:rsidRDefault="00163101">
          <w:pPr>
            <w:pStyle w:val="9"/>
            <w:spacing w:before="0" w:after="10"/>
          </w:pPr>
        </w:p>
      </w:tc>
      <w:tc>
        <w:tcPr>
          <w:tcW w:w="5702" w:type="dxa"/>
          <w:vMerge/>
          <w:vAlign w:val="bottom"/>
        </w:tcPr>
        <w:p w14:paraId="6AB4E64A" w14:textId="77777777" w:rsidR="00163101" w:rsidRDefault="00163101">
          <w:pPr>
            <w:pStyle w:val="9"/>
            <w:spacing w:before="0" w:after="10"/>
          </w:pPr>
        </w:p>
      </w:tc>
    </w:tr>
  </w:tbl>
  <w:p w14:paraId="73CF48A8" w14:textId="77777777" w:rsidR="00163101" w:rsidRDefault="001631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4D"/>
    <w:multiLevelType w:val="multilevel"/>
    <w:tmpl w:val="EF46E4F8"/>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2BC5E2B"/>
    <w:multiLevelType w:val="hybridMultilevel"/>
    <w:tmpl w:val="CB96D88C"/>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E8C23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3"/>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num>
  <w:num w:numId="34">
    <w:abstractNumId w:val="14"/>
  </w:num>
  <w:num w:numId="35">
    <w:abstractNumId w:val="11"/>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2"/>
        <w:lvlText w:val="%1%2."/>
        <w:lvlJc w:val="left"/>
        <w:pPr>
          <w:ind w:left="0" w:firstLine="0"/>
        </w:pPr>
        <w:rPr>
          <w:rFonts w:hint="default"/>
          <w:color w:val="auto"/>
        </w:rPr>
      </w:lvl>
    </w:lvlOverride>
    <w:lvlOverride w:ilvl="2">
      <w:startOverride w:val="1"/>
      <w:lvl w:ilvl="2">
        <w:start w:val="1"/>
        <w:numFmt w:val="decimal"/>
        <w:lvlRestart w:val="0"/>
        <w:pStyle w:val="3"/>
        <w:lvlText w:val="%1%2.%3."/>
        <w:lvlJc w:val="left"/>
        <w:pPr>
          <w:ind w:left="0" w:firstLine="0"/>
        </w:pPr>
        <w:rPr>
          <w:rFonts w:hint="default"/>
        </w:rPr>
      </w:lvl>
    </w:lvlOverride>
    <w:lvlOverride w:ilvl="3">
      <w:startOverride w:val="1"/>
      <w:lvl w:ilvl="3">
        <w:start w:val="1"/>
        <w:numFmt w:val="none"/>
        <w:lvlRestart w:val="0"/>
        <w:pStyle w:val="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zYyMTaxtDQ1MjdR0lEKTi0uzszPAykwNKgFAPzSQhA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693"/>
    <w:rsid w:val="00016996"/>
    <w:rsid w:val="00020E9F"/>
    <w:rsid w:val="000229AB"/>
    <w:rsid w:val="0002569A"/>
    <w:rsid w:val="00027A77"/>
    <w:rsid w:val="000323A8"/>
    <w:rsid w:val="00037321"/>
    <w:rsid w:val="00042C4F"/>
    <w:rsid w:val="00061377"/>
    <w:rsid w:val="00065DC1"/>
    <w:rsid w:val="0007240A"/>
    <w:rsid w:val="00073AB8"/>
    <w:rsid w:val="000746C7"/>
    <w:rsid w:val="00093406"/>
    <w:rsid w:val="00095166"/>
    <w:rsid w:val="000A0299"/>
    <w:rsid w:val="000A69EF"/>
    <w:rsid w:val="000A7BC7"/>
    <w:rsid w:val="000B06AE"/>
    <w:rsid w:val="000D3C8F"/>
    <w:rsid w:val="000E1206"/>
    <w:rsid w:val="000E25D6"/>
    <w:rsid w:val="000F7E94"/>
    <w:rsid w:val="001119D6"/>
    <w:rsid w:val="00117148"/>
    <w:rsid w:val="001308F2"/>
    <w:rsid w:val="001313E8"/>
    <w:rsid w:val="0013701D"/>
    <w:rsid w:val="00143667"/>
    <w:rsid w:val="0015587B"/>
    <w:rsid w:val="00163101"/>
    <w:rsid w:val="001651AF"/>
    <w:rsid w:val="00180D28"/>
    <w:rsid w:val="001C58F5"/>
    <w:rsid w:val="001D0B18"/>
    <w:rsid w:val="001D2867"/>
    <w:rsid w:val="001D5CEE"/>
    <w:rsid w:val="00201EAA"/>
    <w:rsid w:val="002034B7"/>
    <w:rsid w:val="002071D9"/>
    <w:rsid w:val="00213294"/>
    <w:rsid w:val="0021681F"/>
    <w:rsid w:val="00223642"/>
    <w:rsid w:val="00223B86"/>
    <w:rsid w:val="0022400D"/>
    <w:rsid w:val="00225BF7"/>
    <w:rsid w:val="00246A7E"/>
    <w:rsid w:val="00256822"/>
    <w:rsid w:val="002613B0"/>
    <w:rsid w:val="0026525A"/>
    <w:rsid w:val="00266A3A"/>
    <w:rsid w:val="00274790"/>
    <w:rsid w:val="00285755"/>
    <w:rsid w:val="002A0099"/>
    <w:rsid w:val="002A0E88"/>
    <w:rsid w:val="002A1CD6"/>
    <w:rsid w:val="002A1F9C"/>
    <w:rsid w:val="002A2A4C"/>
    <w:rsid w:val="002A2E61"/>
    <w:rsid w:val="002B29C2"/>
    <w:rsid w:val="002C1E0B"/>
    <w:rsid w:val="002C4208"/>
    <w:rsid w:val="002C5F3B"/>
    <w:rsid w:val="002D1C7B"/>
    <w:rsid w:val="002D7F63"/>
    <w:rsid w:val="002E07BE"/>
    <w:rsid w:val="002F1DD5"/>
    <w:rsid w:val="00304E93"/>
    <w:rsid w:val="00313765"/>
    <w:rsid w:val="003148D5"/>
    <w:rsid w:val="003211E4"/>
    <w:rsid w:val="003223BD"/>
    <w:rsid w:val="00323E99"/>
    <w:rsid w:val="00325128"/>
    <w:rsid w:val="00326796"/>
    <w:rsid w:val="00326A7F"/>
    <w:rsid w:val="003333ED"/>
    <w:rsid w:val="00334000"/>
    <w:rsid w:val="00342CC1"/>
    <w:rsid w:val="00345EA7"/>
    <w:rsid w:val="00350C2F"/>
    <w:rsid w:val="0035232D"/>
    <w:rsid w:val="00352DE1"/>
    <w:rsid w:val="00361217"/>
    <w:rsid w:val="00364787"/>
    <w:rsid w:val="003728E6"/>
    <w:rsid w:val="003850E0"/>
    <w:rsid w:val="00396853"/>
    <w:rsid w:val="003A01EA"/>
    <w:rsid w:val="003A1A46"/>
    <w:rsid w:val="003A51DF"/>
    <w:rsid w:val="003B5E0E"/>
    <w:rsid w:val="003C0841"/>
    <w:rsid w:val="003D1A62"/>
    <w:rsid w:val="003D255A"/>
    <w:rsid w:val="003F00A1"/>
    <w:rsid w:val="003F47B6"/>
    <w:rsid w:val="003F5D0D"/>
    <w:rsid w:val="003F6298"/>
    <w:rsid w:val="00403FEE"/>
    <w:rsid w:val="00412868"/>
    <w:rsid w:val="00414795"/>
    <w:rsid w:val="0041658D"/>
    <w:rsid w:val="00416949"/>
    <w:rsid w:val="00421307"/>
    <w:rsid w:val="00435FA7"/>
    <w:rsid w:val="004370D8"/>
    <w:rsid w:val="00442865"/>
    <w:rsid w:val="00452128"/>
    <w:rsid w:val="00452EFF"/>
    <w:rsid w:val="004542C5"/>
    <w:rsid w:val="00460277"/>
    <w:rsid w:val="00461E32"/>
    <w:rsid w:val="0046228E"/>
    <w:rsid w:val="00467560"/>
    <w:rsid w:val="00472C43"/>
    <w:rsid w:val="00485ED4"/>
    <w:rsid w:val="00492241"/>
    <w:rsid w:val="004A61A4"/>
    <w:rsid w:val="004E36D9"/>
    <w:rsid w:val="004E3CB9"/>
    <w:rsid w:val="004F3D60"/>
    <w:rsid w:val="005036ED"/>
    <w:rsid w:val="00504833"/>
    <w:rsid w:val="0052501F"/>
    <w:rsid w:val="00526F63"/>
    <w:rsid w:val="00537496"/>
    <w:rsid w:val="00544ED3"/>
    <w:rsid w:val="00546520"/>
    <w:rsid w:val="00560AD9"/>
    <w:rsid w:val="005766B3"/>
    <w:rsid w:val="0058289A"/>
    <w:rsid w:val="0058477B"/>
    <w:rsid w:val="0058654F"/>
    <w:rsid w:val="00596ACA"/>
    <w:rsid w:val="005B7E68"/>
    <w:rsid w:val="005C3AE9"/>
    <w:rsid w:val="005E39BC"/>
    <w:rsid w:val="005F00A0"/>
    <w:rsid w:val="005F0B6A"/>
    <w:rsid w:val="005F36E7"/>
    <w:rsid w:val="005F6A29"/>
    <w:rsid w:val="006167B0"/>
    <w:rsid w:val="006176FE"/>
    <w:rsid w:val="00624089"/>
    <w:rsid w:val="006334E6"/>
    <w:rsid w:val="00641BAC"/>
    <w:rsid w:val="00647F08"/>
    <w:rsid w:val="00647F33"/>
    <w:rsid w:val="00662532"/>
    <w:rsid w:val="00676752"/>
    <w:rsid w:val="00683147"/>
    <w:rsid w:val="006856AC"/>
    <w:rsid w:val="00696C32"/>
    <w:rsid w:val="006A0E61"/>
    <w:rsid w:val="006A4C40"/>
    <w:rsid w:val="006B2274"/>
    <w:rsid w:val="006E00A4"/>
    <w:rsid w:val="006E34D0"/>
    <w:rsid w:val="006E7B10"/>
    <w:rsid w:val="006F1287"/>
    <w:rsid w:val="006F2FA9"/>
    <w:rsid w:val="006F5FB9"/>
    <w:rsid w:val="00711048"/>
    <w:rsid w:val="00715AE8"/>
    <w:rsid w:val="00717C6F"/>
    <w:rsid w:val="0072698A"/>
    <w:rsid w:val="00726A67"/>
    <w:rsid w:val="00727EB2"/>
    <w:rsid w:val="007401C7"/>
    <w:rsid w:val="007445DA"/>
    <w:rsid w:val="00754EE7"/>
    <w:rsid w:val="00755052"/>
    <w:rsid w:val="00760157"/>
    <w:rsid w:val="00776F03"/>
    <w:rsid w:val="00792A79"/>
    <w:rsid w:val="007B3B50"/>
    <w:rsid w:val="007B4FD1"/>
    <w:rsid w:val="007B6B60"/>
    <w:rsid w:val="007D05FA"/>
    <w:rsid w:val="007E079F"/>
    <w:rsid w:val="007F65ED"/>
    <w:rsid w:val="00802381"/>
    <w:rsid w:val="00803850"/>
    <w:rsid w:val="00807A30"/>
    <w:rsid w:val="00814124"/>
    <w:rsid w:val="008152BF"/>
    <w:rsid w:val="008176EE"/>
    <w:rsid w:val="00824111"/>
    <w:rsid w:val="008252BB"/>
    <w:rsid w:val="008428B4"/>
    <w:rsid w:val="0087300F"/>
    <w:rsid w:val="00883848"/>
    <w:rsid w:val="008857DB"/>
    <w:rsid w:val="00896702"/>
    <w:rsid w:val="00897ED5"/>
    <w:rsid w:val="008A54B2"/>
    <w:rsid w:val="008B65DE"/>
    <w:rsid w:val="008B6BB9"/>
    <w:rsid w:val="008F05F5"/>
    <w:rsid w:val="009026FA"/>
    <w:rsid w:val="00903D62"/>
    <w:rsid w:val="00911543"/>
    <w:rsid w:val="00911E71"/>
    <w:rsid w:val="009121CA"/>
    <w:rsid w:val="0091228A"/>
    <w:rsid w:val="009179FE"/>
    <w:rsid w:val="00920ACD"/>
    <w:rsid w:val="00921D84"/>
    <w:rsid w:val="00923B3A"/>
    <w:rsid w:val="0094406C"/>
    <w:rsid w:val="00946B17"/>
    <w:rsid w:val="009519C9"/>
    <w:rsid w:val="00955EFE"/>
    <w:rsid w:val="00967048"/>
    <w:rsid w:val="00990E80"/>
    <w:rsid w:val="009948A3"/>
    <w:rsid w:val="009954B6"/>
    <w:rsid w:val="0099553D"/>
    <w:rsid w:val="009A27ED"/>
    <w:rsid w:val="009A7A36"/>
    <w:rsid w:val="009C1E22"/>
    <w:rsid w:val="009D0B86"/>
    <w:rsid w:val="009D3E95"/>
    <w:rsid w:val="009E0D5B"/>
    <w:rsid w:val="009E1558"/>
    <w:rsid w:val="009E7BC6"/>
    <w:rsid w:val="00A05F8F"/>
    <w:rsid w:val="00A07E93"/>
    <w:rsid w:val="00A12437"/>
    <w:rsid w:val="00A12740"/>
    <w:rsid w:val="00A17CFD"/>
    <w:rsid w:val="00A40E25"/>
    <w:rsid w:val="00A42898"/>
    <w:rsid w:val="00A65708"/>
    <w:rsid w:val="00A772CB"/>
    <w:rsid w:val="00A849F6"/>
    <w:rsid w:val="00A85732"/>
    <w:rsid w:val="00A85F4E"/>
    <w:rsid w:val="00AB20A9"/>
    <w:rsid w:val="00AB6ACE"/>
    <w:rsid w:val="00AC0550"/>
    <w:rsid w:val="00AC5A3A"/>
    <w:rsid w:val="00AC73F2"/>
    <w:rsid w:val="00AD2B30"/>
    <w:rsid w:val="00AD3DD1"/>
    <w:rsid w:val="00AD5861"/>
    <w:rsid w:val="00AE5900"/>
    <w:rsid w:val="00AF1F6E"/>
    <w:rsid w:val="00AF24C6"/>
    <w:rsid w:val="00AF3B13"/>
    <w:rsid w:val="00AF3FF6"/>
    <w:rsid w:val="00B068EC"/>
    <w:rsid w:val="00B11525"/>
    <w:rsid w:val="00B1319A"/>
    <w:rsid w:val="00B15327"/>
    <w:rsid w:val="00B234F7"/>
    <w:rsid w:val="00B33554"/>
    <w:rsid w:val="00B61F9C"/>
    <w:rsid w:val="00B7258D"/>
    <w:rsid w:val="00B82FA5"/>
    <w:rsid w:val="00B972A5"/>
    <w:rsid w:val="00BA5034"/>
    <w:rsid w:val="00BD1400"/>
    <w:rsid w:val="00BD605C"/>
    <w:rsid w:val="00BE2A76"/>
    <w:rsid w:val="00BF785F"/>
    <w:rsid w:val="00C14490"/>
    <w:rsid w:val="00C16C0E"/>
    <w:rsid w:val="00C1785B"/>
    <w:rsid w:val="00C30D0A"/>
    <w:rsid w:val="00C34FFD"/>
    <w:rsid w:val="00C405BD"/>
    <w:rsid w:val="00C463B3"/>
    <w:rsid w:val="00C551E0"/>
    <w:rsid w:val="00C65E60"/>
    <w:rsid w:val="00C73C92"/>
    <w:rsid w:val="00C76120"/>
    <w:rsid w:val="00C84813"/>
    <w:rsid w:val="00CA0DEC"/>
    <w:rsid w:val="00CA7A38"/>
    <w:rsid w:val="00CC0712"/>
    <w:rsid w:val="00CE28CB"/>
    <w:rsid w:val="00CE2A0B"/>
    <w:rsid w:val="00CE5A52"/>
    <w:rsid w:val="00CF15D2"/>
    <w:rsid w:val="00CF743B"/>
    <w:rsid w:val="00CF7AF3"/>
    <w:rsid w:val="00D00834"/>
    <w:rsid w:val="00D07A21"/>
    <w:rsid w:val="00D23104"/>
    <w:rsid w:val="00D26240"/>
    <w:rsid w:val="00D26ADA"/>
    <w:rsid w:val="00D35A78"/>
    <w:rsid w:val="00D4387E"/>
    <w:rsid w:val="00D555A1"/>
    <w:rsid w:val="00D6360D"/>
    <w:rsid w:val="00D64DC2"/>
    <w:rsid w:val="00D6711B"/>
    <w:rsid w:val="00D74696"/>
    <w:rsid w:val="00DA4092"/>
    <w:rsid w:val="00DA46CA"/>
    <w:rsid w:val="00DA476A"/>
    <w:rsid w:val="00DA67A7"/>
    <w:rsid w:val="00DB3689"/>
    <w:rsid w:val="00DD4B61"/>
    <w:rsid w:val="00DD5057"/>
    <w:rsid w:val="00DD6973"/>
    <w:rsid w:val="00DD6C52"/>
    <w:rsid w:val="00DD6D4A"/>
    <w:rsid w:val="00DE3A52"/>
    <w:rsid w:val="00DE47F7"/>
    <w:rsid w:val="00DE5050"/>
    <w:rsid w:val="00DE5275"/>
    <w:rsid w:val="00DE6C4B"/>
    <w:rsid w:val="00DF21EB"/>
    <w:rsid w:val="00E106F1"/>
    <w:rsid w:val="00E16224"/>
    <w:rsid w:val="00E20E70"/>
    <w:rsid w:val="00E25B68"/>
    <w:rsid w:val="00E364F4"/>
    <w:rsid w:val="00E416F7"/>
    <w:rsid w:val="00E473B6"/>
    <w:rsid w:val="00E66108"/>
    <w:rsid w:val="00E71214"/>
    <w:rsid w:val="00E84003"/>
    <w:rsid w:val="00E914AB"/>
    <w:rsid w:val="00E935B7"/>
    <w:rsid w:val="00E957EF"/>
    <w:rsid w:val="00EA0414"/>
    <w:rsid w:val="00EB20E3"/>
    <w:rsid w:val="00EC10FC"/>
    <w:rsid w:val="00EC3FA5"/>
    <w:rsid w:val="00EC54EE"/>
    <w:rsid w:val="00ED2753"/>
    <w:rsid w:val="00ED5AC5"/>
    <w:rsid w:val="00EE0041"/>
    <w:rsid w:val="00EE0162"/>
    <w:rsid w:val="00EE29B9"/>
    <w:rsid w:val="00EF59D9"/>
    <w:rsid w:val="00EF6E05"/>
    <w:rsid w:val="00F004EE"/>
    <w:rsid w:val="00F1514D"/>
    <w:rsid w:val="00F427C4"/>
    <w:rsid w:val="00F42E23"/>
    <w:rsid w:val="00F45EEE"/>
    <w:rsid w:val="00F51E9C"/>
    <w:rsid w:val="00F523CA"/>
    <w:rsid w:val="00F56BD5"/>
    <w:rsid w:val="00F72EA1"/>
    <w:rsid w:val="00F74A9D"/>
    <w:rsid w:val="00FA484C"/>
    <w:rsid w:val="00FA5F2D"/>
    <w:rsid w:val="00FB057D"/>
    <w:rsid w:val="00FB1AA3"/>
    <w:rsid w:val="00FD6A61"/>
    <w:rsid w:val="00FF19DD"/>
    <w:rsid w:val="00FF386F"/>
    <w:rsid w:val="00FF57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4"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19" w:unhideWhenUsed="1"/>
    <w:lsdException w:name="heading 6" w:locked="0" w:semiHidden="1" w:uiPriority="19" w:unhideWhenUsed="1"/>
    <w:lsdException w:name="heading 7" w:locked="0" w:semiHidden="1" w:uiPriority="19" w:unhideWhenUsed="1"/>
    <w:lsdException w:name="heading 8" w:locked="0" w:semiHidden="1" w:uiPriority="19" w:unhideWhenUsed="1"/>
    <w:lsdException w:name="heading 9" w:locked="0"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nhideWhenUsed="1"/>
    <w:lsdException w:name="List Continue" w:semiHidden="1" w:unhideWhenUsed="1"/>
    <w:lsdException w:name="List Continue 2" w:semiHidden="1" w:unhideWhenUsed="1"/>
    <w:lsdException w:name="Subtitle" w:locked="0"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Placeholder Text"/>
    <w:basedOn w:val="a2"/>
    <w:uiPriority w:val="99"/>
    <w:semiHidden/>
    <w:locked/>
    <w:rsid w:val="007B6B60"/>
    <w:rPr>
      <w:color w:val="808080"/>
    </w:rPr>
  </w:style>
  <w:style w:type="paragraph" w:styleId="af2">
    <w:name w:val="List Paragraph"/>
    <w:basedOn w:val="a"/>
    <w:uiPriority w:val="49"/>
    <w:locked/>
    <w:rsid w:val="00AF1F6E"/>
    <w:pPr>
      <w:ind w:left="720"/>
      <w:contextualSpacing/>
    </w:pPr>
  </w:style>
  <w:style w:type="character" w:styleId="af3">
    <w:name w:val="annotation reference"/>
    <w:basedOn w:val="a2"/>
    <w:uiPriority w:val="49"/>
    <w:semiHidden/>
    <w:unhideWhenUsed/>
    <w:locked/>
    <w:rsid w:val="00EE0162"/>
    <w:rPr>
      <w:sz w:val="16"/>
      <w:szCs w:val="16"/>
    </w:rPr>
  </w:style>
  <w:style w:type="paragraph" w:styleId="af4">
    <w:name w:val="annotation text"/>
    <w:basedOn w:val="a"/>
    <w:link w:val="af5"/>
    <w:uiPriority w:val="49"/>
    <w:semiHidden/>
    <w:unhideWhenUsed/>
    <w:locked/>
    <w:rsid w:val="00EE0162"/>
    <w:rPr>
      <w:sz w:val="20"/>
    </w:rPr>
  </w:style>
  <w:style w:type="character" w:customStyle="1" w:styleId="af5">
    <w:name w:val="コメント文字列 (文字)"/>
    <w:basedOn w:val="a2"/>
    <w:link w:val="af4"/>
    <w:uiPriority w:val="49"/>
    <w:semiHidden/>
    <w:rsid w:val="00EE0162"/>
    <w:rPr>
      <w:lang w:eastAsia="en-US"/>
    </w:rPr>
  </w:style>
  <w:style w:type="paragraph" w:styleId="af6">
    <w:name w:val="annotation subject"/>
    <w:basedOn w:val="af4"/>
    <w:next w:val="af4"/>
    <w:link w:val="af7"/>
    <w:uiPriority w:val="49"/>
    <w:semiHidden/>
    <w:unhideWhenUsed/>
    <w:locked/>
    <w:rsid w:val="00EE0162"/>
    <w:rPr>
      <w:b/>
      <w:bCs/>
    </w:rPr>
  </w:style>
  <w:style w:type="character" w:customStyle="1" w:styleId="af7">
    <w:name w:val="コメント内容 (文字)"/>
    <w:basedOn w:val="af5"/>
    <w:link w:val="af6"/>
    <w:uiPriority w:val="49"/>
    <w:semiHidden/>
    <w:rsid w:val="00EE0162"/>
    <w:rPr>
      <w:b/>
      <w:bCs/>
      <w:lang w:eastAsia="en-US"/>
    </w:rPr>
  </w:style>
  <w:style w:type="paragraph" w:styleId="af8">
    <w:name w:val="Revision"/>
    <w:hidden/>
    <w:uiPriority w:val="99"/>
    <w:semiHidden/>
    <w:rsid w:val="00435FA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D8E28E0-4ABB-472A-A985-CB02FE1C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7</Pages>
  <Words>3063</Words>
  <Characters>17461</Characters>
  <Application>Microsoft Office Word</Application>
  <DocSecurity>0</DocSecurity>
  <Lines>145</Lines>
  <Paragraphs>40</Paragraphs>
  <ScaleCrop>false</ScaleCrop>
  <HeadingPairs>
    <vt:vector size="6" baseType="variant">
      <vt:variant>
        <vt:lpstr>タイトル</vt:lpstr>
      </vt:variant>
      <vt:variant>
        <vt:i4>1</vt:i4>
      </vt:variant>
      <vt:variant>
        <vt:lpstr>見出し</vt:lpstr>
      </vt:variant>
      <vt:variant>
        <vt:i4>11</vt:i4>
      </vt:variant>
      <vt:variant>
        <vt:lpstr>Title</vt:lpstr>
      </vt:variant>
      <vt:variant>
        <vt:i4>1</vt:i4>
      </vt:variant>
    </vt:vector>
  </HeadingPairs>
  <TitlesOfParts>
    <vt:vector size="13" baseType="lpstr">
      <vt:lpstr>IAEA</vt:lpstr>
      <vt:lpstr>ENVIRONMENTAL LOAD REDUCTION OF GEOLOGICAL REPOSITORY BY MINOR ACTINIDE SEPARATI</vt:lpstr>
      <vt:lpstr>    INTRODUCTION</vt:lpstr>
      <vt:lpstr>    Calculation methods and conditions</vt:lpstr>
      <vt:lpstr>        Fuel burn-up, decay, reprocessing/separation, and vitrification conditions</vt:lpstr>
      <vt:lpstr>        Thermal Analysis of Geological Disposal</vt:lpstr>
      <vt:lpstr>        CAERA index</vt:lpstr>
      <vt:lpstr>    Results and discussions</vt:lpstr>
      <vt:lpstr>        Effects of MA separation on the surface temperature of buffer material in a geol</vt:lpstr>
      <vt:lpstr>        Effects of MA separation on waste occupied area reduction</vt:lpstr>
      <vt:lpstr>        Effects of MA separation on waste occupied area reduction evaluated by CAERA ind</vt:lpstr>
      <vt:lpstr>    CONCLUSIONS</vt:lpstr>
      <vt:lpstr>IAEA</vt:lpstr>
    </vt:vector>
  </TitlesOfParts>
  <Company>IAEA</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Eriko MINARI</cp:lastModifiedBy>
  <cp:revision>2</cp:revision>
  <cp:lastPrinted>2019-04-23T02:34:00Z</cp:lastPrinted>
  <dcterms:created xsi:type="dcterms:W3CDTF">2019-05-07T00:52:00Z</dcterms:created>
  <dcterms:modified xsi:type="dcterms:W3CDTF">2019-05-07T00:52:00Z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