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981" w:rsidRDefault="0089425B">
      <w:pPr>
        <w:pStyle w:val="Heading1"/>
        <w:rPr>
          <w:szCs w:val="22"/>
          <w:lang w:eastAsia="zh-CN"/>
        </w:rPr>
      </w:pPr>
      <w:r>
        <w:rPr>
          <w:rFonts w:hint="eastAsia"/>
          <w:szCs w:val="22"/>
          <w:lang w:eastAsia="zh-CN"/>
        </w:rPr>
        <w:t xml:space="preserve">Main concerns of nuclear safety </w:t>
      </w:r>
    </w:p>
    <w:p w:rsidR="00FE5981" w:rsidRDefault="0089425B">
      <w:pPr>
        <w:pStyle w:val="Heading1"/>
        <w:rPr>
          <w:szCs w:val="22"/>
          <w:lang w:eastAsia="zh-CN"/>
        </w:rPr>
      </w:pPr>
      <w:r>
        <w:rPr>
          <w:rFonts w:hint="eastAsia"/>
          <w:szCs w:val="22"/>
          <w:lang w:eastAsia="zh-CN"/>
        </w:rPr>
        <w:t xml:space="preserve">supervision during operation of </w:t>
      </w:r>
    </w:p>
    <w:p w:rsidR="00FE5981" w:rsidRDefault="0089425B">
      <w:pPr>
        <w:pStyle w:val="Heading1"/>
        <w:rPr>
          <w:szCs w:val="22"/>
          <w:lang w:eastAsia="zh-CN"/>
        </w:rPr>
      </w:pPr>
      <w:r>
        <w:rPr>
          <w:rFonts w:hint="eastAsia"/>
          <w:szCs w:val="22"/>
          <w:lang w:eastAsia="zh-CN"/>
        </w:rPr>
        <w:t xml:space="preserve">spent fuel storage facilities </w:t>
      </w:r>
    </w:p>
    <w:p w:rsidR="00FE5981" w:rsidRDefault="0089425B">
      <w:pPr>
        <w:pStyle w:val="Heading1"/>
        <w:rPr>
          <w:szCs w:val="22"/>
          <w:lang w:eastAsia="zh-CN"/>
        </w:rPr>
      </w:pPr>
      <w:r>
        <w:rPr>
          <w:rFonts w:hint="eastAsia"/>
          <w:szCs w:val="22"/>
          <w:lang w:eastAsia="zh-CN"/>
        </w:rPr>
        <w:t>in China</w:t>
      </w:r>
    </w:p>
    <w:p w:rsidR="00FE5981" w:rsidRDefault="00FE5981">
      <w:pPr>
        <w:rPr>
          <w:lang w:val="en-US" w:eastAsia="zh-CN"/>
        </w:rPr>
      </w:pPr>
    </w:p>
    <w:p w:rsidR="00FE5981" w:rsidRDefault="0089425B">
      <w:pPr>
        <w:pStyle w:val="Authornameandaffiliation"/>
        <w:rPr>
          <w:sz w:val="21"/>
          <w:szCs w:val="22"/>
          <w:lang w:eastAsia="zh-CN"/>
        </w:rPr>
      </w:pPr>
      <w:r>
        <w:rPr>
          <w:rFonts w:hint="eastAsia"/>
          <w:sz w:val="21"/>
          <w:szCs w:val="22"/>
          <w:lang w:eastAsia="zh-CN"/>
        </w:rPr>
        <w:t>Liang</w:t>
      </w:r>
      <w:r>
        <w:rPr>
          <w:sz w:val="21"/>
          <w:szCs w:val="22"/>
        </w:rPr>
        <w:t xml:space="preserve"> </w:t>
      </w:r>
      <w:r>
        <w:rPr>
          <w:rFonts w:hint="eastAsia"/>
          <w:sz w:val="21"/>
          <w:szCs w:val="22"/>
          <w:lang w:eastAsia="zh-CN"/>
        </w:rPr>
        <w:t>Zhang</w:t>
      </w:r>
    </w:p>
    <w:p w:rsidR="00FE5981" w:rsidRDefault="0089425B">
      <w:pPr>
        <w:pStyle w:val="Authornameandaffiliation"/>
        <w:rPr>
          <w:sz w:val="21"/>
          <w:szCs w:val="22"/>
        </w:rPr>
      </w:pPr>
      <w:r>
        <w:rPr>
          <w:sz w:val="21"/>
          <w:szCs w:val="22"/>
        </w:rPr>
        <w:t>Nuclear Technology Support Center of China Atomic Energy Authority</w:t>
      </w:r>
    </w:p>
    <w:p w:rsidR="00FE5981" w:rsidRDefault="0089425B">
      <w:pPr>
        <w:pStyle w:val="Authornameandaffiliation"/>
        <w:rPr>
          <w:sz w:val="21"/>
          <w:szCs w:val="22"/>
        </w:rPr>
      </w:pPr>
      <w:r>
        <w:rPr>
          <w:sz w:val="21"/>
          <w:szCs w:val="22"/>
        </w:rPr>
        <w:t>No.</w:t>
      </w:r>
      <w:r>
        <w:rPr>
          <w:rFonts w:hint="eastAsia"/>
          <w:sz w:val="21"/>
          <w:szCs w:val="22"/>
          <w:lang w:eastAsia="zh-CN"/>
        </w:rPr>
        <w:t>30</w:t>
      </w:r>
      <w:r>
        <w:rPr>
          <w:rFonts w:hint="eastAsia"/>
          <w:sz w:val="21"/>
          <w:szCs w:val="22"/>
        </w:rPr>
        <w:t xml:space="preserve"> </w:t>
      </w:r>
      <w:r>
        <w:rPr>
          <w:rFonts w:hint="eastAsia"/>
          <w:sz w:val="21"/>
          <w:szCs w:val="22"/>
          <w:lang w:eastAsia="zh-CN"/>
        </w:rPr>
        <w:t>Hai Dian Nan Road, Hai Dian District,</w:t>
      </w:r>
      <w:r>
        <w:rPr>
          <w:rFonts w:hint="eastAsia"/>
          <w:sz w:val="21"/>
          <w:szCs w:val="22"/>
        </w:rPr>
        <w:t xml:space="preserve"> </w:t>
      </w:r>
      <w:r>
        <w:rPr>
          <w:rFonts w:hint="eastAsia"/>
          <w:sz w:val="21"/>
          <w:szCs w:val="22"/>
          <w:lang w:eastAsia="zh-CN"/>
        </w:rPr>
        <w:t xml:space="preserve">100080 </w:t>
      </w:r>
      <w:r>
        <w:rPr>
          <w:rFonts w:hint="eastAsia"/>
          <w:sz w:val="21"/>
          <w:szCs w:val="22"/>
        </w:rPr>
        <w:t>Beijing</w:t>
      </w:r>
      <w:r>
        <w:rPr>
          <w:rFonts w:hint="eastAsia"/>
          <w:sz w:val="21"/>
          <w:szCs w:val="22"/>
          <w:lang w:eastAsia="zh-CN"/>
        </w:rPr>
        <w:t xml:space="preserve">, </w:t>
      </w:r>
      <w:r>
        <w:rPr>
          <w:rFonts w:hint="eastAsia"/>
          <w:sz w:val="21"/>
          <w:szCs w:val="22"/>
          <w:lang w:eastAsia="zh-CN"/>
        </w:rPr>
        <w:t>China</w:t>
      </w:r>
    </w:p>
    <w:p w:rsidR="00FE5981" w:rsidRDefault="0089425B">
      <w:pPr>
        <w:pStyle w:val="Authornameandaffiliation"/>
        <w:rPr>
          <w:sz w:val="21"/>
          <w:szCs w:val="22"/>
        </w:rPr>
      </w:pPr>
      <w:r>
        <w:rPr>
          <w:sz w:val="21"/>
          <w:szCs w:val="22"/>
        </w:rPr>
        <w:t xml:space="preserve">Email: </w:t>
      </w:r>
      <w:r>
        <w:rPr>
          <w:rFonts w:hint="eastAsia"/>
          <w:sz w:val="21"/>
          <w:szCs w:val="22"/>
          <w:lang w:eastAsia="zh-CN"/>
        </w:rPr>
        <w:t>32776913</w:t>
      </w:r>
      <w:r>
        <w:rPr>
          <w:sz w:val="21"/>
          <w:szCs w:val="22"/>
        </w:rPr>
        <w:t>@</w:t>
      </w:r>
      <w:r>
        <w:rPr>
          <w:rFonts w:hint="eastAsia"/>
          <w:sz w:val="21"/>
          <w:szCs w:val="22"/>
          <w:lang w:eastAsia="zh-CN"/>
        </w:rPr>
        <w:t>qq</w:t>
      </w:r>
      <w:r>
        <w:rPr>
          <w:sz w:val="21"/>
          <w:szCs w:val="22"/>
        </w:rPr>
        <w:t>.com</w:t>
      </w:r>
    </w:p>
    <w:p w:rsidR="00FE5981" w:rsidRDefault="00FE5981">
      <w:pPr>
        <w:rPr>
          <w:lang w:val="en-US" w:eastAsia="zh-CN"/>
        </w:rPr>
      </w:pPr>
    </w:p>
    <w:p w:rsidR="00FE5981" w:rsidRDefault="0089425B">
      <w:pPr>
        <w:pStyle w:val="Authornameandaffiliation"/>
        <w:rPr>
          <w:b/>
        </w:rPr>
      </w:pPr>
      <w:r>
        <w:rPr>
          <w:b/>
        </w:rPr>
        <w:t>Abstract</w:t>
      </w:r>
    </w:p>
    <w:p w:rsidR="00FE5981" w:rsidRDefault="0089425B">
      <w:pPr>
        <w:pStyle w:val="Abstracttext"/>
        <w:rPr>
          <w:szCs w:val="22"/>
        </w:rPr>
      </w:pPr>
      <w:r>
        <w:rPr>
          <w:szCs w:val="22"/>
        </w:rPr>
        <w:t>With the continuous development of China's nuclear power projects in recent years, spent fuel has gradually entered a long-term storage stage, in which wet storage is the main way. The supervision of spent fuel storag</w:t>
      </w:r>
      <w:r>
        <w:rPr>
          <w:szCs w:val="22"/>
        </w:rPr>
        <w:t>e facilities is becoming increasingly important. As China's nuclear safety regulatory system in this area is not complete, and there are few examples to refer to, it is urgent to explore and clarify the important concerns. Based on China's nuclear safety r</w:t>
      </w:r>
      <w:r>
        <w:rPr>
          <w:szCs w:val="22"/>
        </w:rPr>
        <w:t>egulatory requirements and related regulatory experience of such facilities, this paper puts forward some suggestions for reference.</w:t>
      </w:r>
    </w:p>
    <w:p w:rsidR="00FE5981" w:rsidRDefault="0089425B">
      <w:pPr>
        <w:pStyle w:val="Heading2"/>
        <w:numPr>
          <w:ilvl w:val="1"/>
          <w:numId w:val="9"/>
        </w:numPr>
      </w:pPr>
      <w:r>
        <w:t>INTRODUCTION</w:t>
      </w:r>
    </w:p>
    <w:p w:rsidR="00FE5981" w:rsidRDefault="0089425B">
      <w:pPr>
        <w:pStyle w:val="BodyText"/>
        <w:rPr>
          <w:sz w:val="21"/>
          <w:szCs w:val="22"/>
          <w:lang w:val="en-US" w:eastAsia="zh-CN"/>
        </w:rPr>
      </w:pPr>
      <w:r>
        <w:rPr>
          <w:rFonts w:hint="eastAsia"/>
          <w:sz w:val="21"/>
          <w:szCs w:val="22"/>
          <w:lang w:val="en-US" w:eastAsia="zh-CN"/>
        </w:rPr>
        <w:t>In recent years, the spent fuel storage in spent fuel pools of some operating nuclear power plants in China ha</w:t>
      </w:r>
      <w:r>
        <w:rPr>
          <w:rFonts w:hint="eastAsia"/>
          <w:sz w:val="21"/>
          <w:szCs w:val="22"/>
          <w:lang w:val="en-US" w:eastAsia="zh-CN"/>
        </w:rPr>
        <w:t>s approached or reached the storage limit. These nuclear power plants are preparing to add temporary spent fuel storage projects. As China's nuclear safety regulatory system in this regard is not yet complete, and there are few reference examples, it is ur</w:t>
      </w:r>
      <w:r>
        <w:rPr>
          <w:rFonts w:hint="eastAsia"/>
          <w:sz w:val="21"/>
          <w:szCs w:val="22"/>
          <w:lang w:val="en-US" w:eastAsia="zh-CN"/>
        </w:rPr>
        <w:t>gent to explore and clarify the relevant ways and methods of nuclear safety supervision. The most urgent thing is to put forward the most important concerns in the supervision work according to the basic requirements of the current nuclear safety supervisi</w:t>
      </w:r>
      <w:r>
        <w:rPr>
          <w:rFonts w:hint="eastAsia"/>
          <w:sz w:val="21"/>
          <w:szCs w:val="22"/>
          <w:lang w:val="en-US" w:eastAsia="zh-CN"/>
        </w:rPr>
        <w:t>on.</w:t>
      </w:r>
    </w:p>
    <w:p w:rsidR="00FE5981" w:rsidRDefault="0089425B">
      <w:pPr>
        <w:pStyle w:val="Heading2"/>
        <w:numPr>
          <w:ilvl w:val="1"/>
          <w:numId w:val="9"/>
        </w:numPr>
        <w:rPr>
          <w:sz w:val="21"/>
          <w:szCs w:val="22"/>
          <w:lang w:val="en-US" w:eastAsia="zh-CN"/>
        </w:rPr>
      </w:pPr>
      <w:r>
        <w:rPr>
          <w:rFonts w:hint="eastAsia"/>
          <w:sz w:val="21"/>
          <w:szCs w:val="22"/>
          <w:lang w:val="en-US" w:eastAsia="zh-CN"/>
        </w:rPr>
        <w:t>Major challenges</w:t>
      </w:r>
    </w:p>
    <w:p w:rsidR="00FE5981" w:rsidRDefault="0089425B">
      <w:pPr>
        <w:pStyle w:val="BodyText"/>
        <w:rPr>
          <w:sz w:val="21"/>
          <w:szCs w:val="22"/>
          <w:lang w:val="en-US" w:eastAsia="zh-CN"/>
        </w:rPr>
      </w:pPr>
      <w:r>
        <w:rPr>
          <w:rFonts w:hint="eastAsia"/>
          <w:sz w:val="21"/>
          <w:szCs w:val="22"/>
          <w:lang w:val="en-US" w:eastAsia="zh-CN"/>
        </w:rPr>
        <w:t>With the sustained and steady development of China's economy and the steady growth of electricity demand, the situation of atmospheric environmental pollution reduction is grim. As green energy, nuclear power has gradually changed from</w:t>
      </w:r>
      <w:r>
        <w:rPr>
          <w:rFonts w:hint="eastAsia"/>
          <w:sz w:val="21"/>
          <w:szCs w:val="22"/>
          <w:lang w:val="en-US" w:eastAsia="zh-CN"/>
        </w:rPr>
        <w:t xml:space="preserve"> moderate development in the past to rapid development of national energy and nuclear power medium-term and long-term planning and national "13th Five-Year Plan". It has a certain scale. By mid-2018, the total installed capacity of nuclear power generating</w:t>
      </w:r>
      <w:r>
        <w:rPr>
          <w:rFonts w:hint="eastAsia"/>
          <w:sz w:val="21"/>
          <w:szCs w:val="22"/>
          <w:lang w:val="en-US" w:eastAsia="zh-CN"/>
        </w:rPr>
        <w:t xml:space="preserve"> units has reached 36.9 million kilowatts and 38 units; 19 units under construction have installed capacity of about 21 million kilowatts. According to the planning and the current progress of nuclear power construction projects, it is estimated that by 20</w:t>
      </w:r>
      <w:r>
        <w:rPr>
          <w:rFonts w:hint="eastAsia"/>
          <w:sz w:val="21"/>
          <w:szCs w:val="22"/>
          <w:lang w:val="en-US" w:eastAsia="zh-CN"/>
        </w:rPr>
        <w:t>20, the total installed capacity of power generation will reach 52 million kilowatts.</w:t>
      </w:r>
    </w:p>
    <w:p w:rsidR="00FE5981" w:rsidRDefault="00FE5981">
      <w:pPr>
        <w:pStyle w:val="BodyText"/>
        <w:rPr>
          <w:sz w:val="21"/>
          <w:szCs w:val="22"/>
          <w:lang w:val="en-US" w:eastAsia="zh-CN"/>
        </w:rPr>
      </w:pPr>
    </w:p>
    <w:p w:rsidR="00FE5981" w:rsidRDefault="0089425B">
      <w:pPr>
        <w:pStyle w:val="BodyText"/>
        <w:rPr>
          <w:sz w:val="21"/>
          <w:szCs w:val="22"/>
          <w:lang w:val="en-US" w:eastAsia="zh-CN"/>
        </w:rPr>
      </w:pPr>
      <w:r>
        <w:rPr>
          <w:rFonts w:hint="eastAsia"/>
          <w:sz w:val="21"/>
          <w:szCs w:val="22"/>
          <w:lang w:val="en-US" w:eastAsia="zh-CN"/>
        </w:rPr>
        <w:t>According to the general development policy and current situation of nuclear power in China, some studies have predicted the overall scale of nuclear power in the future</w:t>
      </w:r>
      <w:r>
        <w:rPr>
          <w:rFonts w:hint="eastAsia"/>
          <w:sz w:val="21"/>
          <w:szCs w:val="22"/>
          <w:lang w:val="en-US" w:eastAsia="zh-CN"/>
        </w:rPr>
        <w:t xml:space="preserve"> according to the rapid development and slow development respectively, and estimated the storage demand of anti-spent fuel in table 1</w:t>
      </w:r>
      <w:r>
        <w:t>[1]</w:t>
      </w:r>
      <w:r>
        <w:rPr>
          <w:rFonts w:hint="eastAsia"/>
          <w:sz w:val="21"/>
          <w:szCs w:val="22"/>
          <w:lang w:val="en-US" w:eastAsia="zh-CN"/>
        </w:rPr>
        <w:t>.</w:t>
      </w:r>
    </w:p>
    <w:p w:rsidR="00FE5981" w:rsidRDefault="00FE5981">
      <w:pPr>
        <w:pStyle w:val="BodyText"/>
        <w:rPr>
          <w:sz w:val="21"/>
          <w:szCs w:val="22"/>
          <w:lang w:val="en-US" w:eastAsia="zh-CN"/>
        </w:rPr>
      </w:pPr>
    </w:p>
    <w:p w:rsidR="00FE5981" w:rsidRDefault="0089425B">
      <w:pPr>
        <w:pStyle w:val="BodyText"/>
        <w:ind w:firstLine="0"/>
        <w:rPr>
          <w:sz w:val="21"/>
          <w:szCs w:val="22"/>
          <w:lang w:val="en-US" w:eastAsia="zh-CN"/>
        </w:rPr>
      </w:pPr>
      <w:r>
        <w:rPr>
          <w:rStyle w:val="zyxConfidBlackChar"/>
          <w:rFonts w:hint="eastAsia"/>
          <w:lang w:val="en-US" w:eastAsia="zh-CN"/>
        </w:rPr>
        <w:t>TABLE 1 Spent Fuel Production and Accumulation in the Future under the Rapid and Slow Development of Nuclear Power in</w:t>
      </w:r>
      <w:r>
        <w:rPr>
          <w:rStyle w:val="zyxConfidBlackChar"/>
          <w:rFonts w:hint="eastAsia"/>
          <w:lang w:val="en-US" w:eastAsia="zh-CN"/>
        </w:rPr>
        <w:t xml:space="preserve"> </w:t>
      </w:r>
      <w:proofErr w:type="spellStart"/>
      <w:r>
        <w:rPr>
          <w:rStyle w:val="zyxConfidBlackChar"/>
          <w:rFonts w:hint="eastAsia"/>
          <w:lang w:val="en-US" w:eastAsia="zh-CN"/>
        </w:rPr>
        <w:t>China（</w:t>
      </w:r>
      <w:r>
        <w:rPr>
          <w:rFonts w:hint="eastAsia"/>
          <w:sz w:val="21"/>
          <w:szCs w:val="22"/>
          <w:lang w:val="en-US" w:eastAsia="zh-CN"/>
        </w:rPr>
        <w:t>t</w:t>
      </w:r>
      <w:proofErr w:type="spellEnd"/>
      <w:r>
        <w:rPr>
          <w:rFonts w:hint="eastAsia"/>
          <w:sz w:val="21"/>
          <w:szCs w:val="22"/>
          <w:lang w:val="en-US" w:eastAsia="zh-CN"/>
        </w:rPr>
        <w:t xml:space="preserve"> U）</w:t>
      </w:r>
    </w:p>
    <w:tbl>
      <w:tblPr>
        <w:tblStyle w:val="TableGrid"/>
        <w:tblW w:w="85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20"/>
        <w:gridCol w:w="1420"/>
        <w:gridCol w:w="1420"/>
        <w:gridCol w:w="1420"/>
        <w:gridCol w:w="1421"/>
        <w:gridCol w:w="1421"/>
      </w:tblGrid>
      <w:tr w:rsidR="00FE5981">
        <w:tc>
          <w:tcPr>
            <w:tcW w:w="1420" w:type="dxa"/>
            <w:tcBorders>
              <w:tl2br w:val="nil"/>
              <w:tr2bl w:val="nil"/>
            </w:tcBorders>
            <w:vAlign w:val="center"/>
          </w:tcPr>
          <w:p w:rsidR="00FE5981" w:rsidRDefault="00FE5981">
            <w:pPr>
              <w:pStyle w:val="BodyText"/>
              <w:widowControl w:val="0"/>
              <w:ind w:firstLine="0"/>
              <w:jc w:val="center"/>
              <w:rPr>
                <w:sz w:val="21"/>
                <w:szCs w:val="22"/>
                <w:lang w:val="en-US" w:eastAsia="zh-CN"/>
              </w:rPr>
            </w:pP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year</w:t>
            </w: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2020</w:t>
            </w: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2025</w:t>
            </w:r>
          </w:p>
        </w:tc>
        <w:tc>
          <w:tcPr>
            <w:tcW w:w="1421"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2030</w:t>
            </w:r>
          </w:p>
        </w:tc>
        <w:tc>
          <w:tcPr>
            <w:tcW w:w="1421"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2050</w:t>
            </w:r>
          </w:p>
        </w:tc>
      </w:tr>
      <w:tr w:rsidR="00FE5981">
        <w:tc>
          <w:tcPr>
            <w:tcW w:w="1420" w:type="dxa"/>
            <w:vMerge w:val="restart"/>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lastRenderedPageBreak/>
              <w:t>Rapid development</w:t>
            </w: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hyperlink r:id="rId9" w:anchor="##" w:history="1"/>
          </w:p>
          <w:p w:rsidR="00FE5981" w:rsidRDefault="0089425B">
            <w:pPr>
              <w:pStyle w:val="BodyText"/>
              <w:widowControl w:val="0"/>
              <w:ind w:firstLine="0"/>
              <w:jc w:val="center"/>
              <w:rPr>
                <w:sz w:val="21"/>
                <w:szCs w:val="22"/>
                <w:lang w:val="en-US" w:eastAsia="zh-CN"/>
              </w:rPr>
            </w:pPr>
            <w:hyperlink r:id="rId10" w:anchor="zh/en/javascript:void(0);" w:tooltip="添加到收藏夹" w:history="1"/>
            <w:r>
              <w:rPr>
                <w:sz w:val="21"/>
                <w:szCs w:val="22"/>
                <w:lang w:val="en-US" w:eastAsia="zh-CN"/>
              </w:rPr>
              <w:t>Spent</w:t>
            </w:r>
            <w:r>
              <w:rPr>
                <w:rFonts w:hint="eastAsia"/>
                <w:sz w:val="21"/>
                <w:szCs w:val="22"/>
                <w:lang w:val="en-US" w:eastAsia="zh-CN"/>
              </w:rPr>
              <w:t xml:space="preserve"> </w:t>
            </w:r>
            <w:r>
              <w:rPr>
                <w:sz w:val="21"/>
                <w:szCs w:val="22"/>
                <w:lang w:val="en-US" w:eastAsia="zh-CN"/>
              </w:rPr>
              <w:t>fuel production</w:t>
            </w:r>
          </w:p>
          <w:p w:rsidR="00FE5981" w:rsidRDefault="00FE5981">
            <w:pPr>
              <w:pStyle w:val="BodyText"/>
              <w:widowControl w:val="0"/>
              <w:ind w:firstLine="0"/>
              <w:jc w:val="center"/>
              <w:rPr>
                <w:sz w:val="21"/>
                <w:szCs w:val="22"/>
                <w:lang w:val="en-US" w:eastAsia="zh-CN"/>
              </w:rPr>
            </w:pP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1 000</w:t>
            </w: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2</w:t>
            </w:r>
            <w:r>
              <w:rPr>
                <w:rFonts w:hint="eastAsia"/>
                <w:sz w:val="21"/>
                <w:szCs w:val="22"/>
                <w:lang w:val="en-US" w:eastAsia="zh-CN"/>
              </w:rPr>
              <w:t xml:space="preserve"> 000</w:t>
            </w:r>
          </w:p>
        </w:tc>
        <w:tc>
          <w:tcPr>
            <w:tcW w:w="1421"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3 200</w:t>
            </w:r>
          </w:p>
        </w:tc>
        <w:tc>
          <w:tcPr>
            <w:tcW w:w="1421"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7 700</w:t>
            </w:r>
          </w:p>
        </w:tc>
      </w:tr>
      <w:tr w:rsidR="00FE5981">
        <w:tc>
          <w:tcPr>
            <w:tcW w:w="1420" w:type="dxa"/>
            <w:vMerge/>
            <w:tcBorders>
              <w:tl2br w:val="nil"/>
              <w:tr2bl w:val="nil"/>
            </w:tcBorders>
            <w:vAlign w:val="center"/>
          </w:tcPr>
          <w:p w:rsidR="00FE5981" w:rsidRDefault="00FE5981">
            <w:pPr>
              <w:pStyle w:val="BodyText"/>
              <w:widowControl w:val="0"/>
              <w:ind w:firstLine="0"/>
              <w:jc w:val="center"/>
              <w:rPr>
                <w:sz w:val="21"/>
                <w:szCs w:val="22"/>
                <w:lang w:val="en-US" w:eastAsia="zh-CN"/>
              </w:rPr>
            </w:pP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Spent fuel accumulation</w:t>
            </w: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7 000</w:t>
            </w: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15 000</w:t>
            </w:r>
          </w:p>
        </w:tc>
        <w:tc>
          <w:tcPr>
            <w:tcW w:w="1421"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28 900</w:t>
            </w:r>
          </w:p>
        </w:tc>
        <w:tc>
          <w:tcPr>
            <w:tcW w:w="1421"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141 000</w:t>
            </w:r>
          </w:p>
        </w:tc>
      </w:tr>
      <w:tr w:rsidR="00FE5981">
        <w:tc>
          <w:tcPr>
            <w:tcW w:w="1420" w:type="dxa"/>
            <w:vMerge w:val="restart"/>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Slow development</w:t>
            </w: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hyperlink r:id="rId11" w:anchor="zh/en/javascript:void(0);" w:tooltip="添加到收藏夹" w:history="1"/>
            <w:r>
              <w:rPr>
                <w:sz w:val="21"/>
                <w:szCs w:val="22"/>
                <w:lang w:val="en-US" w:eastAsia="zh-CN"/>
              </w:rPr>
              <w:t>Spent fuel production</w:t>
            </w:r>
          </w:p>
          <w:p w:rsidR="00FE5981" w:rsidRDefault="00FE5981">
            <w:pPr>
              <w:pStyle w:val="BodyText"/>
              <w:widowControl w:val="0"/>
              <w:ind w:firstLine="0"/>
              <w:jc w:val="center"/>
              <w:rPr>
                <w:sz w:val="21"/>
                <w:szCs w:val="22"/>
                <w:lang w:val="en-US" w:eastAsia="zh-CN"/>
              </w:rPr>
            </w:pP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1 000</w:t>
            </w: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1 200</w:t>
            </w:r>
          </w:p>
        </w:tc>
        <w:tc>
          <w:tcPr>
            <w:tcW w:w="1421"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1 600</w:t>
            </w:r>
          </w:p>
        </w:tc>
        <w:tc>
          <w:tcPr>
            <w:tcW w:w="1421"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2 500</w:t>
            </w:r>
          </w:p>
        </w:tc>
      </w:tr>
      <w:tr w:rsidR="00FE5981">
        <w:tc>
          <w:tcPr>
            <w:tcW w:w="1420" w:type="dxa"/>
            <w:vMerge/>
            <w:tcBorders>
              <w:tl2br w:val="nil"/>
              <w:tr2bl w:val="nil"/>
            </w:tcBorders>
            <w:vAlign w:val="center"/>
          </w:tcPr>
          <w:p w:rsidR="00FE5981" w:rsidRDefault="00FE5981">
            <w:pPr>
              <w:pStyle w:val="BodyText"/>
              <w:widowControl w:val="0"/>
              <w:ind w:firstLine="0"/>
              <w:jc w:val="center"/>
              <w:rPr>
                <w:sz w:val="21"/>
                <w:szCs w:val="22"/>
                <w:lang w:val="en-US" w:eastAsia="zh-CN"/>
              </w:rPr>
            </w:pP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Spent fuel accumulation</w:t>
            </w: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7 000</w:t>
            </w:r>
          </w:p>
        </w:tc>
        <w:tc>
          <w:tcPr>
            <w:tcW w:w="1420"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13 800</w:t>
            </w:r>
          </w:p>
        </w:tc>
        <w:tc>
          <w:tcPr>
            <w:tcW w:w="1421"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20 800</w:t>
            </w:r>
          </w:p>
        </w:tc>
        <w:tc>
          <w:tcPr>
            <w:tcW w:w="1421" w:type="dxa"/>
            <w:tcBorders>
              <w:tl2br w:val="nil"/>
              <w:tr2bl w:val="nil"/>
            </w:tcBorders>
            <w:vAlign w:val="center"/>
          </w:tcPr>
          <w:p w:rsidR="00FE5981" w:rsidRDefault="0089425B">
            <w:pPr>
              <w:pStyle w:val="BodyText"/>
              <w:widowControl w:val="0"/>
              <w:ind w:firstLine="0"/>
              <w:jc w:val="center"/>
              <w:rPr>
                <w:sz w:val="21"/>
                <w:szCs w:val="22"/>
                <w:lang w:val="en-US" w:eastAsia="zh-CN"/>
              </w:rPr>
            </w:pPr>
            <w:r>
              <w:rPr>
                <w:rFonts w:hint="eastAsia"/>
                <w:sz w:val="21"/>
                <w:szCs w:val="22"/>
                <w:lang w:val="en-US" w:eastAsia="zh-CN"/>
              </w:rPr>
              <w:t>62 700</w:t>
            </w:r>
          </w:p>
        </w:tc>
      </w:tr>
    </w:tbl>
    <w:p w:rsidR="00FE5981" w:rsidRDefault="00FE5981">
      <w:pPr>
        <w:spacing w:line="360" w:lineRule="auto"/>
        <w:rPr>
          <w:lang w:val="en-US" w:eastAsia="zh-CN"/>
        </w:rPr>
      </w:pPr>
    </w:p>
    <w:p w:rsidR="00FE5981" w:rsidRDefault="0089425B">
      <w:pPr>
        <w:pStyle w:val="BodyText"/>
        <w:rPr>
          <w:sz w:val="21"/>
          <w:szCs w:val="22"/>
          <w:lang w:val="en-US" w:eastAsia="zh-CN"/>
        </w:rPr>
      </w:pPr>
      <w:r>
        <w:rPr>
          <w:rFonts w:hint="eastAsia"/>
          <w:sz w:val="21"/>
          <w:szCs w:val="22"/>
          <w:lang w:val="en-US" w:eastAsia="zh-CN"/>
        </w:rPr>
        <w:t xml:space="preserve">It can be seen that the annual production and total accumulation of spent fuel are very considerable, bringing severe challenges to the back </w:t>
      </w:r>
      <w:r>
        <w:rPr>
          <w:rFonts w:hint="eastAsia"/>
          <w:sz w:val="21"/>
          <w:szCs w:val="22"/>
          <w:lang w:val="en-US" w:eastAsia="zh-CN"/>
        </w:rPr>
        <w:t>end of nuclear fuel, whether in the rapid or slow development situation or in the mid-speed development value that can be obtained</w:t>
      </w:r>
      <w:bookmarkStart w:id="0" w:name="_GoBack"/>
      <w:bookmarkEnd w:id="0"/>
      <w:r>
        <w:rPr>
          <w:rFonts w:hint="eastAsia"/>
          <w:sz w:val="21"/>
          <w:szCs w:val="22"/>
          <w:lang w:val="en-US" w:eastAsia="zh-CN"/>
        </w:rPr>
        <w:t xml:space="preserve"> from the two.</w:t>
      </w:r>
    </w:p>
    <w:p w:rsidR="00FE5981" w:rsidRDefault="0089425B">
      <w:pPr>
        <w:pStyle w:val="Heading2"/>
        <w:numPr>
          <w:ilvl w:val="1"/>
          <w:numId w:val="9"/>
        </w:numPr>
        <w:rPr>
          <w:sz w:val="21"/>
          <w:szCs w:val="22"/>
          <w:lang w:val="en-US" w:eastAsia="zh-CN"/>
        </w:rPr>
      </w:pPr>
      <w:r>
        <w:rPr>
          <w:rFonts w:hint="eastAsia"/>
          <w:sz w:val="21"/>
          <w:szCs w:val="22"/>
          <w:lang w:val="en-US" w:eastAsia="zh-CN"/>
        </w:rPr>
        <w:t>Basic Requirements for Storage Technology</w:t>
      </w:r>
    </w:p>
    <w:p w:rsidR="00FE5981" w:rsidRDefault="0089425B">
      <w:pPr>
        <w:pStyle w:val="BodyText"/>
        <w:rPr>
          <w:sz w:val="21"/>
          <w:szCs w:val="22"/>
          <w:lang w:val="en-US" w:eastAsia="zh-CN"/>
        </w:rPr>
      </w:pPr>
      <w:r>
        <w:rPr>
          <w:rFonts w:hint="eastAsia"/>
          <w:sz w:val="21"/>
          <w:szCs w:val="22"/>
          <w:lang w:val="en-US" w:eastAsia="zh-CN"/>
        </w:rPr>
        <w:t>At present, two methods are widely used in the world to store spent f</w:t>
      </w:r>
      <w:r>
        <w:rPr>
          <w:rFonts w:hint="eastAsia"/>
          <w:sz w:val="21"/>
          <w:szCs w:val="22"/>
          <w:lang w:val="en-US" w:eastAsia="zh-CN"/>
        </w:rPr>
        <w:t>uel, namely wet storage and dry storage. Wet storage is the main method of spent fuel storage. Most of the spent fuel discharged from the reactor is stored in the pool. Wet storage can also be divided into stack storage, off-heap storage and pool storage b</w:t>
      </w:r>
      <w:r>
        <w:rPr>
          <w:rFonts w:hint="eastAsia"/>
          <w:sz w:val="21"/>
          <w:szCs w:val="22"/>
          <w:lang w:val="en-US" w:eastAsia="zh-CN"/>
        </w:rPr>
        <w:t>efore reprocessing.</w:t>
      </w:r>
    </w:p>
    <w:p w:rsidR="00FE5981" w:rsidRDefault="00FE5981">
      <w:pPr>
        <w:pStyle w:val="BodyText"/>
        <w:rPr>
          <w:sz w:val="21"/>
          <w:szCs w:val="22"/>
          <w:lang w:val="en-US" w:eastAsia="zh-CN"/>
        </w:rPr>
      </w:pPr>
    </w:p>
    <w:p w:rsidR="00FE5981" w:rsidRDefault="0089425B">
      <w:pPr>
        <w:pStyle w:val="BodyText"/>
        <w:rPr>
          <w:sz w:val="21"/>
          <w:szCs w:val="22"/>
          <w:lang w:val="en-US" w:eastAsia="zh-CN"/>
        </w:rPr>
      </w:pPr>
      <w:r>
        <w:rPr>
          <w:rFonts w:hint="eastAsia"/>
          <w:sz w:val="21"/>
          <w:szCs w:val="22"/>
          <w:lang w:val="en-US" w:eastAsia="zh-CN"/>
        </w:rPr>
        <w:t xml:space="preserve">Whether wet storage technology or dry storage technology, the following requirements must be </w:t>
      </w:r>
      <w:proofErr w:type="gramStart"/>
      <w:r>
        <w:rPr>
          <w:rFonts w:hint="eastAsia"/>
          <w:sz w:val="21"/>
          <w:szCs w:val="22"/>
          <w:lang w:val="en-US" w:eastAsia="zh-CN"/>
        </w:rPr>
        <w:t>met</w:t>
      </w:r>
      <w:r>
        <w:t>[</w:t>
      </w:r>
      <w:proofErr w:type="gramEnd"/>
      <w:r>
        <w:rPr>
          <w:rFonts w:eastAsia="SimSun" w:hint="eastAsia"/>
          <w:lang w:val="en-US" w:eastAsia="zh-CN"/>
        </w:rPr>
        <w:t>2</w:t>
      </w:r>
      <w:r>
        <w:t>][</w:t>
      </w:r>
      <w:r>
        <w:rPr>
          <w:rFonts w:eastAsia="SimSun" w:hint="eastAsia"/>
          <w:lang w:val="en-US" w:eastAsia="zh-CN"/>
        </w:rPr>
        <w:t>3</w:t>
      </w:r>
      <w:r>
        <w:t>]</w:t>
      </w:r>
      <w:r>
        <w:rPr>
          <w:rFonts w:hint="eastAsia"/>
          <w:sz w:val="21"/>
          <w:szCs w:val="22"/>
          <w:lang w:val="en-US" w:eastAsia="zh-CN"/>
        </w:rPr>
        <w:t>:</w:t>
      </w:r>
    </w:p>
    <w:p w:rsidR="00FE5981" w:rsidRDefault="00FE5981">
      <w:pPr>
        <w:pStyle w:val="BodyText"/>
        <w:rPr>
          <w:sz w:val="21"/>
          <w:szCs w:val="22"/>
          <w:lang w:val="en-US" w:eastAsia="zh-CN"/>
        </w:rPr>
      </w:pPr>
    </w:p>
    <w:p w:rsidR="00FE5981" w:rsidRDefault="0089425B">
      <w:pPr>
        <w:pStyle w:val="ListNumbered"/>
        <w:rPr>
          <w:sz w:val="21"/>
          <w:szCs w:val="22"/>
          <w:lang w:val="en-US" w:eastAsia="zh-CN"/>
        </w:rPr>
      </w:pPr>
      <w:r>
        <w:rPr>
          <w:rFonts w:hint="eastAsia"/>
          <w:sz w:val="21"/>
          <w:szCs w:val="22"/>
          <w:lang w:val="en-US" w:eastAsia="zh-CN"/>
        </w:rPr>
        <w:t>The integrity of spent fuel cladding should be maintained during handling and exposure to corrosive environment.</w:t>
      </w:r>
    </w:p>
    <w:p w:rsidR="00FE5981" w:rsidRDefault="0089425B">
      <w:pPr>
        <w:pStyle w:val="ListNumbered"/>
        <w:rPr>
          <w:sz w:val="21"/>
          <w:szCs w:val="22"/>
          <w:lang w:val="en-US" w:eastAsia="zh-CN"/>
        </w:rPr>
      </w:pPr>
      <w:r>
        <w:rPr>
          <w:rFonts w:hint="eastAsia"/>
          <w:sz w:val="21"/>
          <w:szCs w:val="22"/>
          <w:lang w:val="en-US" w:eastAsia="zh-CN"/>
        </w:rPr>
        <w:t xml:space="preserve">During </w:t>
      </w:r>
      <w:r>
        <w:rPr>
          <w:rFonts w:hint="eastAsia"/>
          <w:sz w:val="21"/>
          <w:szCs w:val="22"/>
          <w:lang w:val="en-US" w:eastAsia="zh-CN"/>
        </w:rPr>
        <w:t>storage, in order to prevent the aging of spent fuel, the spent fuel should be cooled for enough time so that the temperature does not exceed the limit.</w:t>
      </w:r>
    </w:p>
    <w:p w:rsidR="00FE5981" w:rsidRDefault="0089425B">
      <w:pPr>
        <w:pStyle w:val="ListNumbered"/>
        <w:rPr>
          <w:sz w:val="21"/>
          <w:szCs w:val="22"/>
          <w:lang w:val="en-US" w:eastAsia="zh-CN"/>
        </w:rPr>
      </w:pPr>
      <w:r>
        <w:rPr>
          <w:rFonts w:hint="eastAsia"/>
          <w:sz w:val="21"/>
          <w:szCs w:val="22"/>
          <w:lang w:val="en-US" w:eastAsia="zh-CN"/>
        </w:rPr>
        <w:t>Keep spent fuel in sub-critical state under normal and accident conditions.</w:t>
      </w:r>
    </w:p>
    <w:p w:rsidR="00FE5981" w:rsidRDefault="0089425B">
      <w:pPr>
        <w:pStyle w:val="ListNumbered"/>
        <w:rPr>
          <w:sz w:val="21"/>
          <w:szCs w:val="22"/>
          <w:lang w:val="en-US" w:eastAsia="zh-CN"/>
        </w:rPr>
      </w:pPr>
      <w:r>
        <w:rPr>
          <w:rFonts w:hint="eastAsia"/>
          <w:sz w:val="21"/>
          <w:szCs w:val="22"/>
          <w:lang w:val="en-US" w:eastAsia="zh-CN"/>
        </w:rPr>
        <w:t>Radiation shielding for spe</w:t>
      </w:r>
      <w:r>
        <w:rPr>
          <w:rFonts w:hint="eastAsia"/>
          <w:sz w:val="21"/>
          <w:szCs w:val="22"/>
          <w:lang w:val="en-US" w:eastAsia="zh-CN"/>
        </w:rPr>
        <w:t>nt fuel must be able to protect operators, the public and the environment from radiation doses that do not exceed the management limit.</w:t>
      </w:r>
    </w:p>
    <w:p w:rsidR="00FE5981" w:rsidRDefault="0089425B">
      <w:pPr>
        <w:pStyle w:val="ListNumbered"/>
        <w:rPr>
          <w:sz w:val="21"/>
          <w:szCs w:val="22"/>
          <w:lang w:val="en-US" w:eastAsia="zh-CN"/>
        </w:rPr>
      </w:pPr>
      <w:r>
        <w:rPr>
          <w:rFonts w:hint="eastAsia"/>
          <w:sz w:val="21"/>
          <w:szCs w:val="22"/>
          <w:lang w:val="en-US" w:eastAsia="zh-CN"/>
        </w:rPr>
        <w:t>Ensuring environmental safety by minimizing the release of isotopes.</w:t>
      </w:r>
    </w:p>
    <w:p w:rsidR="00FE5981" w:rsidRDefault="0089425B">
      <w:pPr>
        <w:pStyle w:val="ListNumbered"/>
        <w:rPr>
          <w:sz w:val="21"/>
          <w:szCs w:val="22"/>
          <w:lang w:val="en-US" w:eastAsia="zh-CN"/>
        </w:rPr>
      </w:pPr>
      <w:r>
        <w:rPr>
          <w:rFonts w:hint="eastAsia"/>
          <w:sz w:val="21"/>
          <w:szCs w:val="22"/>
          <w:lang w:val="en-US" w:eastAsia="zh-CN"/>
        </w:rPr>
        <w:t>Always ensure the recoverability of spent fuel.</w:t>
      </w:r>
    </w:p>
    <w:p w:rsidR="00FE5981" w:rsidRDefault="0089425B">
      <w:pPr>
        <w:pStyle w:val="BodyText"/>
        <w:rPr>
          <w:sz w:val="21"/>
          <w:szCs w:val="22"/>
          <w:lang w:val="en-US" w:eastAsia="zh-CN"/>
        </w:rPr>
      </w:pPr>
      <w:r>
        <w:rPr>
          <w:rFonts w:hint="eastAsia"/>
          <w:sz w:val="21"/>
          <w:szCs w:val="22"/>
          <w:lang w:val="en-US" w:eastAsia="zh-CN"/>
        </w:rPr>
        <w:t>Wet</w:t>
      </w:r>
      <w:r>
        <w:rPr>
          <w:rFonts w:hint="eastAsia"/>
          <w:sz w:val="21"/>
          <w:szCs w:val="22"/>
          <w:lang w:val="en-US" w:eastAsia="zh-CN"/>
        </w:rPr>
        <w:t xml:space="preserve"> and dry storage technologies are considered to be the most reasonable storage technologies for increasing spent fuel storage. At present, wet storage technology is the main technology in China.</w:t>
      </w:r>
    </w:p>
    <w:p w:rsidR="00FE5981" w:rsidRDefault="00FE5981">
      <w:pPr>
        <w:pStyle w:val="BodyText"/>
        <w:rPr>
          <w:sz w:val="21"/>
          <w:szCs w:val="22"/>
          <w:lang w:val="en-US" w:eastAsia="zh-CN"/>
        </w:rPr>
      </w:pPr>
    </w:p>
    <w:p w:rsidR="00FE5981" w:rsidRDefault="0089425B">
      <w:pPr>
        <w:pStyle w:val="BodyText"/>
        <w:rPr>
          <w:sz w:val="21"/>
          <w:szCs w:val="22"/>
          <w:lang w:val="en-US" w:eastAsia="zh-CN"/>
        </w:rPr>
      </w:pPr>
      <w:r>
        <w:rPr>
          <w:rFonts w:hint="eastAsia"/>
          <w:sz w:val="21"/>
          <w:szCs w:val="22"/>
          <w:lang w:val="en-US" w:eastAsia="zh-CN"/>
        </w:rPr>
        <w:t xml:space="preserve">Wet storage of spent fuel is a mature technology and a safe </w:t>
      </w:r>
      <w:r>
        <w:rPr>
          <w:rFonts w:hint="eastAsia"/>
          <w:sz w:val="21"/>
          <w:szCs w:val="22"/>
          <w:lang w:val="en-US" w:eastAsia="zh-CN"/>
        </w:rPr>
        <w:t xml:space="preserve">and reliable storage method. Because water has good heat conductivity, the pool water is continuously circulating and cooling, and the decay heat generated by spent fuel is derived. The radioactive activity of spent fuel is reduced by decaying radioactive </w:t>
      </w:r>
      <w:r>
        <w:rPr>
          <w:rFonts w:hint="eastAsia"/>
          <w:sz w:val="21"/>
          <w:szCs w:val="22"/>
          <w:lang w:val="en-US" w:eastAsia="zh-CN"/>
        </w:rPr>
        <w:t>nuclides through storage. Wet spent fuel storage facilities include spent fuel unloading pool, storage pool, pool water purification and cooling system, pool water leakage monitoring system, container lifting and spent fuel assembly lifting device, and spe</w:t>
      </w:r>
      <w:r>
        <w:rPr>
          <w:rFonts w:hint="eastAsia"/>
          <w:sz w:val="21"/>
          <w:szCs w:val="22"/>
          <w:lang w:val="en-US" w:eastAsia="zh-CN"/>
        </w:rPr>
        <w:t>nt fuel storage rack or spent fuel storage basket with critical safety. At the same time, water is also a kind of shielding material with high transparency, which can ensure that under the condition of direct visual supervision, operators can use some rela</w:t>
      </w:r>
      <w:r>
        <w:rPr>
          <w:rFonts w:hint="eastAsia"/>
          <w:sz w:val="21"/>
          <w:szCs w:val="22"/>
          <w:lang w:val="en-US" w:eastAsia="zh-CN"/>
        </w:rPr>
        <w:t>ted equipment to complete the discharge and transshipment of spent fuel.</w:t>
      </w:r>
    </w:p>
    <w:p w:rsidR="00FE5981" w:rsidRDefault="0089425B">
      <w:pPr>
        <w:pStyle w:val="Heading2"/>
        <w:numPr>
          <w:ilvl w:val="1"/>
          <w:numId w:val="9"/>
        </w:numPr>
        <w:rPr>
          <w:sz w:val="21"/>
          <w:szCs w:val="22"/>
          <w:lang w:val="en-US" w:eastAsia="zh-CN"/>
        </w:rPr>
      </w:pPr>
      <w:r>
        <w:rPr>
          <w:rFonts w:hint="eastAsia"/>
          <w:sz w:val="21"/>
          <w:szCs w:val="22"/>
          <w:lang w:val="en-US" w:eastAsia="zh-CN"/>
        </w:rPr>
        <w:lastRenderedPageBreak/>
        <w:t>Basic Nuclear Safety Requirements for Wet Storage</w:t>
      </w:r>
    </w:p>
    <w:p w:rsidR="00FE5981" w:rsidRDefault="0089425B">
      <w:pPr>
        <w:pStyle w:val="Heading3"/>
        <w:rPr>
          <w:sz w:val="21"/>
          <w:szCs w:val="22"/>
          <w:lang w:val="en-US" w:eastAsia="zh-CN"/>
        </w:rPr>
      </w:pPr>
      <w:r>
        <w:rPr>
          <w:rFonts w:hint="eastAsia"/>
          <w:sz w:val="21"/>
          <w:szCs w:val="22"/>
          <w:lang w:val="en-US" w:eastAsia="zh-CN"/>
        </w:rPr>
        <w:t>Ensure that the water in the storage tank does not leak and that spent fuel can be continuously submerged.</w:t>
      </w:r>
    </w:p>
    <w:p w:rsidR="00FE5981" w:rsidRDefault="0089425B">
      <w:pPr>
        <w:pStyle w:val="Heading3"/>
        <w:rPr>
          <w:sz w:val="21"/>
          <w:szCs w:val="22"/>
          <w:lang w:val="en-US" w:eastAsia="zh-CN"/>
        </w:rPr>
      </w:pPr>
      <w:r>
        <w:rPr>
          <w:rFonts w:hint="eastAsia"/>
          <w:sz w:val="21"/>
          <w:szCs w:val="22"/>
          <w:lang w:val="en-US" w:eastAsia="zh-CN"/>
        </w:rPr>
        <w:t xml:space="preserve">Ensure that there is </w:t>
      </w:r>
      <w:r>
        <w:rPr>
          <w:rFonts w:hint="eastAsia"/>
          <w:sz w:val="21"/>
          <w:szCs w:val="22"/>
          <w:lang w:val="en-US" w:eastAsia="zh-CN"/>
        </w:rPr>
        <w:t>enough space in the storage tank and the neutron adsorption capacity is strong enough to avoid accidental chain reaction.</w:t>
      </w:r>
    </w:p>
    <w:p w:rsidR="00FE5981" w:rsidRDefault="0089425B">
      <w:pPr>
        <w:pStyle w:val="Heading3"/>
        <w:rPr>
          <w:sz w:val="21"/>
          <w:szCs w:val="22"/>
          <w:lang w:val="en-US" w:eastAsia="zh-CN"/>
        </w:rPr>
      </w:pPr>
      <w:r>
        <w:rPr>
          <w:rFonts w:hint="eastAsia"/>
          <w:sz w:val="21"/>
          <w:szCs w:val="22"/>
          <w:lang w:val="en-US" w:eastAsia="zh-CN"/>
        </w:rPr>
        <w:t xml:space="preserve">In case of accident, ensure the supply of cooling water and prevent spent fuel from melting.  </w:t>
      </w:r>
    </w:p>
    <w:p w:rsidR="00FE5981" w:rsidRDefault="0089425B">
      <w:pPr>
        <w:pStyle w:val="Heading2"/>
        <w:numPr>
          <w:ilvl w:val="1"/>
          <w:numId w:val="9"/>
        </w:numPr>
        <w:rPr>
          <w:sz w:val="21"/>
          <w:szCs w:val="22"/>
          <w:lang w:val="en-US" w:eastAsia="zh-CN"/>
        </w:rPr>
      </w:pPr>
      <w:r>
        <w:rPr>
          <w:rFonts w:hint="eastAsia"/>
          <w:sz w:val="21"/>
          <w:szCs w:val="22"/>
          <w:lang w:val="en-US" w:eastAsia="zh-CN"/>
        </w:rPr>
        <w:t>Main Concerns of Nuclear Safety Regulat</w:t>
      </w:r>
      <w:r>
        <w:rPr>
          <w:rFonts w:hint="eastAsia"/>
          <w:sz w:val="21"/>
          <w:szCs w:val="22"/>
          <w:lang w:val="en-US" w:eastAsia="zh-CN"/>
        </w:rPr>
        <w:t>ion</w:t>
      </w:r>
    </w:p>
    <w:p w:rsidR="00FE5981" w:rsidRDefault="0089425B">
      <w:pPr>
        <w:pStyle w:val="Heading3"/>
        <w:numPr>
          <w:ilvl w:val="2"/>
          <w:numId w:val="10"/>
        </w:numPr>
        <w:rPr>
          <w:sz w:val="21"/>
          <w:szCs w:val="22"/>
        </w:rPr>
      </w:pPr>
      <w:r>
        <w:rPr>
          <w:rFonts w:hint="eastAsia"/>
          <w:sz w:val="21"/>
          <w:szCs w:val="22"/>
        </w:rPr>
        <w:t>Container Receiving System</w:t>
      </w:r>
    </w:p>
    <w:p w:rsidR="00FE5981" w:rsidRDefault="0089425B">
      <w:pPr>
        <w:pStyle w:val="ListNumbered"/>
        <w:rPr>
          <w:sz w:val="21"/>
          <w:szCs w:val="22"/>
        </w:rPr>
      </w:pPr>
      <w:r>
        <w:rPr>
          <w:rFonts w:hint="eastAsia"/>
          <w:sz w:val="21"/>
          <w:szCs w:val="22"/>
        </w:rPr>
        <w:t>The fuel assemblies received at each time shall be approved by the higher authorities.</w:t>
      </w:r>
    </w:p>
    <w:p w:rsidR="00FE5981" w:rsidRDefault="0089425B">
      <w:pPr>
        <w:pStyle w:val="ListNumbered"/>
        <w:rPr>
          <w:sz w:val="21"/>
          <w:szCs w:val="22"/>
        </w:rPr>
      </w:pPr>
      <w:r>
        <w:rPr>
          <w:rFonts w:hint="eastAsia"/>
          <w:sz w:val="21"/>
          <w:szCs w:val="22"/>
        </w:rPr>
        <w:t>Operating permits for the acceptance and storage of spent fuel.</w:t>
      </w:r>
    </w:p>
    <w:p w:rsidR="00FE5981" w:rsidRDefault="0089425B">
      <w:pPr>
        <w:pStyle w:val="ListNumbered"/>
        <w:rPr>
          <w:sz w:val="21"/>
          <w:szCs w:val="22"/>
        </w:rPr>
      </w:pPr>
      <w:r>
        <w:rPr>
          <w:rFonts w:hint="eastAsia"/>
          <w:sz w:val="21"/>
          <w:szCs w:val="22"/>
        </w:rPr>
        <w:t>Received container integrity.</w:t>
      </w:r>
    </w:p>
    <w:p w:rsidR="00FE5981" w:rsidRDefault="0089425B">
      <w:pPr>
        <w:pStyle w:val="ListNumbered"/>
        <w:rPr>
          <w:sz w:val="21"/>
          <w:szCs w:val="22"/>
        </w:rPr>
      </w:pPr>
      <w:r>
        <w:rPr>
          <w:rFonts w:hint="eastAsia"/>
          <w:sz w:val="21"/>
          <w:szCs w:val="22"/>
        </w:rPr>
        <w:t>Contamination on the surface of the receivin</w:t>
      </w:r>
      <w:r>
        <w:rPr>
          <w:rFonts w:hint="eastAsia"/>
          <w:sz w:val="21"/>
          <w:szCs w:val="22"/>
        </w:rPr>
        <w:t>g container should be below the limit.</w:t>
      </w:r>
    </w:p>
    <w:p w:rsidR="00FE5981" w:rsidRDefault="0089425B">
      <w:pPr>
        <w:pStyle w:val="Heading3"/>
        <w:numPr>
          <w:ilvl w:val="2"/>
          <w:numId w:val="10"/>
        </w:numPr>
        <w:rPr>
          <w:sz w:val="21"/>
          <w:szCs w:val="22"/>
        </w:rPr>
      </w:pPr>
      <w:r>
        <w:rPr>
          <w:rFonts w:hint="eastAsia"/>
          <w:sz w:val="21"/>
          <w:szCs w:val="22"/>
        </w:rPr>
        <w:t>Container unloading system</w:t>
      </w:r>
    </w:p>
    <w:p w:rsidR="00FE5981" w:rsidRDefault="0089425B">
      <w:pPr>
        <w:pStyle w:val="ListNumbered"/>
        <w:numPr>
          <w:ilvl w:val="0"/>
          <w:numId w:val="11"/>
        </w:numPr>
        <w:rPr>
          <w:sz w:val="21"/>
          <w:szCs w:val="22"/>
        </w:rPr>
      </w:pPr>
      <w:r>
        <w:rPr>
          <w:rFonts w:hint="eastAsia"/>
          <w:sz w:val="21"/>
          <w:szCs w:val="22"/>
        </w:rPr>
        <w:t>The maximum total weight of the treated container is less than the batch limit</w:t>
      </w:r>
      <w:r>
        <w:rPr>
          <w:rFonts w:eastAsia="SimSun" w:hint="eastAsia"/>
          <w:sz w:val="21"/>
          <w:szCs w:val="22"/>
          <w:lang w:val="en-US" w:eastAsia="zh-CN"/>
        </w:rPr>
        <w:t>.</w:t>
      </w:r>
    </w:p>
    <w:p w:rsidR="00FE5981" w:rsidRDefault="0089425B">
      <w:pPr>
        <w:pStyle w:val="ListNumbered"/>
        <w:numPr>
          <w:ilvl w:val="0"/>
          <w:numId w:val="11"/>
        </w:numPr>
        <w:rPr>
          <w:sz w:val="21"/>
          <w:szCs w:val="22"/>
        </w:rPr>
      </w:pPr>
      <w:r>
        <w:rPr>
          <w:rFonts w:hint="eastAsia"/>
          <w:sz w:val="21"/>
          <w:szCs w:val="22"/>
        </w:rPr>
        <w:t>Only one vessel is unloaded vertically underwater in the unloading pool at the same time</w:t>
      </w:r>
      <w:r>
        <w:rPr>
          <w:rFonts w:eastAsia="SimSun" w:hint="eastAsia"/>
          <w:sz w:val="21"/>
          <w:szCs w:val="22"/>
          <w:lang w:val="en-US" w:eastAsia="zh-CN"/>
        </w:rPr>
        <w:t>.</w:t>
      </w:r>
    </w:p>
    <w:p w:rsidR="00FE5981" w:rsidRDefault="0089425B">
      <w:pPr>
        <w:pStyle w:val="ListNumbered"/>
        <w:numPr>
          <w:ilvl w:val="0"/>
          <w:numId w:val="11"/>
        </w:numPr>
        <w:rPr>
          <w:sz w:val="21"/>
          <w:szCs w:val="22"/>
        </w:rPr>
      </w:pPr>
      <w:r>
        <w:rPr>
          <w:rFonts w:hint="eastAsia"/>
          <w:sz w:val="21"/>
          <w:szCs w:val="22"/>
        </w:rPr>
        <w:t>The discharge pond w</w:t>
      </w:r>
      <w:r>
        <w:rPr>
          <w:rFonts w:hint="eastAsia"/>
          <w:sz w:val="21"/>
          <w:szCs w:val="22"/>
        </w:rPr>
        <w:t>ater reaches the required water level</w:t>
      </w:r>
      <w:r>
        <w:rPr>
          <w:rFonts w:eastAsia="SimSun" w:hint="eastAsia"/>
          <w:sz w:val="21"/>
          <w:szCs w:val="22"/>
          <w:lang w:val="en-US" w:eastAsia="zh-CN"/>
        </w:rPr>
        <w:t>.</w:t>
      </w:r>
    </w:p>
    <w:p w:rsidR="00FE5981" w:rsidRDefault="0089425B">
      <w:pPr>
        <w:pStyle w:val="ListNumbered"/>
        <w:numPr>
          <w:ilvl w:val="0"/>
          <w:numId w:val="11"/>
        </w:numPr>
        <w:rPr>
          <w:sz w:val="21"/>
          <w:szCs w:val="22"/>
        </w:rPr>
      </w:pPr>
      <w:r>
        <w:rPr>
          <w:rFonts w:hint="eastAsia"/>
          <w:sz w:val="21"/>
          <w:szCs w:val="22"/>
        </w:rPr>
        <w:t>Continuously purify the pool water so as to minimize the radioactive concentration in the air above the discharge pool</w:t>
      </w:r>
      <w:r>
        <w:rPr>
          <w:rFonts w:eastAsia="SimSun" w:hint="eastAsia"/>
          <w:sz w:val="21"/>
          <w:szCs w:val="22"/>
          <w:lang w:val="en-US" w:eastAsia="zh-CN"/>
        </w:rPr>
        <w:t>.</w:t>
      </w:r>
    </w:p>
    <w:p w:rsidR="00FE5981" w:rsidRDefault="0089425B">
      <w:pPr>
        <w:pStyle w:val="ListNumbered"/>
        <w:numPr>
          <w:ilvl w:val="0"/>
          <w:numId w:val="11"/>
        </w:numPr>
        <w:rPr>
          <w:sz w:val="21"/>
          <w:szCs w:val="22"/>
        </w:rPr>
      </w:pPr>
      <w:r>
        <w:rPr>
          <w:rFonts w:hint="eastAsia"/>
          <w:sz w:val="21"/>
          <w:szCs w:val="22"/>
        </w:rPr>
        <w:t>The lifting height of spent fuel assembly shall not exceed the minimum safe shielding water layer</w:t>
      </w:r>
      <w:r>
        <w:rPr>
          <w:rFonts w:hint="eastAsia"/>
          <w:sz w:val="21"/>
          <w:szCs w:val="22"/>
        </w:rPr>
        <w:t xml:space="preserve"> on it.</w:t>
      </w:r>
    </w:p>
    <w:p w:rsidR="00FE5981" w:rsidRDefault="0089425B">
      <w:pPr>
        <w:pStyle w:val="Heading3"/>
        <w:numPr>
          <w:ilvl w:val="2"/>
          <w:numId w:val="10"/>
        </w:numPr>
        <w:rPr>
          <w:sz w:val="21"/>
          <w:szCs w:val="22"/>
        </w:rPr>
      </w:pPr>
      <w:r>
        <w:rPr>
          <w:rFonts w:hint="eastAsia"/>
          <w:sz w:val="21"/>
          <w:szCs w:val="22"/>
        </w:rPr>
        <w:t>Spent fuel storage system</w:t>
      </w:r>
    </w:p>
    <w:p w:rsidR="00FE5981" w:rsidRDefault="0089425B">
      <w:pPr>
        <w:pStyle w:val="ListNumbered"/>
        <w:numPr>
          <w:ilvl w:val="0"/>
          <w:numId w:val="12"/>
        </w:numPr>
        <w:rPr>
          <w:sz w:val="21"/>
          <w:szCs w:val="22"/>
        </w:rPr>
      </w:pPr>
      <w:r>
        <w:rPr>
          <w:rFonts w:hint="eastAsia"/>
          <w:sz w:val="21"/>
          <w:szCs w:val="22"/>
        </w:rPr>
        <w:t>The water depth of storage pool ensures that the shielding water depth on the top of spent fuel assembly is not less than the design height when it is transported in normal condition. In credible accident condition, the sh</w:t>
      </w:r>
      <w:r>
        <w:rPr>
          <w:rFonts w:hint="eastAsia"/>
          <w:sz w:val="21"/>
          <w:szCs w:val="22"/>
        </w:rPr>
        <w:t>ielding water depth on the top of storage rack is not less than the design height.</w:t>
      </w:r>
    </w:p>
    <w:p w:rsidR="00FE5981" w:rsidRDefault="0089425B">
      <w:pPr>
        <w:pStyle w:val="ListNumbered"/>
        <w:numPr>
          <w:ilvl w:val="0"/>
          <w:numId w:val="12"/>
        </w:numPr>
        <w:rPr>
          <w:sz w:val="21"/>
          <w:szCs w:val="22"/>
        </w:rPr>
      </w:pPr>
      <w:r>
        <w:rPr>
          <w:rFonts w:hint="eastAsia"/>
          <w:sz w:val="21"/>
          <w:szCs w:val="22"/>
        </w:rPr>
        <w:t>The liquid level of spent fuel storage pool is monitored and controlled by pool level measuring instrument and pool level signal instrument. When the water level of the pond</w:t>
      </w:r>
      <w:r>
        <w:rPr>
          <w:rFonts w:hint="eastAsia"/>
          <w:sz w:val="21"/>
          <w:szCs w:val="22"/>
        </w:rPr>
        <w:t xml:space="preserve"> falls to the limit set at the edge of the pond, a warning signal is issued.</w:t>
      </w:r>
    </w:p>
    <w:p w:rsidR="00FE5981" w:rsidRDefault="0089425B">
      <w:pPr>
        <w:pStyle w:val="ListNumbered"/>
        <w:numPr>
          <w:ilvl w:val="0"/>
          <w:numId w:val="12"/>
        </w:numPr>
        <w:rPr>
          <w:sz w:val="21"/>
          <w:szCs w:val="22"/>
        </w:rPr>
      </w:pPr>
      <w:r>
        <w:rPr>
          <w:rFonts w:hint="eastAsia"/>
          <w:sz w:val="21"/>
          <w:szCs w:val="22"/>
        </w:rPr>
        <w:t>The spacing between adjacent storage boxes of storage racks shall be limited to ensure the storage of spent fuel assemblies</w:t>
      </w:r>
      <w:r>
        <w:rPr>
          <w:rFonts w:eastAsia="SimSun" w:hint="eastAsia"/>
          <w:sz w:val="21"/>
          <w:szCs w:val="22"/>
          <w:lang w:val="en-US" w:eastAsia="zh-CN"/>
        </w:rPr>
        <w:t>.</w:t>
      </w:r>
    </w:p>
    <w:p w:rsidR="00FE5981" w:rsidRDefault="0089425B">
      <w:pPr>
        <w:pStyle w:val="ListNumbered"/>
        <w:numPr>
          <w:ilvl w:val="0"/>
          <w:numId w:val="12"/>
        </w:numPr>
        <w:rPr>
          <w:sz w:val="21"/>
          <w:szCs w:val="22"/>
        </w:rPr>
      </w:pPr>
      <w:r>
        <w:rPr>
          <w:rFonts w:hint="eastAsia"/>
          <w:sz w:val="21"/>
          <w:szCs w:val="22"/>
        </w:rPr>
        <w:t>The pool water in the storage tank is continuously pum</w:t>
      </w:r>
      <w:r>
        <w:rPr>
          <w:rFonts w:hint="eastAsia"/>
          <w:sz w:val="21"/>
          <w:szCs w:val="22"/>
        </w:rPr>
        <w:t>ped out for filtration-ion exchange purification treatment at a periodic rate within a specified time, so that the radioactive concentration of the pool water is maintained below the design limit, and the dose rate at the height required by the design of t</w:t>
      </w:r>
      <w:r>
        <w:rPr>
          <w:rFonts w:hint="eastAsia"/>
          <w:sz w:val="21"/>
          <w:szCs w:val="22"/>
        </w:rPr>
        <w:t>he pool water surface is less than the design limit.</w:t>
      </w:r>
    </w:p>
    <w:p w:rsidR="00FE5981" w:rsidRDefault="0089425B">
      <w:pPr>
        <w:pStyle w:val="ListNumbered"/>
        <w:numPr>
          <w:ilvl w:val="0"/>
          <w:numId w:val="12"/>
        </w:numPr>
        <w:rPr>
          <w:sz w:val="21"/>
          <w:szCs w:val="22"/>
        </w:rPr>
      </w:pPr>
      <w:r>
        <w:rPr>
          <w:rFonts w:hint="eastAsia"/>
          <w:sz w:val="21"/>
          <w:szCs w:val="22"/>
        </w:rPr>
        <w:t>The storage pool hall is equipped with comprehensive mechanical ventilation</w:t>
      </w:r>
      <w:r>
        <w:rPr>
          <w:rFonts w:eastAsia="SimSun" w:hint="eastAsia"/>
          <w:sz w:val="21"/>
          <w:szCs w:val="22"/>
          <w:lang w:val="en-US" w:eastAsia="zh-CN"/>
        </w:rPr>
        <w:t>.</w:t>
      </w:r>
    </w:p>
    <w:p w:rsidR="00FE5981" w:rsidRDefault="0089425B">
      <w:pPr>
        <w:pStyle w:val="ListNumbered"/>
        <w:numPr>
          <w:ilvl w:val="0"/>
          <w:numId w:val="12"/>
        </w:numPr>
        <w:rPr>
          <w:sz w:val="21"/>
          <w:szCs w:val="22"/>
        </w:rPr>
      </w:pPr>
      <w:r>
        <w:rPr>
          <w:rFonts w:hint="eastAsia"/>
          <w:sz w:val="21"/>
          <w:szCs w:val="22"/>
        </w:rPr>
        <w:t xml:space="preserve">Maintaining the average horizontal temperature of the storage tank &lt; the design process conditions, and the maximum </w:t>
      </w:r>
      <w:r>
        <w:rPr>
          <w:rFonts w:hint="eastAsia"/>
          <w:sz w:val="21"/>
          <w:szCs w:val="22"/>
        </w:rPr>
        <w:t>operating temperature is the design process conditions.</w:t>
      </w:r>
    </w:p>
    <w:p w:rsidR="00FE5981" w:rsidRDefault="0089425B">
      <w:pPr>
        <w:pStyle w:val="ListNumbered"/>
        <w:numPr>
          <w:ilvl w:val="0"/>
          <w:numId w:val="12"/>
        </w:numPr>
        <w:rPr>
          <w:sz w:val="21"/>
          <w:szCs w:val="22"/>
          <w:lang w:eastAsia="zh-CN"/>
        </w:rPr>
      </w:pPr>
      <w:r>
        <w:rPr>
          <w:rFonts w:hint="eastAsia"/>
          <w:sz w:val="21"/>
          <w:szCs w:val="22"/>
        </w:rPr>
        <w:t>The water quality of storage pond meets the limit requirements</w:t>
      </w:r>
      <w:r>
        <w:rPr>
          <w:rFonts w:hint="eastAsia"/>
          <w:sz w:val="21"/>
          <w:szCs w:val="22"/>
          <w:lang w:val="en-US" w:eastAsia="zh-CN"/>
        </w:rPr>
        <w:t>.</w:t>
      </w:r>
    </w:p>
    <w:p w:rsidR="00FE5981" w:rsidRDefault="0089425B">
      <w:pPr>
        <w:pStyle w:val="Heading3"/>
        <w:numPr>
          <w:ilvl w:val="2"/>
          <w:numId w:val="10"/>
        </w:numPr>
        <w:rPr>
          <w:sz w:val="21"/>
          <w:szCs w:val="22"/>
        </w:rPr>
      </w:pPr>
      <w:r>
        <w:rPr>
          <w:rFonts w:hint="eastAsia"/>
          <w:sz w:val="21"/>
          <w:szCs w:val="22"/>
        </w:rPr>
        <w:t>Pool water cooling system</w:t>
      </w:r>
    </w:p>
    <w:p w:rsidR="00FE5981" w:rsidRDefault="0089425B">
      <w:pPr>
        <w:pStyle w:val="ListNumbered"/>
        <w:numPr>
          <w:ilvl w:val="0"/>
          <w:numId w:val="13"/>
        </w:numPr>
        <w:rPr>
          <w:sz w:val="21"/>
          <w:szCs w:val="22"/>
        </w:rPr>
      </w:pPr>
      <w:r>
        <w:rPr>
          <w:rFonts w:hint="eastAsia"/>
          <w:sz w:val="21"/>
          <w:szCs w:val="22"/>
        </w:rPr>
        <w:t>The outlet temperature of the pool water cooler is less than or equal to the design limit.</w:t>
      </w:r>
    </w:p>
    <w:p w:rsidR="00FE5981" w:rsidRDefault="0089425B">
      <w:pPr>
        <w:pStyle w:val="ListNumbered"/>
        <w:numPr>
          <w:ilvl w:val="0"/>
          <w:numId w:val="13"/>
        </w:numPr>
        <w:rPr>
          <w:sz w:val="21"/>
          <w:szCs w:val="22"/>
        </w:rPr>
      </w:pPr>
      <w:r>
        <w:rPr>
          <w:rFonts w:hint="eastAsia"/>
          <w:sz w:val="21"/>
          <w:szCs w:val="22"/>
        </w:rPr>
        <w:lastRenderedPageBreak/>
        <w:t>The inlet temperatu</w:t>
      </w:r>
      <w:r>
        <w:rPr>
          <w:rFonts w:hint="eastAsia"/>
          <w:sz w:val="21"/>
          <w:szCs w:val="22"/>
        </w:rPr>
        <w:t>re of the cooling water of the pool water cooler is less than or equal to the design limit.</w:t>
      </w:r>
    </w:p>
    <w:p w:rsidR="00FE5981" w:rsidRDefault="0089425B">
      <w:pPr>
        <w:pStyle w:val="ListNumbered"/>
        <w:numPr>
          <w:ilvl w:val="0"/>
          <w:numId w:val="13"/>
        </w:numPr>
        <w:rPr>
          <w:sz w:val="21"/>
          <w:szCs w:val="22"/>
        </w:rPr>
      </w:pPr>
      <w:r>
        <w:rPr>
          <w:rFonts w:hint="eastAsia"/>
          <w:sz w:val="21"/>
          <w:szCs w:val="22"/>
        </w:rPr>
        <w:t>The outlet temperature of the cooling water of the pond water cooler is less than or equal to the design limit.</w:t>
      </w:r>
    </w:p>
    <w:p w:rsidR="00FE5981" w:rsidRDefault="0089425B">
      <w:pPr>
        <w:pStyle w:val="ListNumbered"/>
        <w:numPr>
          <w:ilvl w:val="0"/>
          <w:numId w:val="13"/>
        </w:numPr>
        <w:rPr>
          <w:sz w:val="21"/>
          <w:szCs w:val="22"/>
        </w:rPr>
      </w:pPr>
      <w:r>
        <w:rPr>
          <w:rFonts w:hint="eastAsia"/>
          <w:sz w:val="21"/>
          <w:szCs w:val="22"/>
        </w:rPr>
        <w:t xml:space="preserve">The water flow through the pool water cooler is </w:t>
      </w:r>
      <w:r>
        <w:rPr>
          <w:rFonts w:hint="eastAsia"/>
          <w:sz w:val="21"/>
          <w:szCs w:val="22"/>
        </w:rPr>
        <w:t>less than or equal to the operation requirement.</w:t>
      </w:r>
    </w:p>
    <w:p w:rsidR="00FE5981" w:rsidRDefault="0089425B">
      <w:pPr>
        <w:pStyle w:val="Heading2"/>
        <w:numPr>
          <w:ilvl w:val="1"/>
          <w:numId w:val="9"/>
        </w:numPr>
        <w:rPr>
          <w:sz w:val="21"/>
          <w:szCs w:val="22"/>
          <w:lang w:val="en-US" w:eastAsia="zh-CN"/>
        </w:rPr>
      </w:pPr>
      <w:r>
        <w:rPr>
          <w:rFonts w:hint="eastAsia"/>
          <w:sz w:val="21"/>
          <w:szCs w:val="22"/>
          <w:lang w:val="en-US" w:eastAsia="zh-CN"/>
        </w:rPr>
        <w:t>conclusion</w:t>
      </w:r>
    </w:p>
    <w:p w:rsidR="00FE5981" w:rsidRDefault="0089425B">
      <w:pPr>
        <w:pStyle w:val="BodyText"/>
        <w:rPr>
          <w:sz w:val="21"/>
          <w:szCs w:val="22"/>
          <w:lang w:val="en-US" w:eastAsia="zh-CN"/>
        </w:rPr>
      </w:pPr>
      <w:r>
        <w:rPr>
          <w:rFonts w:hint="eastAsia"/>
          <w:sz w:val="21"/>
          <w:szCs w:val="22"/>
          <w:lang w:val="en-US" w:eastAsia="zh-CN"/>
        </w:rPr>
        <w:t>Through the supervision practice of spent fuel storage facilities currently in operation in China, the main concerns of spent fuel acceptance and unloading, storage and transshipment systems are o</w:t>
      </w:r>
      <w:r>
        <w:rPr>
          <w:rFonts w:hint="eastAsia"/>
          <w:sz w:val="21"/>
          <w:szCs w:val="22"/>
          <w:lang w:val="en-US" w:eastAsia="zh-CN"/>
        </w:rPr>
        <w:t>ptimized and determined, which improves the operation level of spent fuel storage facilities, accumulates experience and provides basis and operation experience for the supervision of spent fuel storage facilities in the future.</w:t>
      </w:r>
    </w:p>
    <w:p w:rsidR="00FE5981" w:rsidRDefault="00FE5981">
      <w:pPr>
        <w:pStyle w:val="Otherunnumberedheadings"/>
      </w:pPr>
    </w:p>
    <w:p w:rsidR="00FE5981" w:rsidRDefault="0089425B">
      <w:pPr>
        <w:pStyle w:val="Otherunnumberedheadings"/>
      </w:pPr>
      <w:r>
        <w:t>References</w:t>
      </w:r>
    </w:p>
    <w:p w:rsidR="00FE5981" w:rsidRDefault="0089425B">
      <w:pPr>
        <w:pStyle w:val="Referencelist"/>
      </w:pPr>
      <w:hyperlink r:id="rId12" w:history="1">
        <w:r>
          <w:rPr>
            <w:rFonts w:hint="eastAsia"/>
          </w:rPr>
          <w:t>HONG Z</w:t>
        </w:r>
      </w:hyperlink>
      <w:r>
        <w:rPr>
          <w:rFonts w:eastAsia="SimSun" w:hint="eastAsia"/>
          <w:lang w:val="en-US" w:eastAsia="zh-CN"/>
        </w:rPr>
        <w:t>HE,</w:t>
      </w:r>
      <w:r>
        <w:t xml:space="preserve">A., </w:t>
      </w:r>
      <w:r>
        <w:rPr>
          <w:rFonts w:hint="eastAsia"/>
        </w:rPr>
        <w:t>Analysis of the demand for the away-from-reactor storage of spent fuel in China</w:t>
      </w:r>
      <w:r>
        <w:t xml:space="preserve">, </w:t>
      </w:r>
      <w:r>
        <w:rPr>
          <w:rFonts w:eastAsia="SimSun" w:hint="eastAsia"/>
          <w:lang w:val="en-US" w:eastAsia="zh-CN"/>
        </w:rPr>
        <w:t>2016,36(3),</w:t>
      </w:r>
      <w:hyperlink r:id="rId13" w:history="1">
        <w:r>
          <w:rPr>
            <w:rFonts w:hint="eastAsia"/>
          </w:rPr>
          <w:t>N</w:t>
        </w:r>
        <w:r>
          <w:rPr>
            <w:rFonts w:hint="eastAsia"/>
          </w:rPr>
          <w:t>uclear Science and Engineering</w:t>
        </w:r>
      </w:hyperlink>
      <w:r>
        <w:t>,</w:t>
      </w:r>
      <w:r>
        <w:rPr>
          <w:rFonts w:eastAsia="SimSun" w:hint="eastAsia"/>
          <w:lang w:val="en-US" w:eastAsia="zh-CN"/>
        </w:rPr>
        <w:t>Beijing</w:t>
      </w:r>
      <w:r>
        <w:t xml:space="preserve"> (</w:t>
      </w:r>
      <w:r>
        <w:rPr>
          <w:rFonts w:eastAsia="SimSun" w:hint="eastAsia"/>
          <w:lang w:val="en-US" w:eastAsia="zh-CN"/>
        </w:rPr>
        <w:t>2016</w:t>
      </w:r>
      <w:r>
        <w:t>).</w:t>
      </w:r>
    </w:p>
    <w:p w:rsidR="00FE5981" w:rsidRDefault="0089425B">
      <w:pPr>
        <w:pStyle w:val="Referencelist"/>
      </w:pPr>
      <w:r>
        <w:rPr>
          <w:rFonts w:hint="eastAsia"/>
          <w:lang w:val="en-US" w:eastAsia="zh-CN"/>
        </w:rPr>
        <w:t xml:space="preserve">Status and Trends in Spent Fuel and Radioactive Waste </w:t>
      </w:r>
      <w:proofErr w:type="gramStart"/>
      <w:r>
        <w:rPr>
          <w:rFonts w:hint="eastAsia"/>
          <w:lang w:val="en-US" w:eastAsia="zh-CN"/>
        </w:rPr>
        <w:t>Management,IAEA</w:t>
      </w:r>
      <w:proofErr w:type="gramEnd"/>
      <w:r>
        <w:rPr>
          <w:rFonts w:hint="eastAsia"/>
          <w:lang w:val="en-US" w:eastAsia="zh-CN"/>
        </w:rPr>
        <w:t>,NW-T-1.14，2018</w:t>
      </w:r>
    </w:p>
    <w:p w:rsidR="00FE5981" w:rsidRDefault="0089425B">
      <w:pPr>
        <w:pStyle w:val="Referencelist"/>
      </w:pPr>
      <w:r>
        <w:rPr>
          <w:rFonts w:hint="eastAsia"/>
          <w:lang w:val="en-US" w:eastAsia="zh-CN"/>
        </w:rPr>
        <w:t>United States of America Fifth National Report for the Joint Convention on the Safety of Spent Fuel Management and on the</w:t>
      </w:r>
      <w:r>
        <w:rPr>
          <w:rFonts w:hint="eastAsia"/>
          <w:lang w:val="en-US" w:eastAsia="zh-CN"/>
        </w:rPr>
        <w:t xml:space="preserve"> Safety of Radioactive Waste </w:t>
      </w:r>
      <w:proofErr w:type="spellStart"/>
      <w:proofErr w:type="gramStart"/>
      <w:r>
        <w:rPr>
          <w:rFonts w:hint="eastAsia"/>
          <w:lang w:val="en-US" w:eastAsia="zh-CN"/>
        </w:rPr>
        <w:t>Management,DOE</w:t>
      </w:r>
      <w:proofErr w:type="spellEnd"/>
      <w:proofErr w:type="gramEnd"/>
      <w:r>
        <w:rPr>
          <w:rFonts w:hint="eastAsia"/>
          <w:lang w:val="en-US" w:eastAsia="zh-CN"/>
        </w:rPr>
        <w:t>/EM-0654,Rev.4,2014.</w:t>
      </w:r>
    </w:p>
    <w:p w:rsidR="00FE5981" w:rsidRDefault="00FE5981">
      <w:pPr>
        <w:ind w:firstLineChars="200" w:firstLine="560"/>
        <w:rPr>
          <w:rFonts w:ascii="FangSong_GB2312" w:eastAsia="FangSong_GB2312"/>
          <w:sz w:val="28"/>
          <w:szCs w:val="28"/>
          <w:lang w:val="en-US" w:eastAsia="zh-CN"/>
        </w:rPr>
      </w:pPr>
    </w:p>
    <w:p w:rsidR="00FE5981" w:rsidRDefault="00FE5981">
      <w:pPr>
        <w:ind w:firstLineChars="200" w:firstLine="560"/>
        <w:rPr>
          <w:rFonts w:ascii="FangSong_GB2312" w:eastAsia="FangSong_GB2312"/>
          <w:sz w:val="28"/>
          <w:szCs w:val="28"/>
          <w:lang w:val="en-US" w:eastAsia="zh-CN"/>
        </w:rPr>
      </w:pPr>
    </w:p>
    <w:p w:rsidR="00FE5981" w:rsidRDefault="00FE5981"/>
    <w:sectPr w:rsidR="00FE5981">
      <w:headerReference w:type="even" r:id="rId14"/>
      <w:headerReference w:type="default" r:id="rId15"/>
      <w:footerReference w:type="even" r:id="rId16"/>
      <w:footerReference w:type="default" r:id="rId17"/>
      <w:headerReference w:type="first" r:id="rId18"/>
      <w:footerReference w:type="first" r:id="rId19"/>
      <w:type w:val="oddPage"/>
      <w:pgSz w:w="11907" w:h="16840"/>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25B" w:rsidRDefault="0089425B">
      <w:pPr>
        <w:spacing w:after="0" w:line="240" w:lineRule="auto"/>
      </w:pPr>
      <w:r>
        <w:separator/>
      </w:r>
    </w:p>
  </w:endnote>
  <w:endnote w:type="continuationSeparator" w:id="0">
    <w:p w:rsidR="0089425B" w:rsidRDefault="0089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_GB2312">
    <w:altName w:val="Microsoft YaHei"/>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981" w:rsidRDefault="0089425B">
    <w:pPr>
      <w:pStyle w:val="zyxClassification1"/>
    </w:pPr>
    <w:r>
      <w:fldChar w:fldCharType="begin"/>
    </w:r>
    <w:r>
      <w:instrText xml:space="preserve"> DOCPROPERTY "IaeaClassification"  \* MERGEFORMAT </w:instrText>
    </w:r>
    <w:r>
      <w:fldChar w:fldCharType="end"/>
    </w:r>
  </w:p>
  <w:p w:rsidR="00FE5981" w:rsidRDefault="0089425B">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981" w:rsidRDefault="0089425B">
    <w:pPr>
      <w:pStyle w:val="zyxClassification1"/>
    </w:pPr>
    <w:r>
      <w:fldChar w:fldCharType="begin"/>
    </w:r>
    <w:r>
      <w:instrText xml:space="preserve"> DOCPROPERTY "IaeaClassification"  \* MERGEFORMAT </w:instrText>
    </w:r>
    <w:r>
      <w:fldChar w:fldCharType="end"/>
    </w:r>
  </w:p>
  <w:p w:rsidR="00FE5981" w:rsidRDefault="0089425B">
    <w:pPr>
      <w:pStyle w:val="zyxClassification2"/>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sz w:val="20"/>
      </w:rPr>
      <w:t>1</w:t>
    </w:r>
    <w:r>
      <w:rPr>
        <w:rFonts w:ascii="Times New Roman" w:hAnsi="Times New Roman" w:cs="Times New Roman"/>
        <w:sz w:val="20"/>
      </w:rPr>
      <w:fldChar w:fldCharType="end"/>
    </w:r>
    <w:r>
      <w:rPr>
        <w:rFonts w:ascii="Times New Roman" w:hAnsi="Times New Roman" w:cs="Times New Roman"/>
        <w:sz w:val="20"/>
      </w:rPr>
      <w:fldChar w:fldCharType="begin"/>
    </w:r>
    <w:r>
      <w:rPr>
        <w:rFonts w:ascii="Times New Roman" w:hAnsi="Times New Roman" w:cs="Times New Roman"/>
        <w:sz w:val="20"/>
      </w:rPr>
      <w:instrText>DOCPROPERTY "IaeaClassification2"  \* MERGEFORMAT</w:instrText>
    </w:r>
    <w:r>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ayout w:type="fixed"/>
      <w:tblLook w:val="04A0" w:firstRow="1" w:lastRow="0" w:firstColumn="1" w:lastColumn="0" w:noHBand="0" w:noVBand="1"/>
    </w:tblPr>
    <w:tblGrid>
      <w:gridCol w:w="4644"/>
      <w:gridCol w:w="5670"/>
    </w:tblGrid>
    <w:tr w:rsidR="00FE5981">
      <w:trPr>
        <w:cantSplit/>
      </w:trPr>
      <w:tc>
        <w:tcPr>
          <w:tcW w:w="4644" w:type="dxa"/>
        </w:tcPr>
        <w:p w:rsidR="00FE5981" w:rsidRDefault="0089425B">
          <w:pPr>
            <w:pStyle w:val="zyxDistribution"/>
            <w:framePr w:wrap="auto" w:vAnchor="margin" w:hAnchor="text" w:xAlign="left" w:yAlign="inline"/>
          </w:pPr>
          <w:r>
            <w:fldChar w:fldCharType="begin"/>
          </w:r>
          <w:r>
            <w:instrText xml:space="preserve"> DOCPROPERTY "IaeaDistribution"  \* MERGEFORMAT </w:instrText>
          </w:r>
          <w:r>
            <w:fldChar w:fldCharType="end"/>
          </w:r>
        </w:p>
        <w:p w:rsidR="00FE5981" w:rsidRDefault="0089425B">
          <w:pPr>
            <w:pStyle w:val="zyxSensitivity"/>
            <w:framePr w:wrap="auto" w:vAnchor="margin" w:hAnchor="text" w:xAlign="left" w:yAlign="inline"/>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FE5981" w:rsidRDefault="0089425B">
          <w:pPr>
            <w:pStyle w:val="zyxConfidBlack"/>
            <w:framePr w:wrap="auto" w:vAnchor="margin" w:hAnchor="text" w:xAlign="left" w:yAlign="inline"/>
          </w:pPr>
          <w:r>
            <w:fldChar w:fldCharType="begin"/>
          </w:r>
          <w:r>
            <w:instrText xml:space="preserve"> DOCPROPERTY "IaeaClassification"  \* MERGEFORMAT </w:instrText>
          </w:r>
          <w:r>
            <w:fldChar w:fldCharType="end"/>
          </w:r>
        </w:p>
        <w:bookmarkEnd w:id="2"/>
        <w:p w:rsidR="00FE5981" w:rsidRDefault="0089425B">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w:instrText>
          </w:r>
          <w:r>
            <w:rPr>
              <w:rFonts w:ascii="Arial" w:hAnsi="Arial" w:cs="Arial"/>
              <w:color w:val="FF0000"/>
            </w:rPr>
            <w:instrText>FORMAT</w:instrText>
          </w:r>
          <w:r>
            <w:rPr>
              <w:rFonts w:ascii="Arial" w:hAnsi="Arial" w:cs="Arial"/>
              <w:color w:val="FF0000"/>
            </w:rPr>
            <w:fldChar w:fldCharType="end"/>
          </w:r>
        </w:p>
      </w:tc>
    </w:tr>
  </w:tbl>
  <w:bookmarkStart w:id="3" w:name="DOC_bkmFileName"/>
  <w:p w:rsidR="00FE5981" w:rsidRDefault="0089425B">
    <w:r>
      <w:rPr>
        <w:sz w:val="16"/>
      </w:rPr>
      <w:fldChar w:fldCharType="begin"/>
    </w:r>
    <w:r>
      <w:rPr>
        <w:sz w:val="16"/>
      </w:rPr>
      <w:instrText xml:space="preserve"> FILENAME \* MERGEFORMAT </w:instrText>
    </w:r>
    <w:r>
      <w:rPr>
        <w:sz w:val="16"/>
      </w:rPr>
      <w:fldChar w:fldCharType="separate"/>
    </w:r>
    <w:r>
      <w:rPr>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25B" w:rsidRDefault="0089425B">
      <w:pPr>
        <w:spacing w:after="0" w:line="240" w:lineRule="auto"/>
      </w:pPr>
      <w:r>
        <w:separator/>
      </w:r>
    </w:p>
  </w:footnote>
  <w:footnote w:type="continuationSeparator" w:id="0">
    <w:p w:rsidR="0089425B" w:rsidRDefault="00894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981" w:rsidRDefault="0089425B">
    <w:pPr>
      <w:pStyle w:val="Runninghead"/>
      <w:rPr>
        <w:rFonts w:eastAsia="SimSun"/>
        <w:lang w:val="en-US" w:eastAsia="zh-CN"/>
      </w:rPr>
    </w:pPr>
    <w:r>
      <w:tab/>
      <w:t>IAEA-CN-</w:t>
    </w:r>
    <w:r>
      <w:rPr>
        <w:rFonts w:eastAsia="SimSun" w:hint="eastAsia"/>
        <w:lang w:val="en-US" w:eastAsia="zh-CN"/>
      </w:rPr>
      <w:t>272</w:t>
    </w:r>
    <w:r w:rsidR="00E10528">
      <w:rPr>
        <w:rFonts w:eastAsia="SimSun"/>
        <w:lang w:val="en-US" w:eastAsia="zh-CN"/>
      </w:rPr>
      <w:t>/21</w:t>
    </w:r>
  </w:p>
  <w:p w:rsidR="00FE5981" w:rsidRDefault="0089425B">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rsidR="00FE5981" w:rsidRDefault="0089425B">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981" w:rsidRDefault="0089425B">
    <w:pPr>
      <w:pStyle w:val="Runninghead"/>
      <w:rPr>
        <w:lang w:val="en-US"/>
      </w:rPr>
    </w:pPr>
    <w:r>
      <w:rPr>
        <w:rFonts w:eastAsia="SimSun" w:hint="eastAsia"/>
        <w:lang w:val="en-US" w:eastAsia="zh-CN"/>
      </w:rPr>
      <w:t>L</w:t>
    </w:r>
    <w:r w:rsidR="00E10528">
      <w:rPr>
        <w:rFonts w:eastAsia="SimSun"/>
        <w:lang w:val="en-US" w:eastAsia="zh-CN"/>
      </w:rPr>
      <w:t>.</w:t>
    </w:r>
    <w:r>
      <w:rPr>
        <w:rFonts w:eastAsia="SimSun" w:hint="eastAsia"/>
        <w:lang w:val="en-US" w:eastAsia="zh-CN"/>
      </w:rPr>
      <w:t xml:space="preserve"> </w:t>
    </w:r>
    <w:r>
      <w:rPr>
        <w:rFonts w:eastAsia="SimSun" w:hint="eastAsia"/>
        <w:lang w:val="en-US" w:eastAsia="zh-CN"/>
      </w:rPr>
      <w:t>ZHAN</w:t>
    </w:r>
    <w:r w:rsidR="00E10528">
      <w:rPr>
        <w:rFonts w:eastAsia="SimSun"/>
        <w:lang w:val="en-US" w:eastAsia="zh-CN"/>
      </w:rPr>
      <w:t>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4A0" w:firstRow="1" w:lastRow="0" w:firstColumn="1" w:lastColumn="0" w:noHBand="0" w:noVBand="1"/>
    </w:tblPr>
    <w:tblGrid>
      <w:gridCol w:w="979"/>
      <w:gridCol w:w="3638"/>
      <w:gridCol w:w="5702"/>
    </w:tblGrid>
    <w:tr w:rsidR="00FE5981">
      <w:trPr>
        <w:cantSplit/>
        <w:trHeight w:val="716"/>
      </w:trPr>
      <w:tc>
        <w:tcPr>
          <w:tcW w:w="979" w:type="dxa"/>
          <w:vMerge w:val="restart"/>
        </w:tcPr>
        <w:p w:rsidR="00FE5981" w:rsidRDefault="00FE5981">
          <w:pPr>
            <w:spacing w:before="180"/>
            <w:ind w:left="17"/>
          </w:pPr>
        </w:p>
      </w:tc>
      <w:tc>
        <w:tcPr>
          <w:tcW w:w="3638" w:type="dxa"/>
          <w:vAlign w:val="bottom"/>
        </w:tcPr>
        <w:p w:rsidR="00FE5981" w:rsidRDefault="00FE5981">
          <w:pPr>
            <w:spacing w:after="20"/>
          </w:pPr>
        </w:p>
      </w:tc>
      <w:bookmarkStart w:id="1" w:name="DOC_bkmClassification1"/>
      <w:tc>
        <w:tcPr>
          <w:tcW w:w="5702" w:type="dxa"/>
          <w:vMerge w:val="restart"/>
          <w:tcMar>
            <w:right w:w="193" w:type="dxa"/>
          </w:tcMar>
        </w:tcPr>
        <w:p w:rsidR="00FE5981" w:rsidRDefault="0089425B">
          <w:pPr>
            <w:pStyle w:val="zyxConfidBlack"/>
            <w:framePr w:wrap="auto" w:vAnchor="margin" w:hAnchor="text" w:xAlign="left" w:yAlign="inline"/>
          </w:pPr>
          <w:r>
            <w:fldChar w:fldCharType="begin"/>
          </w:r>
          <w:r>
            <w:instrText xml:space="preserve"> DOCPROPERTY "IaeaClassification"  \* MERGEFORMAT </w:instrText>
          </w:r>
          <w:r>
            <w:fldChar w:fldCharType="end"/>
          </w:r>
        </w:p>
        <w:bookmarkEnd w:id="1"/>
        <w:p w:rsidR="00FE5981" w:rsidRDefault="0089425B">
          <w:pPr>
            <w:pStyle w:val="zyxConfid2Red"/>
          </w:pPr>
          <w:r>
            <w:fldChar w:fldCharType="begin"/>
          </w:r>
          <w:r>
            <w:instrText>DOCPROPERTY "IaeaClassification2"  \* MERGEFORMAT</w:instrText>
          </w:r>
          <w:r>
            <w:fldChar w:fldCharType="end"/>
          </w:r>
        </w:p>
      </w:tc>
    </w:tr>
    <w:tr w:rsidR="00FE5981">
      <w:trPr>
        <w:cantSplit/>
        <w:trHeight w:val="167"/>
      </w:trPr>
      <w:tc>
        <w:tcPr>
          <w:tcW w:w="979" w:type="dxa"/>
          <w:vMerge/>
        </w:tcPr>
        <w:p w:rsidR="00FE5981" w:rsidRDefault="00FE5981">
          <w:pPr>
            <w:spacing w:before="57"/>
          </w:pPr>
        </w:p>
      </w:tc>
      <w:tc>
        <w:tcPr>
          <w:tcW w:w="3638" w:type="dxa"/>
          <w:vAlign w:val="bottom"/>
        </w:tcPr>
        <w:p w:rsidR="00FE5981" w:rsidRDefault="00FE5981">
          <w:pPr>
            <w:pStyle w:val="Heading9"/>
            <w:spacing w:before="0" w:after="10"/>
          </w:pPr>
        </w:p>
      </w:tc>
      <w:tc>
        <w:tcPr>
          <w:tcW w:w="5702" w:type="dxa"/>
          <w:vMerge/>
          <w:vAlign w:val="bottom"/>
        </w:tcPr>
        <w:p w:rsidR="00FE5981" w:rsidRDefault="00FE5981">
          <w:pPr>
            <w:pStyle w:val="Heading9"/>
            <w:spacing w:before="0" w:after="10"/>
          </w:pPr>
        </w:p>
      </w:tc>
    </w:tr>
  </w:tbl>
  <w:p w:rsidR="00FE5981" w:rsidRDefault="00FE59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0DA24264"/>
    <w:lvl w:ilvl="0">
      <w:start w:val="1"/>
      <w:numFmt w:val="decimal"/>
      <w:pStyle w:val="AgendaList"/>
      <w:lvlText w:val="%1."/>
      <w:lvlJc w:val="left"/>
      <w:pPr>
        <w:tabs>
          <w:tab w:val="left"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rPr>
    </w:lvl>
    <w:lvl w:ilvl="1">
      <w:start w:val="1"/>
      <w:numFmt w:val="lowerLetter"/>
      <w:lvlText w:val="(%2)"/>
      <w:lvlJc w:val="left"/>
      <w:pPr>
        <w:tabs>
          <w:tab w:val="left"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rPr>
    </w:lvl>
    <w:lvl w:ilvl="2">
      <w:start w:val="1"/>
      <w:numFmt w:val="bullet"/>
      <w:lvlText w:val="-"/>
      <w:lvlJc w:val="left"/>
      <w:pPr>
        <w:tabs>
          <w:tab w:val="left"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rPr>
    </w:lvl>
    <w:lvl w:ilvl="3">
      <w:start w:val="1"/>
      <w:numFmt w:val="decimal"/>
      <w:lvlText w:val="(%4)"/>
      <w:lvlJc w:val="left"/>
      <w:pPr>
        <w:tabs>
          <w:tab w:val="left" w:pos="811"/>
        </w:tabs>
        <w:ind w:left="811" w:hanging="360"/>
      </w:pPr>
      <w:rPr>
        <w:rFonts w:hint="default"/>
      </w:rPr>
    </w:lvl>
    <w:lvl w:ilvl="4">
      <w:start w:val="1"/>
      <w:numFmt w:val="lowerLetter"/>
      <w:lvlText w:val="(%5)"/>
      <w:lvlJc w:val="left"/>
      <w:pPr>
        <w:tabs>
          <w:tab w:val="left" w:pos="1171"/>
        </w:tabs>
        <w:ind w:left="1171" w:hanging="360"/>
      </w:pPr>
      <w:rPr>
        <w:rFonts w:hint="default"/>
      </w:rPr>
    </w:lvl>
    <w:lvl w:ilvl="5">
      <w:start w:val="1"/>
      <w:numFmt w:val="lowerRoman"/>
      <w:lvlText w:val="(%6)"/>
      <w:lvlJc w:val="left"/>
      <w:pPr>
        <w:tabs>
          <w:tab w:val="left" w:pos="1531"/>
        </w:tabs>
        <w:ind w:left="1531" w:hanging="360"/>
      </w:pPr>
      <w:rPr>
        <w:rFonts w:hint="default"/>
      </w:rPr>
    </w:lvl>
    <w:lvl w:ilvl="6">
      <w:start w:val="1"/>
      <w:numFmt w:val="decimal"/>
      <w:lvlText w:val="%7."/>
      <w:lvlJc w:val="left"/>
      <w:pPr>
        <w:tabs>
          <w:tab w:val="left" w:pos="1891"/>
        </w:tabs>
        <w:ind w:left="1891" w:hanging="360"/>
      </w:pPr>
      <w:rPr>
        <w:rFonts w:hint="default"/>
      </w:rPr>
    </w:lvl>
    <w:lvl w:ilvl="7">
      <w:start w:val="1"/>
      <w:numFmt w:val="lowerLetter"/>
      <w:lvlText w:val="%8."/>
      <w:lvlJc w:val="left"/>
      <w:pPr>
        <w:tabs>
          <w:tab w:val="left" w:pos="2251"/>
        </w:tabs>
        <w:ind w:left="2251" w:hanging="360"/>
      </w:pPr>
      <w:rPr>
        <w:rFonts w:hint="default"/>
      </w:rPr>
    </w:lvl>
    <w:lvl w:ilvl="8">
      <w:start w:val="1"/>
      <w:numFmt w:val="lowerRoman"/>
      <w:lvlText w:val="%9."/>
      <w:lvlJc w:val="left"/>
      <w:pPr>
        <w:tabs>
          <w:tab w:val="left" w:pos="2611"/>
        </w:tabs>
        <w:ind w:left="2611" w:hanging="360"/>
      </w:pPr>
      <w:rPr>
        <w:rFonts w:hint="default"/>
      </w:rPr>
    </w:lvl>
  </w:abstractNum>
  <w:abstractNum w:abstractNumId="1" w15:restartNumberingAfterBreak="0">
    <w:nsid w:val="179F5671"/>
    <w:multiLevelType w:val="multilevel"/>
    <w:tmpl w:val="179F5671"/>
    <w:lvl w:ilvl="0">
      <w:start w:val="1"/>
      <w:numFmt w:val="bullet"/>
      <w:pStyle w:val="ListEmdash"/>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1CE663AE"/>
    <w:multiLevelType w:val="multilevel"/>
    <w:tmpl w:val="1CE663AE"/>
    <w:lvl w:ilvl="0">
      <w:start w:val="1"/>
      <w:numFmt w:val="lowerLetter"/>
      <w:pStyle w:val="ListNumbered"/>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83872"/>
    <w:multiLevelType w:val="multilevel"/>
    <w:tmpl w:val="1F583872"/>
    <w:lvl w:ilvl="0">
      <w:start w:val="1"/>
      <w:numFmt w:val="bullet"/>
      <w:pStyle w:val="BodyTextSummary"/>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0C540B8"/>
    <w:multiLevelType w:val="multilevel"/>
    <w:tmpl w:val="30C540B8"/>
    <w:lvl w:ilvl="0">
      <w:start w:val="1"/>
      <w:numFmt w:val="bullet"/>
      <w:pStyle w:val="ListBulleted"/>
      <w:lvlText w:val=""/>
      <w:lvlJc w:val="left"/>
      <w:pPr>
        <w:tabs>
          <w:tab w:val="left" w:pos="1179"/>
        </w:tabs>
        <w:ind w:left="1179" w:hanging="360"/>
      </w:pPr>
      <w:rPr>
        <w:rFonts w:ascii="Symbol" w:hAnsi="Symbol" w:hint="default"/>
      </w:rPr>
    </w:lvl>
    <w:lvl w:ilvl="1">
      <w:start w:val="1"/>
      <w:numFmt w:val="bullet"/>
      <w:lvlText w:val="o"/>
      <w:lvlJc w:val="left"/>
      <w:pPr>
        <w:tabs>
          <w:tab w:val="left" w:pos="1899"/>
        </w:tabs>
        <w:ind w:left="1899" w:hanging="360"/>
      </w:pPr>
      <w:rPr>
        <w:rFonts w:ascii="Courier New" w:hAnsi="Courier New" w:hint="default"/>
      </w:rPr>
    </w:lvl>
    <w:lvl w:ilvl="2">
      <w:start w:val="1"/>
      <w:numFmt w:val="bullet"/>
      <w:lvlText w:val=""/>
      <w:lvlJc w:val="left"/>
      <w:pPr>
        <w:tabs>
          <w:tab w:val="left" w:pos="2619"/>
        </w:tabs>
        <w:ind w:left="2619" w:hanging="360"/>
      </w:pPr>
      <w:rPr>
        <w:rFonts w:ascii="Wingdings" w:hAnsi="Wingdings" w:hint="default"/>
      </w:rPr>
    </w:lvl>
    <w:lvl w:ilvl="3">
      <w:start w:val="1"/>
      <w:numFmt w:val="bullet"/>
      <w:lvlText w:val=""/>
      <w:lvlJc w:val="left"/>
      <w:pPr>
        <w:tabs>
          <w:tab w:val="left" w:pos="3339"/>
        </w:tabs>
        <w:ind w:left="3339" w:hanging="360"/>
      </w:pPr>
      <w:rPr>
        <w:rFonts w:ascii="Symbol" w:hAnsi="Symbol" w:hint="default"/>
      </w:rPr>
    </w:lvl>
    <w:lvl w:ilvl="4">
      <w:start w:val="1"/>
      <w:numFmt w:val="bullet"/>
      <w:lvlText w:val="o"/>
      <w:lvlJc w:val="left"/>
      <w:pPr>
        <w:tabs>
          <w:tab w:val="left" w:pos="4059"/>
        </w:tabs>
        <w:ind w:left="4059" w:hanging="360"/>
      </w:pPr>
      <w:rPr>
        <w:rFonts w:ascii="Courier New" w:hAnsi="Courier New" w:hint="default"/>
      </w:rPr>
    </w:lvl>
    <w:lvl w:ilvl="5">
      <w:start w:val="1"/>
      <w:numFmt w:val="bullet"/>
      <w:lvlText w:val=""/>
      <w:lvlJc w:val="left"/>
      <w:pPr>
        <w:tabs>
          <w:tab w:val="left" w:pos="4779"/>
        </w:tabs>
        <w:ind w:left="4779" w:hanging="360"/>
      </w:pPr>
      <w:rPr>
        <w:rFonts w:ascii="Wingdings" w:hAnsi="Wingdings" w:hint="default"/>
      </w:rPr>
    </w:lvl>
    <w:lvl w:ilvl="6">
      <w:start w:val="1"/>
      <w:numFmt w:val="bullet"/>
      <w:lvlText w:val=""/>
      <w:lvlJc w:val="left"/>
      <w:pPr>
        <w:tabs>
          <w:tab w:val="left" w:pos="5499"/>
        </w:tabs>
        <w:ind w:left="5499" w:hanging="360"/>
      </w:pPr>
      <w:rPr>
        <w:rFonts w:ascii="Symbol" w:hAnsi="Symbol" w:hint="default"/>
      </w:rPr>
    </w:lvl>
    <w:lvl w:ilvl="7">
      <w:start w:val="1"/>
      <w:numFmt w:val="bullet"/>
      <w:lvlText w:val="o"/>
      <w:lvlJc w:val="left"/>
      <w:pPr>
        <w:tabs>
          <w:tab w:val="left" w:pos="6219"/>
        </w:tabs>
        <w:ind w:left="6219" w:hanging="360"/>
      </w:pPr>
      <w:rPr>
        <w:rFonts w:ascii="Courier New" w:hAnsi="Courier New" w:hint="default"/>
      </w:rPr>
    </w:lvl>
    <w:lvl w:ilvl="8">
      <w:start w:val="1"/>
      <w:numFmt w:val="bullet"/>
      <w:lvlText w:val=""/>
      <w:lvlJc w:val="left"/>
      <w:pPr>
        <w:tabs>
          <w:tab w:val="left" w:pos="6939"/>
        </w:tabs>
        <w:ind w:left="6939" w:hanging="360"/>
      </w:pPr>
      <w:rPr>
        <w:rFonts w:ascii="Wingdings" w:hAnsi="Wingdings" w:hint="default"/>
      </w:rPr>
    </w:lvl>
  </w:abstractNum>
  <w:abstractNum w:abstractNumId="5" w15:restartNumberingAfterBreak="0">
    <w:nsid w:val="3D18048A"/>
    <w:multiLevelType w:val="multilevel"/>
    <w:tmpl w:val="3D18048A"/>
    <w:lvl w:ilvl="0">
      <w:start w:val="1"/>
      <w:numFmt w:val="decimal"/>
      <w:pStyle w:val="Reference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17250B"/>
    <w:multiLevelType w:val="multilevel"/>
    <w:tmpl w:val="5117250B"/>
    <w:lvl w:ilvl="0">
      <w:start w:val="1"/>
      <w:numFmt w:val="decimal"/>
      <w:pStyle w:val="BodyTextMultiline"/>
      <w:lvlText w:val="%1."/>
      <w:lvlJc w:val="left"/>
      <w:pPr>
        <w:tabs>
          <w:tab w:val="left" w:pos="459"/>
        </w:tabs>
        <w:ind w:left="0" w:firstLine="0"/>
      </w:pPr>
    </w:lvl>
    <w:lvl w:ilvl="1">
      <w:start w:val="1"/>
      <w:numFmt w:val="decimal"/>
      <w:lvlText w:val="%1.%2."/>
      <w:lvlJc w:val="left"/>
      <w:pPr>
        <w:tabs>
          <w:tab w:val="left" w:pos="918"/>
        </w:tabs>
        <w:ind w:left="459" w:firstLine="0"/>
      </w:pPr>
    </w:lvl>
    <w:lvl w:ilvl="2">
      <w:start w:val="1"/>
      <w:numFmt w:val="decimal"/>
      <w:lvlText w:val="%1.%2.%3."/>
      <w:lvlJc w:val="left"/>
      <w:pPr>
        <w:tabs>
          <w:tab w:val="left" w:pos="1378"/>
        </w:tabs>
        <w:ind w:left="918" w:firstLine="0"/>
      </w:pPr>
    </w:lvl>
    <w:lvl w:ilvl="3">
      <w:start w:val="1"/>
      <w:numFmt w:val="decimal"/>
      <w:lvlText w:val="%1.%2.%3.%4."/>
      <w:lvlJc w:val="left"/>
      <w:pPr>
        <w:tabs>
          <w:tab w:val="left" w:pos="1837"/>
        </w:tabs>
        <w:ind w:left="1378" w:firstLine="0"/>
      </w:pPr>
    </w:lvl>
    <w:lvl w:ilvl="4">
      <w:start w:val="1"/>
      <w:numFmt w:val="decimal"/>
      <w:lvlText w:val="%1.%2.%3.%4.%5."/>
      <w:lvlJc w:val="left"/>
      <w:pPr>
        <w:tabs>
          <w:tab w:val="left" w:pos="2517"/>
        </w:tabs>
        <w:ind w:left="2234" w:hanging="794"/>
      </w:pPr>
    </w:lvl>
    <w:lvl w:ilvl="5">
      <w:start w:val="1"/>
      <w:numFmt w:val="decimal"/>
      <w:lvlText w:val="%1.%2.%3.%4.%5.%6."/>
      <w:lvlJc w:val="left"/>
      <w:pPr>
        <w:tabs>
          <w:tab w:val="left" w:pos="2880"/>
        </w:tabs>
        <w:ind w:left="2738" w:hanging="941"/>
      </w:pPr>
    </w:lvl>
    <w:lvl w:ilvl="6">
      <w:start w:val="1"/>
      <w:numFmt w:val="decimal"/>
      <w:lvlText w:val="%1.%2.%3.%4.%5.%6.%7."/>
      <w:lvlJc w:val="left"/>
      <w:pPr>
        <w:tabs>
          <w:tab w:val="left" w:pos="3600"/>
        </w:tabs>
        <w:ind w:left="3237" w:hanging="1077"/>
      </w:pPr>
    </w:lvl>
    <w:lvl w:ilvl="7">
      <w:start w:val="1"/>
      <w:numFmt w:val="decimal"/>
      <w:lvlText w:val="%1.%2.%3.%4.%5.%6.%7.%8."/>
      <w:lvlJc w:val="left"/>
      <w:pPr>
        <w:tabs>
          <w:tab w:val="left" w:pos="3957"/>
        </w:tabs>
        <w:ind w:left="3742" w:hanging="1225"/>
      </w:pPr>
    </w:lvl>
    <w:lvl w:ilvl="8">
      <w:start w:val="1"/>
      <w:numFmt w:val="decimal"/>
      <w:lvlText w:val="%1.%2.%3.%4.%5.%6.%7.%8.%9."/>
      <w:lvlJc w:val="left"/>
      <w:pPr>
        <w:tabs>
          <w:tab w:val="left" w:pos="4677"/>
        </w:tabs>
        <w:ind w:left="4320" w:hanging="1440"/>
      </w:pPr>
    </w:lvl>
  </w:abstractNum>
  <w:abstractNum w:abstractNumId="7" w15:restartNumberingAfterBreak="0">
    <w:nsid w:val="6FD51093"/>
    <w:multiLevelType w:val="multilevel"/>
    <w:tmpl w:val="6FD51093"/>
    <w:lvl w:ilvl="0">
      <w:start w:val="1"/>
      <w:numFmt w:val="none"/>
      <w:lvlText w:val=""/>
      <w:lvlJc w:val="left"/>
      <w:pPr>
        <w:tabs>
          <w:tab w:val="left"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left" w:pos="3345"/>
        </w:tabs>
        <w:ind w:left="2268" w:firstLine="0"/>
      </w:pPr>
      <w:rPr>
        <w:rFonts w:hint="default"/>
        <w:sz w:val="20"/>
      </w:rPr>
    </w:lvl>
    <w:lvl w:ilvl="5">
      <w:start w:val="1"/>
      <w:numFmt w:val="decimal"/>
      <w:lvlText w:val="%1.%2.%3.%4.%5.%6"/>
      <w:lvlJc w:val="left"/>
      <w:pPr>
        <w:tabs>
          <w:tab w:val="left" w:pos="3912"/>
        </w:tabs>
        <w:ind w:left="2835" w:firstLine="0"/>
      </w:pPr>
      <w:rPr>
        <w:rFonts w:hint="default"/>
      </w:rPr>
    </w:lvl>
    <w:lvl w:ilvl="6">
      <w:start w:val="1"/>
      <w:numFmt w:val="decimal"/>
      <w:lvlText w:val="%1.%2.%3.%4.%5.%6.%7"/>
      <w:lvlJc w:val="left"/>
      <w:pPr>
        <w:tabs>
          <w:tab w:val="left" w:pos="2432"/>
        </w:tabs>
        <w:ind w:left="2432" w:hanging="1298"/>
      </w:pPr>
      <w:rPr>
        <w:rFonts w:hint="default"/>
      </w:rPr>
    </w:lvl>
    <w:lvl w:ilvl="7">
      <w:start w:val="1"/>
      <w:numFmt w:val="decimal"/>
      <w:lvlText w:val="%1.%2.%3.%4.%5.%6.%7.%8"/>
      <w:lvlJc w:val="left"/>
      <w:pPr>
        <w:tabs>
          <w:tab w:val="left" w:pos="2574"/>
        </w:tabs>
        <w:ind w:left="2574" w:hanging="1440"/>
      </w:pPr>
      <w:rPr>
        <w:rFonts w:hint="default"/>
      </w:rPr>
    </w:lvl>
    <w:lvl w:ilvl="8">
      <w:start w:val="1"/>
      <w:numFmt w:val="decimal"/>
      <w:lvlText w:val="%1.%2.%3.%4.%5.%6.%7.%8.%9"/>
      <w:lvlJc w:val="left"/>
      <w:pPr>
        <w:tabs>
          <w:tab w:val="left" w:pos="2716"/>
        </w:tabs>
        <w:ind w:left="2716" w:hanging="1582"/>
      </w:pPr>
      <w:rPr>
        <w:rFonts w:hint="default"/>
      </w:rPr>
    </w:lvl>
  </w:abstractNum>
  <w:num w:numId="1">
    <w:abstractNumId w:val="7"/>
  </w:num>
  <w:num w:numId="2">
    <w:abstractNumId w:val="6"/>
  </w:num>
  <w:num w:numId="3">
    <w:abstractNumId w:val="3"/>
  </w:num>
  <w:num w:numId="4">
    <w:abstractNumId w:val="4"/>
  </w:num>
  <w:num w:numId="5">
    <w:abstractNumId w:val="1"/>
  </w:num>
  <w:num w:numId="6">
    <w:abstractNumId w:val="2"/>
  </w:num>
  <w:num w:numId="7">
    <w:abstractNumId w:val="0"/>
  </w:num>
  <w:num w:numId="8">
    <w:abstractNumId w:val="5"/>
  </w:num>
  <w:num w:numId="9">
    <w:abstractNumId w:val="7"/>
    <w:lvlOverride w:ilvl="0">
      <w:lvl w:ilvl="0" w:tentative="1">
        <w:start w:val="1"/>
        <w:numFmt w:val="none"/>
        <w:lvlText w:val=""/>
        <w:lvlJc w:val="left"/>
        <w:pPr>
          <w:tabs>
            <w:tab w:val="left"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tentative="1">
        <w:start w:val="1"/>
        <w:numFmt w:val="decimal"/>
        <w:lvlRestart w:val="0"/>
        <w:pStyle w:val="Heading3"/>
        <w:lvlText w:val="%1%2.%3."/>
        <w:lvlJc w:val="left"/>
        <w:pPr>
          <w:ind w:left="0" w:firstLine="0"/>
        </w:pPr>
        <w:rPr>
          <w:rFonts w:hint="default"/>
        </w:rPr>
      </w:lvl>
    </w:lvlOverride>
    <w:lvlOverride w:ilvl="3">
      <w:lvl w:ilvl="3" w:tentative="1">
        <w:start w:val="1"/>
        <w:numFmt w:val="none"/>
        <w:lvlRestart w:val="0"/>
        <w:pStyle w:val="Heading4"/>
        <w:lvlText w:val=""/>
        <w:lvlJc w:val="left"/>
        <w:pPr>
          <w:tabs>
            <w:tab w:val="left" w:pos="2058"/>
          </w:tabs>
          <w:ind w:left="1701" w:firstLine="0"/>
        </w:pPr>
        <w:rPr>
          <w:rFonts w:hint="default"/>
        </w:rPr>
      </w:lvl>
    </w:lvlOverride>
    <w:lvlOverride w:ilvl="4">
      <w:lvl w:ilvl="4" w:tentative="1">
        <w:start w:val="1"/>
        <w:numFmt w:val="lowerLetter"/>
        <w:lvlRestart w:val="0"/>
        <w:lvlText w:val="%1(%5)"/>
        <w:lvlJc w:val="left"/>
        <w:pPr>
          <w:tabs>
            <w:tab w:val="left" w:pos="3345"/>
          </w:tabs>
          <w:ind w:left="2268" w:firstLine="0"/>
        </w:pPr>
        <w:rPr>
          <w:rFonts w:hint="default"/>
          <w:sz w:val="20"/>
        </w:rPr>
      </w:lvl>
    </w:lvlOverride>
    <w:lvlOverride w:ilvl="5">
      <w:lvl w:ilvl="5" w:tentative="1">
        <w:start w:val="1"/>
        <w:numFmt w:val="decimal"/>
        <w:lvlText w:val="%1.%2.%3.%4.%5.%6"/>
        <w:lvlJc w:val="left"/>
        <w:pPr>
          <w:tabs>
            <w:tab w:val="left" w:pos="3912"/>
          </w:tabs>
          <w:ind w:left="2835" w:firstLine="0"/>
        </w:pPr>
        <w:rPr>
          <w:rFonts w:hint="default"/>
        </w:rPr>
      </w:lvl>
    </w:lvlOverride>
    <w:lvlOverride w:ilvl="6">
      <w:lvl w:ilvl="6" w:tentative="1">
        <w:start w:val="1"/>
        <w:numFmt w:val="decimal"/>
        <w:lvlText w:val="%1.%2.%3.%4.%5.%6.%7"/>
        <w:lvlJc w:val="left"/>
        <w:pPr>
          <w:tabs>
            <w:tab w:val="left" w:pos="2432"/>
          </w:tabs>
          <w:ind w:left="2432" w:hanging="1298"/>
        </w:pPr>
        <w:rPr>
          <w:rFonts w:hint="default"/>
        </w:rPr>
      </w:lvl>
    </w:lvlOverride>
    <w:lvlOverride w:ilvl="7">
      <w:lvl w:ilvl="7" w:tentative="1">
        <w:start w:val="1"/>
        <w:numFmt w:val="decimal"/>
        <w:lvlText w:val="%1.%2.%3.%4.%5.%6.%7.%8"/>
        <w:lvlJc w:val="left"/>
        <w:pPr>
          <w:tabs>
            <w:tab w:val="left" w:pos="2574"/>
          </w:tabs>
          <w:ind w:left="2574" w:hanging="1440"/>
        </w:pPr>
        <w:rPr>
          <w:rFonts w:hint="default"/>
        </w:rPr>
      </w:lvl>
    </w:lvlOverride>
    <w:lvlOverride w:ilvl="8">
      <w:lvl w:ilvl="8" w:tentative="1">
        <w:start w:val="1"/>
        <w:numFmt w:val="decimal"/>
        <w:lvlText w:val="%1.%2.%3.%4.%5.%6.%7.%8.%9"/>
        <w:lvlJc w:val="left"/>
        <w:pPr>
          <w:tabs>
            <w:tab w:val="left" w:pos="2716"/>
          </w:tabs>
          <w:ind w:left="2716" w:hanging="1582"/>
        </w:pPr>
        <w:rPr>
          <w:rFonts w:hint="default"/>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B4FD1"/>
    <w:rsid w:val="00802381"/>
    <w:rsid w:val="00883848"/>
    <w:rsid w:val="0089425B"/>
    <w:rsid w:val="00897ED5"/>
    <w:rsid w:val="008B6BB9"/>
    <w:rsid w:val="00911543"/>
    <w:rsid w:val="009519C9"/>
    <w:rsid w:val="009A7A36"/>
    <w:rsid w:val="009D0B86"/>
    <w:rsid w:val="009E0D5B"/>
    <w:rsid w:val="009E1558"/>
    <w:rsid w:val="00A42898"/>
    <w:rsid w:val="00AB6ACE"/>
    <w:rsid w:val="00AC5A3A"/>
    <w:rsid w:val="00B82FA5"/>
    <w:rsid w:val="00BD1400"/>
    <w:rsid w:val="00BD605C"/>
    <w:rsid w:val="00BE2A76"/>
    <w:rsid w:val="00C65E60"/>
    <w:rsid w:val="00CE5A52"/>
    <w:rsid w:val="00CF7AF3"/>
    <w:rsid w:val="00D26ADA"/>
    <w:rsid w:val="00D35A78"/>
    <w:rsid w:val="00D555A1"/>
    <w:rsid w:val="00D64DC2"/>
    <w:rsid w:val="00DA46CA"/>
    <w:rsid w:val="00DF21EB"/>
    <w:rsid w:val="00E10528"/>
    <w:rsid w:val="00E20E70"/>
    <w:rsid w:val="00E25B68"/>
    <w:rsid w:val="00E84003"/>
    <w:rsid w:val="00EC10FC"/>
    <w:rsid w:val="00EE0041"/>
    <w:rsid w:val="00EE29B9"/>
    <w:rsid w:val="00F004EE"/>
    <w:rsid w:val="00F42E23"/>
    <w:rsid w:val="00F45EEE"/>
    <w:rsid w:val="00F51E9C"/>
    <w:rsid w:val="00F523CA"/>
    <w:rsid w:val="00F74A9D"/>
    <w:rsid w:val="00FE5981"/>
    <w:rsid w:val="00FF386F"/>
    <w:rsid w:val="19630A84"/>
    <w:rsid w:val="54CB0970"/>
    <w:rsid w:val="7E326F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72E5B"/>
  <w15:docId w15:val="{377676B7-016A-4AB5-8699-F33A69E6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49" w:defSemiHidden="0" w:defUnhideWhenUsed="0" w:defQFormat="0" w:count="376">
    <w:lsdException w:name="heading 1" w:uiPriority="4" w:qFormat="1"/>
    <w:lsdException w:name="heading 2" w:uiPriority="4" w:qFormat="1"/>
    <w:lsdException w:name="heading 3" w:uiPriority="4" w:qFormat="1"/>
    <w:lsdException w:name="heading 4" w:uiPriority="4" w:qFormat="1"/>
    <w:lsdException w:name="heading 5" w:locked="1" w:uiPriority="19"/>
    <w:lsdException w:name="heading 6" w:locked="1" w:uiPriority="19"/>
    <w:lsdException w:name="heading 7" w:locked="1" w:uiPriority="19"/>
    <w:lsdException w:name="heading 8" w:locked="1" w:uiPriority="19"/>
    <w:lsdException w:name="heading 9" w:locked="1" w:uiPriority="1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lsdException w:name="annotation text" w:locked="1" w:semiHidden="1" w:unhideWhenUsed="1"/>
    <w:lsdException w:name="header" w:locked="1"/>
    <w:lsdException w:name="footer" w:locked="1" w:uiPriority="99"/>
    <w:lsdException w:name="index heading"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2"/>
    <w:lsdException w:name="Closing" w:locked="1" w:semiHidden="1" w:unhideWhenUsed="1"/>
    <w:lsdException w:name="Signature" w:locked="1" w:semiHidden="1" w:unhideWhenUsed="1"/>
    <w:lsdException w:name="Default Paragraph Font" w:semiHidden="1" w:uiPriority="1" w:unhideWhenUsed="1"/>
    <w:lsdException w:name="Body Text" w:uiPriority="0" w:qFormat="1"/>
    <w:lsdException w:name="Body Text Indent" w:lock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uiPriority="3"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iPriority="19" w:unhideWhenUsed="1"/>
    <w:lsdException w:name="HTML Address" w:locked="1" w:semiHidden="1" w:uiPriority="19"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lsdException w:name="Table Grid" w:locked="1" w:uiPriority="0"/>
    <w:lsdException w:name="Table Theme" w:locked="1" w:semiHidden="1" w:uiPriority="0"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pPr>
      <w:overflowPunct w:val="0"/>
      <w:autoSpaceDE w:val="0"/>
      <w:autoSpaceDN w:val="0"/>
      <w:adjustRightInd w:val="0"/>
      <w:textAlignment w:val="baseline"/>
    </w:pPr>
    <w:rPr>
      <w:rFonts w:eastAsia="Times New Roman"/>
      <w:sz w:val="22"/>
      <w:lang w:val="en-GB"/>
    </w:rPr>
  </w:style>
  <w:style w:type="paragraph" w:styleId="Heading1">
    <w:name w:val="heading 1"/>
    <w:next w:val="Subtitle"/>
    <w:uiPriority w:val="4"/>
    <w:qFormat/>
    <w:pPr>
      <w:spacing w:line="280" w:lineRule="atLeast"/>
      <w:ind w:left="567" w:right="567"/>
      <w:outlineLvl w:val="0"/>
    </w:pPr>
    <w:rPr>
      <w:rFonts w:ascii="Times New Roman Bold" w:eastAsia="Times New Roman" w:hAnsi="Times New Roman Bold"/>
      <w:b/>
      <w:caps/>
      <w:sz w:val="24"/>
    </w:rPr>
  </w:style>
  <w:style w:type="paragraph" w:styleId="Heading2">
    <w:name w:val="heading 2"/>
    <w:next w:val="BodyText"/>
    <w:uiPriority w:val="4"/>
    <w:qFormat/>
    <w:pPr>
      <w:widowControl w:val="0"/>
      <w:numPr>
        <w:ilvl w:val="1"/>
        <w:numId w:val="1"/>
      </w:numPr>
      <w:spacing w:before="100" w:beforeAutospacing="1" w:after="100" w:afterAutospacing="1" w:line="280" w:lineRule="atLeast"/>
      <w:outlineLvl w:val="1"/>
    </w:pPr>
    <w:rPr>
      <w:rFonts w:eastAsia="Times New Roman"/>
      <w:caps/>
      <w:lang w:val="en-GB"/>
    </w:rPr>
  </w:style>
  <w:style w:type="paragraph" w:styleId="Heading3">
    <w:name w:val="heading 3"/>
    <w:next w:val="BodyText"/>
    <w:uiPriority w:val="4"/>
    <w:qFormat/>
    <w:pPr>
      <w:widowControl w:val="0"/>
      <w:numPr>
        <w:ilvl w:val="2"/>
        <w:numId w:val="1"/>
      </w:numPr>
      <w:spacing w:before="240" w:after="240" w:line="240" w:lineRule="exact"/>
      <w:outlineLvl w:val="2"/>
    </w:pPr>
    <w:rPr>
      <w:rFonts w:eastAsia="Times New Roman"/>
      <w:b/>
      <w:lang w:val="en-GB"/>
    </w:rPr>
  </w:style>
  <w:style w:type="paragraph" w:styleId="Heading4">
    <w:name w:val="heading 4"/>
    <w:basedOn w:val="Normal"/>
    <w:next w:val="BodyText"/>
    <w:uiPriority w:val="4"/>
    <w:qFormat/>
    <w:pPr>
      <w:widowControl w:val="0"/>
      <w:numPr>
        <w:ilvl w:val="3"/>
        <w:numId w:val="1"/>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BodyText"/>
    <w:uiPriority w:val="3"/>
    <w:qFormat/>
    <w:pPr>
      <w:spacing w:after="100" w:afterAutospacing="1" w:line="280" w:lineRule="atLeast"/>
      <w:ind w:left="567" w:right="567"/>
      <w:contextualSpacing/>
    </w:pPr>
    <w:rPr>
      <w:rFonts w:eastAsia="Times New Roman" w:cs="Arial"/>
      <w:b/>
      <w:i/>
      <w:sz w:val="24"/>
      <w:szCs w:val="24"/>
    </w:rPr>
  </w:style>
  <w:style w:type="paragraph" w:styleId="BodyText">
    <w:name w:val="Body Text"/>
    <w:link w:val="BodyTextChar"/>
    <w:qFormat/>
    <w:pPr>
      <w:spacing w:line="260" w:lineRule="atLeast"/>
      <w:ind w:firstLine="567"/>
      <w:contextualSpacing/>
      <w:jc w:val="both"/>
    </w:pPr>
    <w:rPr>
      <w:rFonts w:eastAsia="Times New Roman"/>
      <w:lang w:val="en-GB"/>
    </w:rPr>
  </w:style>
  <w:style w:type="paragraph" w:styleId="Caption">
    <w:name w:val="caption"/>
    <w:next w:val="Normal"/>
    <w:uiPriority w:val="49"/>
    <w:pPr>
      <w:spacing w:after="85"/>
    </w:pPr>
    <w:rPr>
      <w:rFonts w:eastAsia="Times New Roman"/>
      <w:bCs/>
      <w:sz w:val="18"/>
    </w:rPr>
  </w:style>
  <w:style w:type="paragraph" w:styleId="BodyTextIndent">
    <w:name w:val="Body Text Indent"/>
    <w:basedOn w:val="BodyText"/>
    <w:uiPriority w:val="49"/>
    <w:locked/>
    <w:pPr>
      <w:ind w:left="1134" w:hanging="675"/>
    </w:pPr>
  </w:style>
  <w:style w:type="paragraph" w:styleId="BalloonText">
    <w:name w:val="Balloon Text"/>
    <w:basedOn w:val="Normal"/>
    <w:link w:val="BalloonTextChar"/>
    <w:uiPriority w:val="49"/>
    <w:locked/>
    <w:rPr>
      <w:rFonts w:ascii="Tahoma" w:hAnsi="Tahoma" w:cs="Tahoma"/>
      <w:sz w:val="16"/>
      <w:szCs w:val="16"/>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Header">
    <w:name w:val="header"/>
    <w:basedOn w:val="Normal"/>
    <w:next w:val="BodyText"/>
    <w:uiPriority w:val="49"/>
    <w:locked/>
    <w:pPr>
      <w:spacing w:after="85"/>
    </w:pPr>
    <w:rPr>
      <w:sz w:val="18"/>
      <w:lang w:val="en-US"/>
    </w:rPr>
  </w:style>
  <w:style w:type="paragraph" w:styleId="FootnoteText">
    <w:name w:val="footnote text"/>
    <w:semiHidden/>
    <w:locked/>
    <w:pPr>
      <w:tabs>
        <w:tab w:val="left" w:pos="459"/>
      </w:tabs>
      <w:spacing w:before="142"/>
      <w:ind w:left="459"/>
      <w:jc w:val="both"/>
    </w:pPr>
    <w:rPr>
      <w:rFonts w:eastAsia="Times New Roman"/>
      <w:sz w:val="18"/>
      <w:lang w:val="en-GB"/>
    </w:rPr>
  </w:style>
  <w:style w:type="paragraph" w:styleId="Title">
    <w:name w:val="Title"/>
    <w:uiPriority w:val="2"/>
    <w:locked/>
    <w:pPr>
      <w:widowControl w:val="0"/>
      <w:spacing w:line="440" w:lineRule="exact"/>
      <w:jc w:val="center"/>
      <w:outlineLvl w:val="0"/>
    </w:pPr>
    <w:rPr>
      <w:rFonts w:ascii="Arial" w:eastAsia="Times New Roman" w:hAnsi="Arial" w:cs="Arial"/>
      <w:bCs/>
      <w:sz w:val="42"/>
      <w:szCs w:val="32"/>
      <w:lang w:val="en-GB"/>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locked/>
    <w:rPr>
      <w:vertAlign w:val="superscript"/>
    </w:rPr>
  </w:style>
  <w:style w:type="paragraph" w:customStyle="1" w:styleId="BodyTextMultiline">
    <w:name w:val="Body Text Multiline"/>
    <w:basedOn w:val="BodyText"/>
    <w:locked/>
    <w:pPr>
      <w:numPr>
        <w:numId w:val="2"/>
      </w:numPr>
    </w:pPr>
  </w:style>
  <w:style w:type="paragraph" w:customStyle="1" w:styleId="BodyTextSummary">
    <w:name w:val="Body Text Summary"/>
    <w:uiPriority w:val="49"/>
    <w:locked/>
    <w:pPr>
      <w:numPr>
        <w:numId w:val="3"/>
      </w:numPr>
      <w:tabs>
        <w:tab w:val="clear" w:pos="720"/>
      </w:tabs>
      <w:spacing w:after="170" w:line="280" w:lineRule="atLeast"/>
      <w:ind w:left="572" w:hanging="459"/>
      <w:jc w:val="both"/>
    </w:pPr>
    <w:rPr>
      <w:rFonts w:eastAsia="Times New Roman"/>
      <w:sz w:val="22"/>
      <w:szCs w:val="22"/>
      <w:lang w:val="en-GB"/>
    </w:rPr>
  </w:style>
  <w:style w:type="paragraph" w:customStyle="1" w:styleId="ListBulleted">
    <w:name w:val="List Bulleted"/>
    <w:uiPriority w:val="7"/>
    <w:qFormat/>
    <w:locked/>
    <w:pPr>
      <w:numPr>
        <w:numId w:val="4"/>
      </w:numPr>
      <w:tabs>
        <w:tab w:val="clear" w:pos="1179"/>
        <w:tab w:val="left" w:pos="919"/>
      </w:tabs>
      <w:ind w:left="918" w:right="1134" w:hanging="459"/>
      <w:jc w:val="both"/>
    </w:pPr>
    <w:rPr>
      <w:rFonts w:eastAsia="Times New Roman"/>
      <w:sz w:val="22"/>
      <w:lang w:val="en-GB"/>
    </w:rPr>
  </w:style>
  <w:style w:type="paragraph" w:customStyle="1" w:styleId="ListEmdash">
    <w:name w:val="List Emdash"/>
    <w:basedOn w:val="BodyText"/>
    <w:uiPriority w:val="6"/>
    <w:qFormat/>
    <w:pPr>
      <w:numPr>
        <w:numId w:val="5"/>
      </w:numPr>
      <w:ind w:left="709"/>
    </w:pPr>
  </w:style>
  <w:style w:type="paragraph" w:customStyle="1" w:styleId="ListNumbered">
    <w:name w:val="List Numbered"/>
    <w:basedOn w:val="BodyText"/>
    <w:uiPriority w:val="5"/>
    <w:qFormat/>
    <w:locked/>
    <w:pPr>
      <w:numPr>
        <w:numId w:val="6"/>
      </w:numPr>
    </w:p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eastAsia="Times New Roman" w:hAnsi="Arial"/>
      <w:b/>
      <w:caps/>
      <w:color w:val="FF0000"/>
      <w:sz w:val="40"/>
      <w:lang w:val="en-GB"/>
    </w:rPr>
  </w:style>
  <w:style w:type="paragraph" w:customStyle="1" w:styleId="zyxConfidBlack">
    <w:name w:val="zyxConfidBlack"/>
    <w:basedOn w:val="zyxConfidRed"/>
    <w:link w:val="zyxConfidBlackChar"/>
    <w:uiPriority w:val="49"/>
    <w:locked/>
    <w:pPr>
      <w:framePr w:wrap="around" w:vAnchor="page" w:hAnchor="page" w:x="1333" w:y="228"/>
      <w:widowControl/>
      <w:overflowPunct w:val="0"/>
      <w:autoSpaceDE w:val="0"/>
      <w:autoSpaceDN w:val="0"/>
      <w:adjustRightInd w:val="0"/>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textAlignment w:val="auto"/>
    </w:pPr>
    <w:rPr>
      <w:rFonts w:ascii="Arial" w:hAnsi="Arial"/>
      <w:b/>
    </w:rPr>
  </w:style>
  <w:style w:type="paragraph" w:customStyle="1" w:styleId="zyxPrePrint">
    <w:name w:val="zyxPrePrint"/>
    <w:uiPriority w:val="49"/>
    <w:locked/>
    <w:pPr>
      <w:spacing w:after="60" w:line="280" w:lineRule="exact"/>
      <w:ind w:left="113"/>
    </w:pPr>
    <w:rPr>
      <w:rFonts w:eastAsia="Times New Roman"/>
      <w:sz w:val="22"/>
      <w:lang w:val="en-GB"/>
    </w:rPr>
  </w:style>
  <w:style w:type="paragraph" w:customStyle="1" w:styleId="zyxFillIn">
    <w:name w:val="zyxFill_In"/>
    <w:basedOn w:val="zyxPrePrint"/>
    <w:uiPriority w:val="49"/>
    <w:locked/>
    <w:rPr>
      <w:b/>
    </w:rPr>
  </w:style>
  <w:style w:type="paragraph" w:customStyle="1" w:styleId="zyxLogo">
    <w:name w:val="zyxLogo"/>
    <w:basedOn w:val="Normal"/>
    <w:uiPriority w:val="49"/>
    <w:qFormat/>
    <w:locked/>
    <w:pPr>
      <w:keepNext/>
      <w:spacing w:after="10"/>
    </w:pPr>
    <w:rPr>
      <w:rFonts w:ascii="Arial" w:hAnsi="Arial"/>
      <w:b/>
      <w:sz w:val="13"/>
    </w:rPr>
  </w:style>
  <w:style w:type="paragraph" w:customStyle="1" w:styleId="zyxP1Footer">
    <w:name w:val="zyxP1_Footer"/>
    <w:basedOn w:val="Normal"/>
    <w:uiPriority w:val="49"/>
    <w:qFormat/>
    <w:locked/>
    <w:pPr>
      <w:widowControl w:val="0"/>
      <w:spacing w:line="160" w:lineRule="exact"/>
      <w:ind w:left="108"/>
    </w:pPr>
    <w:rPr>
      <w:sz w:val="14"/>
    </w:rPr>
  </w:style>
  <w:style w:type="paragraph" w:customStyle="1" w:styleId="zyxSensitivity">
    <w:name w:val="zyxSensitivity"/>
    <w:basedOn w:val="Normal"/>
    <w:uiPriority w:val="49"/>
    <w:qFormat/>
    <w:locked/>
    <w:pPr>
      <w:framePr w:wrap="around" w:vAnchor="page" w:hAnchor="page" w:x="1390" w:y="15707"/>
      <w:widowControl w:val="0"/>
      <w:overflowPunct/>
      <w:autoSpaceDE/>
      <w:autoSpaceDN/>
      <w:adjustRightInd/>
      <w:spacing w:line="220" w:lineRule="exact"/>
      <w:ind w:left="142"/>
      <w:textAlignment w:val="auto"/>
    </w:pPr>
    <w:rPr>
      <w:rFonts w:ascii="Arial" w:hAnsi="Arial"/>
      <w:b/>
    </w:rPr>
  </w:style>
  <w:style w:type="paragraph" w:customStyle="1" w:styleId="zyxTitle">
    <w:name w:val="zyxTitle"/>
    <w:basedOn w:val="Normal"/>
    <w:uiPriority w:val="49"/>
    <w:qFormat/>
    <w:locked/>
    <w:pPr>
      <w:keepNext/>
      <w:spacing w:line="420" w:lineRule="exact"/>
    </w:pPr>
    <w:rPr>
      <w:rFonts w:ascii="Arial" w:hAnsi="Arial"/>
      <w:sz w:val="40"/>
    </w:rPr>
  </w:style>
  <w:style w:type="paragraph" w:customStyle="1" w:styleId="AgendaList">
    <w:name w:val="Agenda List"/>
    <w:uiPriority w:val="49"/>
    <w:qFormat/>
    <w:locked/>
    <w:pPr>
      <w:numPr>
        <w:numId w:val="7"/>
      </w:numPr>
      <w:tabs>
        <w:tab w:val="clear" w:pos="459"/>
        <w:tab w:val="left" w:pos="919"/>
      </w:tabs>
      <w:spacing w:after="240" w:line="240" w:lineRule="exact"/>
      <w:ind w:left="918"/>
      <w:jc w:val="both"/>
    </w:pPr>
    <w:rPr>
      <w:rFonts w:eastAsia="Times New Roman"/>
      <w:sz w:val="22"/>
      <w:lang w:val="en-GB"/>
    </w:rPr>
  </w:style>
  <w:style w:type="paragraph" w:customStyle="1" w:styleId="zyxClassification1">
    <w:name w:val="zyxClassification1"/>
    <w:basedOn w:val="BodyText"/>
    <w:uiPriority w:val="49"/>
    <w:qFormat/>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qFormat/>
    <w:rPr>
      <w:sz w:val="2"/>
      <w:lang w:val="en-US" w:eastAsia="en-US"/>
    </w:rPr>
  </w:style>
  <w:style w:type="paragraph" w:customStyle="1" w:styleId="Runninghead">
    <w:name w:val="Running head"/>
    <w:basedOn w:val="Normal"/>
    <w:link w:val="RunningheadChar"/>
    <w:uiPriority w:val="49"/>
    <w:qFormat/>
    <w:pPr>
      <w:jc w:val="center"/>
    </w:pPr>
    <w:rPr>
      <w:b/>
      <w:sz w:val="16"/>
      <w:szCs w:val="16"/>
    </w:rPr>
  </w:style>
  <w:style w:type="paragraph" w:customStyle="1" w:styleId="Authornameandaffiliation">
    <w:name w:val="Author name and affiliation"/>
    <w:link w:val="AuthornameandaffiliationChar"/>
    <w:uiPriority w:val="49"/>
    <w:qFormat/>
    <w:pPr>
      <w:ind w:left="567"/>
      <w:contextualSpacing/>
    </w:pPr>
    <w:rPr>
      <w:rFonts w:eastAsia="Times New Roman"/>
    </w:rPr>
  </w:style>
  <w:style w:type="character" w:customStyle="1" w:styleId="RunningheadChar">
    <w:name w:val="Running head Char"/>
    <w:basedOn w:val="DefaultParagraphFont"/>
    <w:link w:val="Runninghead"/>
    <w:uiPriority w:val="49"/>
    <w:qFormat/>
    <w:rPr>
      <w:b/>
      <w:sz w:val="16"/>
      <w:szCs w:val="16"/>
      <w:lang w:eastAsia="en-US"/>
    </w:rPr>
  </w:style>
  <w:style w:type="paragraph" w:customStyle="1" w:styleId="Abstracttext">
    <w:name w:val="Abstract text"/>
    <w:basedOn w:val="Authornameandaffiliation"/>
    <w:link w:val="AbstracttextChar"/>
    <w:uiPriority w:val="49"/>
    <w:qFormat/>
    <w:pPr>
      <w:spacing w:line="240" w:lineRule="atLeast"/>
      <w:ind w:left="0" w:firstLine="567"/>
    </w:pPr>
    <w:rPr>
      <w:sz w:val="18"/>
    </w:rPr>
  </w:style>
  <w:style w:type="character" w:customStyle="1" w:styleId="BodyTextChar">
    <w:name w:val="Body Text Char"/>
    <w:basedOn w:val="DefaultParagraphFont"/>
    <w:link w:val="BodyText"/>
    <w:qFormat/>
    <w:rPr>
      <w:lang w:eastAsia="en-US"/>
    </w:rPr>
  </w:style>
  <w:style w:type="character" w:customStyle="1" w:styleId="AuthornameandaffiliationChar">
    <w:name w:val="Author name and affiliation Char"/>
    <w:basedOn w:val="BodyTextChar"/>
    <w:link w:val="Authornameandaffiliation"/>
    <w:uiPriority w:val="49"/>
    <w:qFormat/>
    <w:rPr>
      <w:lang w:val="en-US" w:eastAsia="en-US"/>
    </w:rPr>
  </w:style>
  <w:style w:type="character" w:customStyle="1" w:styleId="AbstracttextChar">
    <w:name w:val="Abstract text Char"/>
    <w:basedOn w:val="AuthornameandaffiliationChar"/>
    <w:link w:val="Abstracttext"/>
    <w:uiPriority w:val="49"/>
    <w:qFormat/>
    <w:rPr>
      <w:sz w:val="18"/>
      <w:lang w:val="en-US" w:eastAsia="en-US"/>
    </w:rPr>
  </w:style>
  <w:style w:type="character" w:customStyle="1" w:styleId="BalloonTextChar">
    <w:name w:val="Balloon Text Char"/>
    <w:basedOn w:val="DefaultParagraphFont"/>
    <w:link w:val="BalloonText"/>
    <w:uiPriority w:val="49"/>
    <w:qFormat/>
    <w:rPr>
      <w:rFonts w:ascii="Tahoma" w:hAnsi="Tahoma" w:cs="Tahoma"/>
      <w:sz w:val="16"/>
      <w:szCs w:val="16"/>
      <w:lang w:eastAsia="en-US"/>
    </w:rPr>
  </w:style>
  <w:style w:type="paragraph" w:customStyle="1" w:styleId="Figurecaption">
    <w:name w:val="Figure caption"/>
    <w:basedOn w:val="BodyText"/>
    <w:link w:val="FigurecaptionChar"/>
    <w:uiPriority w:val="49"/>
    <w:qFormat/>
    <w:locked/>
    <w:pPr>
      <w:jc w:val="center"/>
    </w:pPr>
    <w:rPr>
      <w:i/>
      <w:sz w:val="18"/>
    </w:rPr>
  </w:style>
  <w:style w:type="paragraph" w:customStyle="1" w:styleId="Otherunnumberedheadings">
    <w:name w:val="Other unnumbered headings"/>
    <w:next w:val="BodyText"/>
    <w:link w:val="OtherunnumberedheadingsChar"/>
    <w:uiPriority w:val="49"/>
    <w:qFormat/>
    <w:locked/>
    <w:pPr>
      <w:spacing w:before="100" w:beforeAutospacing="1" w:after="100" w:afterAutospacing="1" w:line="260" w:lineRule="atLeast"/>
      <w:jc w:val="center"/>
    </w:pPr>
    <w:rPr>
      <w:rFonts w:ascii="Times New Roman Bold" w:eastAsia="Times New Roman" w:hAnsi="Times New Roman Bold"/>
      <w:b/>
      <w:caps/>
      <w:lang w:val="en-GB"/>
    </w:rPr>
  </w:style>
  <w:style w:type="character" w:customStyle="1" w:styleId="FigurecaptionChar">
    <w:name w:val="Figure caption Char"/>
    <w:basedOn w:val="BodyTextChar"/>
    <w:link w:val="Figurecaption"/>
    <w:uiPriority w:val="49"/>
    <w:rPr>
      <w:i/>
      <w:sz w:val="18"/>
      <w:lang w:eastAsia="en-US"/>
    </w:rPr>
  </w:style>
  <w:style w:type="paragraph" w:customStyle="1" w:styleId="Referencelist">
    <w:name w:val="Reference list"/>
    <w:basedOn w:val="BodyText"/>
    <w:link w:val="ReferencelistChar"/>
    <w:uiPriority w:val="49"/>
    <w:qFormat/>
    <w:pPr>
      <w:numPr>
        <w:numId w:val="8"/>
      </w:numPr>
    </w:pPr>
    <w:rPr>
      <w:sz w:val="18"/>
      <w:szCs w:val="18"/>
    </w:rPr>
  </w:style>
  <w:style w:type="character" w:customStyle="1" w:styleId="OtherunnumberedheadingsChar">
    <w:name w:val="Other unnumbered headings Char"/>
    <w:basedOn w:val="BodyTextChar"/>
    <w:link w:val="Otherunnumberedheadings"/>
    <w:uiPriority w:val="49"/>
    <w:qFormat/>
    <w:rPr>
      <w:rFonts w:ascii="Times New Roman Bold" w:hAnsi="Times New Roman Bold"/>
      <w:b/>
      <w:caps/>
      <w:lang w:eastAsia="en-US"/>
    </w:rPr>
  </w:style>
  <w:style w:type="character" w:customStyle="1" w:styleId="ReferencelistChar">
    <w:name w:val="Reference list Char"/>
    <w:basedOn w:val="BodyTextChar"/>
    <w:link w:val="Referencelist"/>
    <w:uiPriority w:val="49"/>
    <w:qFormat/>
    <w:rPr>
      <w:sz w:val="18"/>
      <w:szCs w:val="18"/>
      <w:lang w:eastAsia="en-US"/>
    </w:rPr>
  </w:style>
  <w:style w:type="paragraph" w:customStyle="1" w:styleId="Tabletext">
    <w:name w:val="Table text"/>
    <w:basedOn w:val="BodyText"/>
    <w:link w:val="TabletextChar"/>
    <w:uiPriority w:val="49"/>
    <w:qFormat/>
    <w:pPr>
      <w:ind w:firstLine="0"/>
    </w:pPr>
  </w:style>
  <w:style w:type="character" w:customStyle="1" w:styleId="TabletextChar">
    <w:name w:val="Table text Char"/>
    <w:basedOn w:val="BodyTextChar"/>
    <w:link w:val="Tabletext"/>
    <w:uiPriority w:val="49"/>
    <w:qFormat/>
    <w:rPr>
      <w:lang w:eastAsia="en-US"/>
    </w:rPr>
  </w:style>
  <w:style w:type="character" w:customStyle="1" w:styleId="zyxConfidBlackChar">
    <w:name w:val="zyxConfidBlack Char"/>
    <w:link w:val="zyxConfidBlack"/>
    <w:uiPriority w:val="49"/>
    <w:qFormat/>
    <w:rPr>
      <w:rFonts w:cs="Arial"/>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nfangdata.com.cn/details/javascript:void(0)"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anfangdata.com.cn/details/detail.do?_type=perio&amp;id=hkxygc20160301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nyi.baidu.com/translate?aldtype=16047&amp;query=With+the+continuous+development+of+China%27s+nuclear+power+projects+in+recent+years%2C+spent+fuel+has+gradually+entered+a+long-term+storage+stage%2C+in+which+wet+storage+is+the+main+way.+The+supervision+of+spent+fuel+storage+facilities+is+becoming+increasingly+important.+As+China%27s+nuclear+safety+regulatory+system+in+this+area+is+not+complete%2C+and+there+are+few+examples+to+refer+to%2C+it+is+urgent+to+explore+and+clarify+the+important+concerns.+Based+on+China%27s+nuclear+safety+regulatory+requirements+and+related+regulatory+experience+of+such+facilities%2C+this+paper+puts+forward+some+suggestions+for+reference.&amp;keyfrom=baidu&amp;smartresult=dict&amp;lang=auto2z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anyi.baidu.com/translate?aldtype=16047&amp;query=With+the+continuous+development+of+China%27s+nuclear+power+projects+in+recent+years%2C+spent+fuel+has+gradually+entered+a+long-term+storage+stage%2C+in+which+wet+storage+is+the+main+way.+The+supervision+of+spent+fuel+storage+facilities+is+becoming+increasingly+important.+As+China%27s+nuclear+safety+regulatory+system+in+this+area+is+not+complete%2C+and+there+are+few+examples+to+refer+to%2C+it+is+urgent+to+explore+and+clarify+the+important+concerns.+Based+on+China%27s+nuclear+safety+regulatory+requirements+and+related+regulatory+experience+of+such+facilities%2C+this+paper+puts+forward+some+suggestions+for+reference.&amp;keyfrom=baidu&amp;smartresult=dict&amp;lang=auto2zh"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fanyi.baidu.com/translate?aldtype=16047&amp;query=With+the+continuous+development+of+China's+nuclear+power+projects+in+recent+years,+spent+fuel+has+gradually+entered+a+long-term+storage+stage,+in+which+wet+storage+is+the+main+way.+The+supervision+of+spent+fuel+storage+facilities+is+becoming+increasingly+important.+As+China's+nuclear+safety+regulatory+system+in+this+area+is+not+complete,+and+there+are+few+examples+to+refer+to,+it+is+urgent+to+explore+and+clarify+the+important+concerns.+Based+on+China's+nuclear+safety+regulatory+requirements+and+related+regulatory+experience+of+such+facilities,+this+paper+puts+forward+some+suggestions+for+reference.&amp;keyfrom=baidu&amp;smartresult=dict&amp;lang=auto2zh"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3D574-2C4C-4305-B9CF-4E68B42E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16</TotalTime>
  <Pages>4</Pages>
  <Words>1783</Words>
  <Characters>10164</Characters>
  <Application>Microsoft Office Word</Application>
  <DocSecurity>0</DocSecurity>
  <Lines>84</Lines>
  <Paragraphs>23</Paragraphs>
  <ScaleCrop>false</ScaleCrop>
  <Company>IAEA</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client</cp:lastModifiedBy>
  <cp:revision>3</cp:revision>
  <cp:lastPrinted>2015-12-01T10:27:00Z</cp:lastPrinted>
  <dcterms:created xsi:type="dcterms:W3CDTF">2019-01-10T12:13:00Z</dcterms:created>
  <dcterms:modified xsi:type="dcterms:W3CDTF">2019-04-20T16:45:00Z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KSOProductBuildVer">
    <vt:lpwstr>2052-11.1.0.8527</vt:lpwstr>
  </property>
</Properties>
</file>