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45" w:rsidRDefault="000E2D45" w:rsidP="00537496">
      <w:pPr>
        <w:pStyle w:val="Heading1"/>
      </w:pPr>
      <w:r w:rsidRPr="000E2D45">
        <w:t xml:space="preserve">A New design of a PWR fuel assembly for </w:t>
      </w:r>
    </w:p>
    <w:p w:rsidR="000E2D45" w:rsidRDefault="000E2D45" w:rsidP="00537496">
      <w:pPr>
        <w:pStyle w:val="Heading1"/>
      </w:pPr>
      <w:r w:rsidRPr="000E2D45">
        <w:t>direct recycling of spent fuel</w:t>
      </w:r>
    </w:p>
    <w:p w:rsidR="00802381" w:rsidRDefault="00802381" w:rsidP="00537496">
      <w:pPr>
        <w:pStyle w:val="Authornameandaffiliation"/>
      </w:pPr>
    </w:p>
    <w:p w:rsidR="003B5E0E" w:rsidRDefault="00A348B5" w:rsidP="000E2D45">
      <w:pPr>
        <w:pStyle w:val="Authornameandaffiliation"/>
      </w:pPr>
      <w:r>
        <w:t xml:space="preserve">N. </w:t>
      </w:r>
      <w:r w:rsidR="000E2D45" w:rsidRPr="000E2D45">
        <w:t xml:space="preserve"> MOHAMED</w:t>
      </w:r>
    </w:p>
    <w:p w:rsidR="000E2D45" w:rsidRDefault="000E2D45" w:rsidP="000E2D45">
      <w:pPr>
        <w:pStyle w:val="Authornameandaffiliation"/>
      </w:pPr>
      <w:r>
        <w:t>Atomic Reactors Department, Atomic Energy Authority</w:t>
      </w:r>
    </w:p>
    <w:p w:rsidR="000E2D45" w:rsidRDefault="000E2D45" w:rsidP="000E2D45">
      <w:pPr>
        <w:pStyle w:val="Authornameandaffiliation"/>
      </w:pPr>
      <w:r>
        <w:t>Cairo, Egypt</w:t>
      </w:r>
    </w:p>
    <w:p w:rsidR="00FF386F" w:rsidRDefault="00FF386F" w:rsidP="000E2D45">
      <w:pPr>
        <w:pStyle w:val="Authornameandaffiliation"/>
      </w:pPr>
      <w:r>
        <w:t>Email:</w:t>
      </w:r>
      <w:r w:rsidR="000E2D45">
        <w:t xml:space="preserve"> nader.mohamed@eaea.org.eg</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D448E5" w:rsidP="00384E51">
      <w:pPr>
        <w:pStyle w:val="Abstracttext"/>
        <w:jc w:val="both"/>
      </w:pPr>
      <w:r>
        <w:t>A</w:t>
      </w:r>
      <w:r w:rsidR="003D0D83" w:rsidRPr="003D0D83">
        <w:t xml:space="preserve"> new design for the PWR fuel assembly</w:t>
      </w:r>
      <w:r>
        <w:t xml:space="preserve"> has be</w:t>
      </w:r>
      <w:r w:rsidR="00D31C84">
        <w:t>en proposed</w:t>
      </w:r>
      <w:r w:rsidR="001F4D97">
        <w:t>, in a previous work,</w:t>
      </w:r>
      <w:r>
        <w:t xml:space="preserve"> </w:t>
      </w:r>
      <w:r w:rsidR="003D0D83" w:rsidRPr="003D0D83">
        <w:t>for direct use of the PWR spent fuel withou</w:t>
      </w:r>
      <w:r w:rsidR="003D0D83">
        <w:t>t chemical or dry processing has been</w:t>
      </w:r>
      <w:r w:rsidR="003D0D83" w:rsidRPr="003D0D83">
        <w:t xml:space="preserve"> proposed. The proposed</w:t>
      </w:r>
      <w:r>
        <w:t xml:space="preserve"> designed assembly consists of</w:t>
      </w:r>
      <w:r w:rsidR="003D0D83" w:rsidRPr="003D0D83">
        <w:t xml:space="preserve"> four zircaloy-4 tubes</w:t>
      </w:r>
      <w:r>
        <w:t xml:space="preserve">. Each tube contains 7 or 8 </w:t>
      </w:r>
      <w:r w:rsidR="003D0D83" w:rsidRPr="003D0D83">
        <w:t>CANDU fuel bu</w:t>
      </w:r>
      <w:r>
        <w:t>ndles stacked end to end. The</w:t>
      </w:r>
      <w:r w:rsidR="007E5E2C">
        <w:t xml:space="preserve"> </w:t>
      </w:r>
      <w:r w:rsidRPr="003D0D83">
        <w:t>zircaloy-4 tube</w:t>
      </w:r>
      <w:r w:rsidR="003D0D83" w:rsidRPr="003D0D83">
        <w:t xml:space="preserve"> has the</w:t>
      </w:r>
      <w:r w:rsidR="00384E51">
        <w:t xml:space="preserve"> same inner diameter of </w:t>
      </w:r>
      <w:r w:rsidR="003D0D83" w:rsidRPr="003D0D83">
        <w:t>CANDU pressure tube.</w:t>
      </w:r>
      <w:r w:rsidR="00384E51">
        <w:t xml:space="preserve"> </w:t>
      </w:r>
      <w:r w:rsidR="00384E51" w:rsidRPr="003D0D83">
        <w:t>The PWR spent fue</w:t>
      </w:r>
      <w:r w:rsidR="00384E51">
        <w:t xml:space="preserve">l bundles will be transferred directly </w:t>
      </w:r>
      <w:r w:rsidR="00384E51" w:rsidRPr="003D0D83">
        <w:t>to CANDU reactors</w:t>
      </w:r>
      <w:r w:rsidR="00384E51">
        <w:t xml:space="preserve"> without processing. The CANDU reactor is </w:t>
      </w:r>
      <w:r w:rsidR="00384E51" w:rsidRPr="003D0D83">
        <w:t xml:space="preserve">preferably be built in the same site to avoid the problem of transportations. </w:t>
      </w:r>
      <w:r w:rsidR="003D0D83" w:rsidRPr="003D0D83">
        <w:t xml:space="preserve"> In the current work</w:t>
      </w:r>
      <w:r w:rsidR="00651811">
        <w:t>,</w:t>
      </w:r>
      <w:r w:rsidR="003D0D83" w:rsidRPr="003D0D83">
        <w:t xml:space="preserve"> a different case has been studied for improving the uranium utilization and for</w:t>
      </w:r>
      <w:r w:rsidR="00260DCE">
        <w:t xml:space="preserve"> reducing the high level</w:t>
      </w:r>
      <w:r w:rsidR="003D0D83" w:rsidRPr="003D0D83">
        <w:t xml:space="preserve"> waste. Ge</w:t>
      </w:r>
      <w:r w:rsidR="001E30D7">
        <w:t>nerally, the calculations resulted in that the burnup would</w:t>
      </w:r>
      <w:r w:rsidR="003D0D83" w:rsidRPr="003D0D83">
        <w:t xml:space="preserve"> be</w:t>
      </w:r>
      <w:r w:rsidR="003D0D83">
        <w:t xml:space="preserve"> increased by about 35%.  T</w:t>
      </w:r>
      <w:r w:rsidR="003D0D83" w:rsidRPr="003D0D83">
        <w:t>he propos</w:t>
      </w:r>
      <w:r w:rsidR="003D0D83">
        <w:t xml:space="preserve">ed strategy </w:t>
      </w:r>
      <w:r w:rsidR="001F4D97">
        <w:t>would</w:t>
      </w:r>
      <w:r w:rsidR="003D0D83" w:rsidRPr="003D0D83">
        <w:t xml:space="preserve"> reduce the high level waste. Moreover, direct recycling </w:t>
      </w:r>
      <w:r w:rsidR="00651811">
        <w:t xml:space="preserve">of </w:t>
      </w:r>
      <w:r w:rsidR="003D0D83" w:rsidRPr="003D0D83">
        <w:t>the spent fuel would degrade the plutonium vector which enhances the proliferation resist</w:t>
      </w:r>
      <w:r w:rsidR="001F4D97">
        <w:t>ance</w:t>
      </w:r>
      <w:r w:rsidR="00647F33" w:rsidRPr="00BD605C">
        <w:t>.</w:t>
      </w:r>
    </w:p>
    <w:p w:rsidR="00647F33" w:rsidRDefault="00F523CA" w:rsidP="00537496">
      <w:pPr>
        <w:pStyle w:val="Heading2"/>
        <w:numPr>
          <w:ilvl w:val="1"/>
          <w:numId w:val="10"/>
        </w:numPr>
      </w:pPr>
      <w:r>
        <w:t>INTRODUCTION</w:t>
      </w:r>
    </w:p>
    <w:p w:rsidR="009E6FD1" w:rsidRDefault="009E6FD1" w:rsidP="00FB0392">
      <w:pPr>
        <w:pStyle w:val="BodyText"/>
      </w:pPr>
      <w:r w:rsidRPr="009E6FD1">
        <w:t>Recycling of spent nuclear f</w:t>
      </w:r>
      <w:r w:rsidR="002C05CD">
        <w:t>uel has an importance for improving</w:t>
      </w:r>
      <w:r w:rsidR="005F151A">
        <w:t xml:space="preserve"> the uranium utilization, for reducing</w:t>
      </w:r>
      <w:r w:rsidRPr="009E6FD1">
        <w:t xml:space="preserve"> the</w:t>
      </w:r>
      <w:r w:rsidR="005F151A">
        <w:t xml:space="preserve"> high level nuclear waste and for reducing</w:t>
      </w:r>
      <w:r w:rsidRPr="009E6FD1">
        <w:t xml:space="preserve"> the amount of plutonium </w:t>
      </w:r>
      <w:r w:rsidR="005F151A">
        <w:t xml:space="preserve">produced </w:t>
      </w:r>
      <w:r w:rsidRPr="009E6FD1">
        <w:t xml:space="preserve">in </w:t>
      </w:r>
      <w:r w:rsidR="00FB0392">
        <w:t>spent fuel per unit energy. Extraction of</w:t>
      </w:r>
      <w:r w:rsidRPr="009E6FD1">
        <w:t xml:space="preserve"> fissile </w:t>
      </w:r>
      <w:r w:rsidR="00FB0392">
        <w:t xml:space="preserve">isotopes from the spent fuel using </w:t>
      </w:r>
      <w:r w:rsidR="001F4D97">
        <w:t xml:space="preserve">chemical </w:t>
      </w:r>
      <w:r w:rsidRPr="009E6FD1">
        <w:t>processing for recycling in reactors has been proposed early when the commercial power plants were built. Since two or three decades, some countries like USA stopped reprocessing as a political consideration of weapons proliferation. Also, reprocessing is not economically attractive [1].</w:t>
      </w:r>
    </w:p>
    <w:p w:rsidR="009E6FD1" w:rsidRDefault="009E6FD1" w:rsidP="00053862">
      <w:pPr>
        <w:pStyle w:val="BodyText"/>
      </w:pPr>
      <w:r w:rsidRPr="009E6FD1">
        <w:t>The Direct Use of Spent PWR Fuel In CA</w:t>
      </w:r>
      <w:r w:rsidR="00AE7D93">
        <w:t>NDU Reactors (DUPIC),</w:t>
      </w:r>
      <w:r w:rsidRPr="009E6FD1">
        <w:t xml:space="preserve"> proposed in Korea,</w:t>
      </w:r>
      <w:r w:rsidR="00AE7D93">
        <w:t xml:space="preserve"> employs dry processing</w:t>
      </w:r>
      <w:r w:rsidRPr="009E6FD1">
        <w:t xml:space="preserve"> to convert spent LWR fuel into CANDU fuel. The general method of DUPIC is re-fabricate the PWR spent fuel in a DUPIC plant such as AIR</w:t>
      </w:r>
      <w:r w:rsidR="00AE7D93">
        <w:t>OX [2,3] for CANDU bundles in which</w:t>
      </w:r>
      <w:r w:rsidRPr="009E6FD1">
        <w:t xml:space="preserve"> the cladding is punctured and fission gasses are captured. The spent fuel pellets a</w:t>
      </w:r>
      <w:r w:rsidR="00DE3FE0">
        <w:t xml:space="preserve">re </w:t>
      </w:r>
      <w:r w:rsidRPr="009E6FD1">
        <w:t xml:space="preserve">reduced to a fine powder </w:t>
      </w:r>
      <w:r w:rsidR="00DE3FE0">
        <w:t xml:space="preserve">in furnaces </w:t>
      </w:r>
      <w:r w:rsidRPr="009E6FD1">
        <w:t>and then milled, shaped and sintered into CANDU fuel pellets. The estimation of the economics of DUPIC cycle is difficult because of the complexity of DUPIC processing facility and the transportation of highly radioactive materials from the PWR to this facility and from this facility to the CANDU reactor</w:t>
      </w:r>
      <w:r w:rsidR="00A348B5">
        <w:t xml:space="preserve"> </w:t>
      </w:r>
      <w:r w:rsidR="00053862">
        <w:t>[4]. One simple way of recycling the PWR spent fuel</w:t>
      </w:r>
      <w:r w:rsidRPr="009E6FD1">
        <w:t xml:space="preserve"> is </w:t>
      </w:r>
      <w:r w:rsidR="00053862">
        <w:t xml:space="preserve">by cutting the </w:t>
      </w:r>
      <w:r w:rsidRPr="009E6FD1">
        <w:t>fuel elements into CANDU length (~5</w:t>
      </w:r>
      <w:r w:rsidR="00053862">
        <w:t>0 cm) and</w:t>
      </w:r>
      <w:r w:rsidRPr="009E6FD1">
        <w:t xml:space="preserve"> </w:t>
      </w:r>
      <w:r w:rsidR="00053862" w:rsidRPr="009E6FD1">
        <w:t>we</w:t>
      </w:r>
      <w:r w:rsidR="00053862">
        <w:t>lding the end-caps and then constructing</w:t>
      </w:r>
      <w:r w:rsidRPr="009E6FD1">
        <w:t xml:space="preserve"> the CANDU b</w:t>
      </w:r>
      <w:r w:rsidR="00FE3CF3">
        <w:t>undles from 48 or 61 element</w:t>
      </w:r>
      <w:r w:rsidRPr="009E6FD1">
        <w:t xml:space="preserve">. </w:t>
      </w:r>
    </w:p>
    <w:p w:rsidR="009E6FD1" w:rsidRDefault="00FE3CF3" w:rsidP="00211900">
      <w:pPr>
        <w:pStyle w:val="BodyText"/>
      </w:pPr>
      <w:r>
        <w:t>In a previous work [5, 6</w:t>
      </w:r>
      <w:r w:rsidR="009E6FD1" w:rsidRPr="009E6FD1">
        <w:t xml:space="preserve">], a new </w:t>
      </w:r>
      <w:r w:rsidR="008366C3">
        <w:t>PWR design has been</w:t>
      </w:r>
      <w:r w:rsidR="009E6FD1" w:rsidRPr="009E6FD1">
        <w:t xml:space="preserve"> pro</w:t>
      </w:r>
      <w:r w:rsidR="008366C3">
        <w:t>posed for direct recycling</w:t>
      </w:r>
      <w:r w:rsidR="009E6FD1" w:rsidRPr="009E6FD1">
        <w:t xml:space="preserve"> of the PWR spent fuel without processing. </w:t>
      </w:r>
      <w:r w:rsidR="008366C3" w:rsidRPr="008366C3">
        <w:t>The PWR spent fuel bundles will be transferred directly to CANDU reactors</w:t>
      </w:r>
      <w:r w:rsidR="008366C3">
        <w:t xml:space="preserve"> (after a certain cooling time)</w:t>
      </w:r>
      <w:r w:rsidR="008366C3" w:rsidRPr="008366C3">
        <w:t xml:space="preserve"> without processing. The CANDU reactor is preferably be built in the same site to avoid the problem of transportations.</w:t>
      </w:r>
      <w:r w:rsidR="008366C3">
        <w:t xml:space="preserve"> </w:t>
      </w:r>
      <w:r w:rsidR="00405EE5" w:rsidRPr="00405EE5">
        <w:t>The proposed designed assembly consists of four zircaloy-4 tubes. Each tube contains 7 or 8 CANDU fuel bundl</w:t>
      </w:r>
      <w:r w:rsidR="001F4D97">
        <w:t xml:space="preserve">es stacked end to end. The </w:t>
      </w:r>
      <w:r w:rsidR="00405EE5" w:rsidRPr="00405EE5">
        <w:t>zircaloy-4 tube has the same inner diameter of CANDU pressure tube.</w:t>
      </w:r>
      <w:r w:rsidR="009E6FD1" w:rsidRPr="009E6FD1">
        <w:t xml:space="preserve"> The space between the tubes c</w:t>
      </w:r>
      <w:r w:rsidR="00E108A5">
        <w:t>ontains 44 low enriched UO</w:t>
      </w:r>
      <w:r w:rsidR="00E108A5">
        <w:rPr>
          <w:vertAlign w:val="subscript"/>
        </w:rPr>
        <w:t>2</w:t>
      </w:r>
      <w:r w:rsidR="009E6FD1" w:rsidRPr="009E6FD1">
        <w:t xml:space="preserve"> fuel rods and 12 guide tubes as shown in Fig. 1.  Almost, the same pitch to rod diameter ratio inside the zircaloy-4 tubes and between them is considered.  The new design changes the fuel rod configuration from square lattice to be approximately hexagonal lattice. The a</w:t>
      </w:r>
      <w:r w:rsidR="00562540">
        <w:t xml:space="preserve">ssembly has the same pitch </w:t>
      </w:r>
      <w:r w:rsidR="00A348B5">
        <w:t>as the 17x17 Westinghouse</w:t>
      </w:r>
      <w:r w:rsidR="009E6FD1" w:rsidRPr="009E6FD1">
        <w:t xml:space="preserve"> fuel </w:t>
      </w:r>
      <w:r w:rsidR="00D800BC" w:rsidRPr="009E6FD1">
        <w:t>assemblies</w:t>
      </w:r>
      <w:r w:rsidR="00562540">
        <w:t xml:space="preserve"> (21.5 cm)</w:t>
      </w:r>
      <w:r w:rsidR="009E6FD1" w:rsidRPr="009E6FD1">
        <w:t xml:space="preserve">. The PWR </w:t>
      </w:r>
      <w:r w:rsidR="00562540">
        <w:t xml:space="preserve">built using the new </w:t>
      </w:r>
      <w:r w:rsidR="009E6FD1" w:rsidRPr="009E6FD1">
        <w:t xml:space="preserve">fuel assembly can be considered as a vertical tubes </w:t>
      </w:r>
      <w:r w:rsidR="00E108A5">
        <w:t>reactor but with a number of UO</w:t>
      </w:r>
      <w:r w:rsidR="00E108A5">
        <w:rPr>
          <w:vertAlign w:val="subscript"/>
        </w:rPr>
        <w:t>2</w:t>
      </w:r>
      <w:r w:rsidR="009E6FD1" w:rsidRPr="009E6FD1">
        <w:t xml:space="preserve"> fuel rods between t</w:t>
      </w:r>
      <w:r w:rsidR="00562540">
        <w:t>he tubes</w:t>
      </w:r>
      <w:r w:rsidR="009E6FD1" w:rsidRPr="009E6FD1">
        <w:t xml:space="preserve"> under the same pressure. The new design applies the </w:t>
      </w:r>
      <w:r w:rsidR="00D800BC" w:rsidRPr="00D800BC">
        <w:t>Integrate</w:t>
      </w:r>
      <w:r w:rsidR="00D800BC">
        <w:t>d Fuel Burnable Absorber (IFBA)</w:t>
      </w:r>
      <w:r w:rsidR="009E6FD1" w:rsidRPr="009E6FD1">
        <w:t xml:space="preserve"> on the outer ring of each fuel bundle as a mean of reactivity control. The length of the assembly is 396 cm for 8 CANDU bundles. Table 1 give a comparison between the reference and proposed assemblies.</w:t>
      </w:r>
    </w:p>
    <w:p w:rsidR="00DC28BC" w:rsidRDefault="00DC28BC" w:rsidP="00DC28BC">
      <w:pPr>
        <w:ind w:firstLine="720"/>
        <w:jc w:val="both"/>
        <w:rPr>
          <w:rFonts w:asciiTheme="majorBidi" w:hAnsiTheme="majorBidi" w:cstheme="majorBidi"/>
          <w:sz w:val="24"/>
          <w:szCs w:val="24"/>
        </w:rPr>
      </w:pPr>
    </w:p>
    <w:p w:rsidR="00DC28BC" w:rsidRDefault="00DC28BC" w:rsidP="00DC28BC">
      <w:pPr>
        <w:ind w:firstLine="720"/>
        <w:jc w:val="center"/>
        <w:rPr>
          <w:rFonts w:asciiTheme="majorBidi" w:hAnsiTheme="majorBidi" w:cstheme="majorBidi"/>
          <w:sz w:val="24"/>
          <w:szCs w:val="24"/>
        </w:rPr>
      </w:pPr>
      <w:r w:rsidRPr="00377D04">
        <w:rPr>
          <w:rFonts w:asciiTheme="majorBidi" w:hAnsiTheme="majorBidi" w:cstheme="majorBidi"/>
          <w:noProof/>
          <w:sz w:val="24"/>
          <w:szCs w:val="24"/>
          <w:lang w:val="en-US"/>
        </w:rPr>
        <w:lastRenderedPageBreak/>
        <w:drawing>
          <wp:inline distT="0" distB="0" distL="0" distR="0">
            <wp:extent cx="3242310" cy="34015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41626" cy="3400850"/>
                    </a:xfrm>
                    <a:prstGeom prst="rect">
                      <a:avLst/>
                    </a:prstGeom>
                    <a:noFill/>
                    <a:ln w="9525">
                      <a:noFill/>
                      <a:miter lim="800000"/>
                      <a:headEnd/>
                      <a:tailEnd/>
                    </a:ln>
                  </pic:spPr>
                </pic:pic>
              </a:graphicData>
            </a:graphic>
          </wp:inline>
        </w:drawing>
      </w:r>
    </w:p>
    <w:p w:rsidR="00DC28BC" w:rsidRDefault="00DC28BC" w:rsidP="00DC28BC">
      <w:pPr>
        <w:pStyle w:val="Caption"/>
        <w:jc w:val="center"/>
        <w:rPr>
          <w:i/>
        </w:rPr>
      </w:pPr>
      <w:r w:rsidRPr="00DC28BC">
        <w:rPr>
          <w:i/>
        </w:rPr>
        <w:t>Fig. 1. The Proposed PWR assembly as simulated using MCNPX Code.</w:t>
      </w:r>
    </w:p>
    <w:p w:rsidR="00DC28BC" w:rsidRDefault="00DC28BC" w:rsidP="00DC28BC">
      <w:pPr>
        <w:rPr>
          <w:lang w:val="en-US"/>
        </w:rPr>
      </w:pPr>
    </w:p>
    <w:p w:rsidR="00DC28BC" w:rsidRPr="00DC28BC" w:rsidRDefault="00DC28BC" w:rsidP="00DC28BC">
      <w:pPr>
        <w:pStyle w:val="BodyText"/>
        <w:ind w:firstLine="0"/>
      </w:pPr>
      <w:r>
        <w:t xml:space="preserve">TABLE I. </w:t>
      </w:r>
      <w:r w:rsidRPr="00DC28BC">
        <w:t>REFERENCE AND PROPOSED PWR ASSEMBLIES</w:t>
      </w:r>
      <w:r w:rsidR="00FE3CF3">
        <w:t xml:space="preserve"> [5</w:t>
      </w:r>
      <w:r w:rsidRPr="00DC28BC">
        <w:t>].</w:t>
      </w:r>
    </w:p>
    <w:p w:rsidR="00DC28BC" w:rsidRPr="00FD4A66" w:rsidRDefault="00DC28BC" w:rsidP="00DC28BC">
      <w:pPr>
        <w:jc w:val="both"/>
        <w:rPr>
          <w:rFonts w:ascii="TimesNewRomanPSMT" w:hAnsi="TimesNewRomanPSMT" w:cs="TimesNewRomanPSMT"/>
          <w:sz w:val="24"/>
          <w:szCs w:val="24"/>
        </w:rPr>
      </w:pPr>
    </w:p>
    <w:tbl>
      <w:tblPr>
        <w:tblStyle w:val="TableGrid"/>
        <w:tblW w:w="0" w:type="auto"/>
        <w:jc w:val="center"/>
        <w:tblBorders>
          <w:left w:val="none" w:sz="0" w:space="0" w:color="auto"/>
          <w:right w:val="none" w:sz="0" w:space="0" w:color="auto"/>
          <w:insideV w:val="none" w:sz="0" w:space="0" w:color="auto"/>
        </w:tblBorders>
        <w:tblLook w:val="04A0"/>
      </w:tblPr>
      <w:tblGrid>
        <w:gridCol w:w="1771"/>
        <w:gridCol w:w="3066"/>
        <w:gridCol w:w="4377"/>
      </w:tblGrid>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Parameter</w:t>
            </w:r>
          </w:p>
        </w:tc>
        <w:tc>
          <w:tcPr>
            <w:tcW w:w="3066" w:type="dxa"/>
            <w:vAlign w:val="center"/>
          </w:tcPr>
          <w:p w:rsidR="00DC28BC" w:rsidRPr="00DC28BC" w:rsidRDefault="00DC28BC" w:rsidP="00D800BC">
            <w:pPr>
              <w:pStyle w:val="BodyText"/>
              <w:ind w:firstLine="0"/>
              <w:jc w:val="center"/>
            </w:pPr>
            <w:r w:rsidRPr="00DC28BC">
              <w:t>Reference PWR assembly</w:t>
            </w:r>
          </w:p>
        </w:tc>
        <w:tc>
          <w:tcPr>
            <w:tcW w:w="4377" w:type="dxa"/>
            <w:vAlign w:val="center"/>
          </w:tcPr>
          <w:p w:rsidR="00DC28BC" w:rsidRPr="00DC28BC" w:rsidRDefault="00DC28BC" w:rsidP="00D800BC">
            <w:pPr>
              <w:pStyle w:val="BodyText"/>
              <w:ind w:firstLine="0"/>
              <w:jc w:val="center"/>
            </w:pPr>
            <w:r w:rsidRPr="00DC28BC">
              <w:t>Proposed PWR assembly</w:t>
            </w:r>
          </w:p>
        </w:tc>
      </w:tr>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Construction</w:t>
            </w:r>
          </w:p>
        </w:tc>
        <w:tc>
          <w:tcPr>
            <w:tcW w:w="3066" w:type="dxa"/>
            <w:vAlign w:val="center"/>
          </w:tcPr>
          <w:p w:rsidR="00DC28BC" w:rsidRPr="00DC28BC" w:rsidRDefault="00DC28BC" w:rsidP="00D800BC">
            <w:pPr>
              <w:pStyle w:val="BodyText"/>
              <w:ind w:firstLine="0"/>
              <w:jc w:val="center"/>
            </w:pPr>
            <w:r w:rsidRPr="00DC28BC">
              <w:t>17x17 UO</w:t>
            </w:r>
            <w:r w:rsidR="00A43B5C">
              <w:rPr>
                <w:vertAlign w:val="subscript"/>
              </w:rPr>
              <w:t>2</w:t>
            </w:r>
            <w:r w:rsidRPr="00DC28BC">
              <w:t xml:space="preserve"> fuel rods bundle:</w:t>
            </w:r>
          </w:p>
          <w:p w:rsidR="00DC28BC" w:rsidRPr="00DC28BC" w:rsidRDefault="00DC28BC" w:rsidP="00D800BC">
            <w:pPr>
              <w:pStyle w:val="BodyText"/>
              <w:ind w:firstLine="0"/>
              <w:jc w:val="center"/>
            </w:pPr>
            <w:r w:rsidRPr="00DC28BC">
              <w:t>-  264 fuel rods.</w:t>
            </w:r>
          </w:p>
          <w:p w:rsidR="00DC28BC" w:rsidRPr="00DC28BC" w:rsidRDefault="00DC28BC" w:rsidP="00D800BC">
            <w:pPr>
              <w:pStyle w:val="BodyText"/>
              <w:ind w:firstLine="0"/>
              <w:jc w:val="center"/>
            </w:pPr>
            <w:r w:rsidRPr="00DC28BC">
              <w:t>-  25 guide tubes.</w:t>
            </w:r>
          </w:p>
        </w:tc>
        <w:tc>
          <w:tcPr>
            <w:tcW w:w="4377" w:type="dxa"/>
            <w:vAlign w:val="center"/>
          </w:tcPr>
          <w:p w:rsidR="00DC28BC" w:rsidRPr="00DC28BC" w:rsidRDefault="005B1CA5" w:rsidP="00D800BC">
            <w:pPr>
              <w:pStyle w:val="BodyText"/>
              <w:ind w:firstLine="0"/>
              <w:jc w:val="center"/>
            </w:pPr>
            <w:r>
              <w:t>- Four zircaloy-4 tubes contain</w:t>
            </w:r>
            <w:r w:rsidR="00DC28BC" w:rsidRPr="00DC28BC">
              <w:t xml:space="preserve"> </w:t>
            </w:r>
            <w:r>
              <w:t xml:space="preserve">7 or 8 </w:t>
            </w:r>
            <w:r w:rsidRPr="003D0D83">
              <w:t>CANDU fuel bu</w:t>
            </w:r>
            <w:r>
              <w:t>ndles stacked end to end.</w:t>
            </w:r>
          </w:p>
          <w:p w:rsidR="00DC28BC" w:rsidRPr="00DC28BC" w:rsidRDefault="00A43B5C" w:rsidP="00D800BC">
            <w:pPr>
              <w:pStyle w:val="BodyText"/>
              <w:numPr>
                <w:ilvl w:val="0"/>
                <w:numId w:val="35"/>
              </w:numPr>
              <w:ind w:left="10" w:hanging="370"/>
              <w:jc w:val="center"/>
            </w:pPr>
            <w:r>
              <w:t>- 44 low enriched UO</w:t>
            </w:r>
            <w:r>
              <w:rPr>
                <w:vertAlign w:val="subscript"/>
              </w:rPr>
              <w:t>2</w:t>
            </w:r>
            <w:r w:rsidR="00DC28BC" w:rsidRPr="00DC28BC">
              <w:t xml:space="preserve"> rods between the</w:t>
            </w:r>
            <w:r w:rsidR="005B1CA5">
              <w:t xml:space="preserve"> zircaloy-4 </w:t>
            </w:r>
            <w:r w:rsidR="00DC28BC" w:rsidRPr="00DC28BC">
              <w:t xml:space="preserve"> tubes.</w:t>
            </w:r>
          </w:p>
          <w:p w:rsidR="00DC28BC" w:rsidRPr="00DC28BC" w:rsidRDefault="00A43B5C" w:rsidP="00D800BC">
            <w:pPr>
              <w:pStyle w:val="BodyText"/>
              <w:ind w:left="360" w:firstLine="0"/>
              <w:jc w:val="center"/>
            </w:pPr>
            <w:r>
              <w:t xml:space="preserve">- </w:t>
            </w:r>
            <w:r w:rsidR="00D800BC">
              <w:t xml:space="preserve">12 </w:t>
            </w:r>
            <w:r w:rsidR="00DC28BC" w:rsidRPr="00DC28BC">
              <w:t>guide tubes.</w:t>
            </w:r>
          </w:p>
        </w:tc>
      </w:tr>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fuel rod configuration</w:t>
            </w:r>
          </w:p>
        </w:tc>
        <w:tc>
          <w:tcPr>
            <w:tcW w:w="3066" w:type="dxa"/>
            <w:vAlign w:val="center"/>
          </w:tcPr>
          <w:p w:rsidR="00DC28BC" w:rsidRPr="00DC28BC" w:rsidRDefault="00DC28BC" w:rsidP="00D800BC">
            <w:pPr>
              <w:pStyle w:val="BodyText"/>
              <w:ind w:firstLine="0"/>
              <w:jc w:val="center"/>
            </w:pPr>
            <w:r w:rsidRPr="00DC28BC">
              <w:t>Square lattice</w:t>
            </w:r>
          </w:p>
        </w:tc>
        <w:tc>
          <w:tcPr>
            <w:tcW w:w="4377" w:type="dxa"/>
            <w:vAlign w:val="center"/>
          </w:tcPr>
          <w:p w:rsidR="00DC28BC" w:rsidRPr="00DC28BC" w:rsidRDefault="00DC28BC" w:rsidP="00D800BC">
            <w:pPr>
              <w:pStyle w:val="BodyText"/>
              <w:ind w:firstLine="0"/>
              <w:jc w:val="center"/>
            </w:pPr>
            <w:r w:rsidRPr="00DC28BC">
              <w:t>Approximately hexagonal lattice.</w:t>
            </w:r>
          </w:p>
        </w:tc>
      </w:tr>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Dimensions</w:t>
            </w:r>
          </w:p>
        </w:tc>
        <w:tc>
          <w:tcPr>
            <w:tcW w:w="3066" w:type="dxa"/>
            <w:vAlign w:val="center"/>
          </w:tcPr>
          <w:p w:rsidR="00DC28BC" w:rsidRPr="00DC28BC" w:rsidRDefault="00DC28BC" w:rsidP="00D800BC">
            <w:pPr>
              <w:pStyle w:val="BodyText"/>
              <w:ind w:firstLine="0"/>
              <w:jc w:val="center"/>
            </w:pPr>
            <w:r w:rsidRPr="00DC28BC">
              <w:t>Fuel rod inner/outer diameter: 8.19/9.5 mm.</w:t>
            </w:r>
          </w:p>
          <w:p w:rsidR="00DC28BC" w:rsidRPr="00DC28BC" w:rsidRDefault="00DC28BC" w:rsidP="00D800BC">
            <w:pPr>
              <w:pStyle w:val="BodyText"/>
              <w:ind w:firstLine="0"/>
              <w:jc w:val="center"/>
            </w:pPr>
            <w:r w:rsidRPr="00DC28BC">
              <w:t>Fuel cladding thickness: 0.57 mm</w:t>
            </w:r>
          </w:p>
          <w:p w:rsidR="00DC28BC" w:rsidRPr="00DC28BC" w:rsidRDefault="00DC28BC" w:rsidP="00D800BC">
            <w:pPr>
              <w:pStyle w:val="BodyText"/>
              <w:ind w:firstLine="0"/>
              <w:jc w:val="center"/>
            </w:pPr>
            <w:r w:rsidRPr="00DC28BC">
              <w:t>Assembly pitch: 21.5 cm.</w:t>
            </w:r>
          </w:p>
          <w:p w:rsidR="00DC28BC" w:rsidRPr="00DC28BC" w:rsidRDefault="00DC28BC" w:rsidP="00D800BC">
            <w:pPr>
              <w:pStyle w:val="BodyText"/>
              <w:ind w:firstLine="0"/>
              <w:jc w:val="center"/>
            </w:pPr>
            <w:r w:rsidRPr="00DC28BC">
              <w:t>Fuel active length: 3.66 m.</w:t>
            </w:r>
          </w:p>
          <w:p w:rsidR="00DC28BC" w:rsidRPr="00DC28BC" w:rsidRDefault="00DC28BC" w:rsidP="00D800BC">
            <w:pPr>
              <w:pStyle w:val="BodyText"/>
              <w:ind w:firstLine="0"/>
              <w:jc w:val="center"/>
            </w:pPr>
          </w:p>
        </w:tc>
        <w:tc>
          <w:tcPr>
            <w:tcW w:w="4377" w:type="dxa"/>
            <w:vAlign w:val="center"/>
          </w:tcPr>
          <w:p w:rsidR="00DC28BC" w:rsidRPr="00DC28BC" w:rsidRDefault="00DC28BC" w:rsidP="00D800BC">
            <w:pPr>
              <w:pStyle w:val="BodyText"/>
              <w:ind w:firstLine="0"/>
              <w:jc w:val="center"/>
            </w:pPr>
            <w:r w:rsidRPr="00DC28BC">
              <w:t>Zircaloy-4 tube inner/outer diameters: 5.17/5.3 cm.</w:t>
            </w:r>
          </w:p>
          <w:p w:rsidR="00DC28BC" w:rsidRPr="00DC28BC" w:rsidRDefault="00DC28BC" w:rsidP="00D800BC">
            <w:pPr>
              <w:pStyle w:val="BodyText"/>
              <w:ind w:firstLine="0"/>
              <w:jc w:val="center"/>
            </w:pPr>
            <w:r w:rsidRPr="00DC28BC">
              <w:t>Fuel rod inner/outer diameter: 8.19/9.5 mm.</w:t>
            </w:r>
          </w:p>
          <w:p w:rsidR="00DC28BC" w:rsidRPr="00DC28BC" w:rsidRDefault="00DC28BC" w:rsidP="00D800BC">
            <w:pPr>
              <w:pStyle w:val="BodyText"/>
              <w:ind w:firstLine="0"/>
              <w:jc w:val="center"/>
            </w:pPr>
            <w:r w:rsidRPr="00DC28BC">
              <w:t>Fuel cladding thickness: 0.57 mm</w:t>
            </w:r>
          </w:p>
          <w:p w:rsidR="00DC28BC" w:rsidRPr="00DC28BC" w:rsidRDefault="00DC28BC" w:rsidP="00D800BC">
            <w:pPr>
              <w:pStyle w:val="BodyText"/>
              <w:ind w:firstLine="0"/>
              <w:jc w:val="center"/>
            </w:pPr>
            <w:r w:rsidRPr="00DC28BC">
              <w:t>Assembly pitch: 21.5 cm.</w:t>
            </w:r>
          </w:p>
          <w:p w:rsidR="00DC28BC" w:rsidRPr="00DC28BC" w:rsidRDefault="00DC28BC" w:rsidP="00D800BC">
            <w:pPr>
              <w:pStyle w:val="BodyText"/>
              <w:ind w:firstLine="0"/>
              <w:jc w:val="center"/>
            </w:pPr>
            <w:r w:rsidRPr="00DC28BC">
              <w:t>CANDU fuel bundle length: 49.53 cm.</w:t>
            </w:r>
          </w:p>
        </w:tc>
      </w:tr>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Burnable poisons</w:t>
            </w:r>
          </w:p>
        </w:tc>
        <w:tc>
          <w:tcPr>
            <w:tcW w:w="3066" w:type="dxa"/>
            <w:vAlign w:val="center"/>
          </w:tcPr>
          <w:p w:rsidR="00DC28BC" w:rsidRPr="00DC28BC" w:rsidRDefault="00DC28BC" w:rsidP="00D800BC">
            <w:pPr>
              <w:pStyle w:val="BodyText"/>
              <w:ind w:firstLine="0"/>
              <w:jc w:val="center"/>
            </w:pPr>
            <w:r w:rsidRPr="00DC28BC">
              <w:t xml:space="preserve">IFBA coating </w:t>
            </w:r>
            <w:r w:rsidR="00EF7193">
              <w:t>on fuel pellet surfaces (of around</w:t>
            </w:r>
            <w:r w:rsidRPr="00DC28BC">
              <w:t xml:space="preserve"> 100 fuel rods</w:t>
            </w:r>
            <w:r w:rsidR="00EF7193">
              <w:t>)</w:t>
            </w:r>
            <w:r w:rsidRPr="00DC28BC">
              <w:t>.</w:t>
            </w:r>
          </w:p>
        </w:tc>
        <w:tc>
          <w:tcPr>
            <w:tcW w:w="4377" w:type="dxa"/>
            <w:vAlign w:val="center"/>
          </w:tcPr>
          <w:p w:rsidR="00DC28BC" w:rsidRPr="00DC28BC" w:rsidRDefault="00DC28BC" w:rsidP="00D800BC">
            <w:pPr>
              <w:pStyle w:val="BodyText"/>
              <w:ind w:firstLine="0"/>
              <w:jc w:val="center"/>
            </w:pPr>
            <w:r w:rsidRPr="00DC28BC">
              <w:t xml:space="preserve">IFBA coating on fuel pellet surfaces of outer </w:t>
            </w:r>
            <w:r w:rsidR="00F8607A">
              <w:t xml:space="preserve">fuel </w:t>
            </w:r>
            <w:r w:rsidRPr="00DC28BC">
              <w:t>ring of each fuel bundle.</w:t>
            </w:r>
          </w:p>
        </w:tc>
      </w:tr>
      <w:tr w:rsidR="00DC28BC" w:rsidRPr="00FD4A66" w:rsidTr="00D800BC">
        <w:trPr>
          <w:jc w:val="center"/>
        </w:trPr>
        <w:tc>
          <w:tcPr>
            <w:tcW w:w="1771" w:type="dxa"/>
            <w:vAlign w:val="center"/>
          </w:tcPr>
          <w:p w:rsidR="00DC28BC" w:rsidRPr="00DC28BC" w:rsidRDefault="00DC28BC" w:rsidP="00D800BC">
            <w:pPr>
              <w:pStyle w:val="BodyText"/>
              <w:ind w:firstLine="0"/>
              <w:jc w:val="center"/>
            </w:pPr>
            <w:r w:rsidRPr="00DC28BC">
              <w:t>Operating power</w:t>
            </w:r>
          </w:p>
        </w:tc>
        <w:tc>
          <w:tcPr>
            <w:tcW w:w="3066" w:type="dxa"/>
            <w:vAlign w:val="center"/>
          </w:tcPr>
          <w:p w:rsidR="00DC28BC" w:rsidRPr="00DC28BC" w:rsidRDefault="00DC28BC" w:rsidP="00D800BC">
            <w:pPr>
              <w:pStyle w:val="BodyText"/>
              <w:ind w:firstLine="0"/>
              <w:jc w:val="center"/>
            </w:pPr>
            <w:r w:rsidRPr="00DC28BC">
              <w:t>~ 17.5 MW</w:t>
            </w:r>
          </w:p>
        </w:tc>
        <w:tc>
          <w:tcPr>
            <w:tcW w:w="4377" w:type="dxa"/>
            <w:vAlign w:val="center"/>
          </w:tcPr>
          <w:p w:rsidR="00DC28BC" w:rsidRPr="00DC28BC" w:rsidRDefault="00DC28BC" w:rsidP="00D800BC">
            <w:pPr>
              <w:pStyle w:val="BodyText"/>
              <w:ind w:firstLine="0"/>
              <w:jc w:val="center"/>
            </w:pPr>
            <w:r w:rsidRPr="00DC28BC">
              <w:t>~ 17.5 MW</w:t>
            </w:r>
          </w:p>
        </w:tc>
      </w:tr>
    </w:tbl>
    <w:p w:rsidR="00DC28BC" w:rsidRPr="00DC28BC" w:rsidRDefault="00DC28BC" w:rsidP="00DC28BC">
      <w:pPr>
        <w:rPr>
          <w:lang w:val="en-US"/>
        </w:rPr>
      </w:pPr>
    </w:p>
    <w:p w:rsidR="00DC28BC" w:rsidRDefault="002B4968" w:rsidP="00F1459F">
      <w:pPr>
        <w:pStyle w:val="BodyText"/>
      </w:pPr>
      <w:r w:rsidRPr="009E6FD1">
        <w:t xml:space="preserve">The </w:t>
      </w:r>
      <w:r w:rsidR="00F1459F">
        <w:t xml:space="preserve">proposed </w:t>
      </w:r>
      <w:r w:rsidRPr="009E6FD1">
        <w:t xml:space="preserve">new </w:t>
      </w:r>
      <w:r w:rsidR="00F1459F">
        <w:t xml:space="preserve">PWR </w:t>
      </w:r>
      <w:r w:rsidRPr="009E6FD1">
        <w:t>fuel assembly</w:t>
      </w:r>
      <w:r w:rsidR="00F1459F">
        <w:t xml:space="preserve"> design</w:t>
      </w:r>
      <w:r w:rsidRPr="009E6FD1">
        <w:t xml:space="preserve"> has the advantages of recycling directly the spent fuel without any processing that eliminates the need of re-fabricating the spent fuel for the CANDU fuel bundles.  The fuel cycle strategy using this new design enables to operate the PWRs with the single-batch loading strategy for longer core cycle. Recycling directly the s</w:t>
      </w:r>
      <w:r w:rsidR="00147976">
        <w:t xml:space="preserve">pent PWR fuel </w:t>
      </w:r>
      <w:r w:rsidRPr="009E6FD1">
        <w:t>will increase the fuel burnup keeping it at the limits of PWR multi-batch loading strategy or higher.</w:t>
      </w:r>
    </w:p>
    <w:p w:rsidR="009E6FD1" w:rsidRDefault="009E6FD1" w:rsidP="009E6FD1">
      <w:pPr>
        <w:pStyle w:val="BodyText"/>
      </w:pPr>
      <w:r w:rsidRPr="009E6FD1">
        <w:t xml:space="preserve">CANDU-6 has advantage of that it is </w:t>
      </w:r>
      <w:r w:rsidR="00A348B5" w:rsidRPr="009E6FD1">
        <w:t>fuelled</w:t>
      </w:r>
      <w:r w:rsidR="00A348B5">
        <w:t xml:space="preserve"> with natural UO</w:t>
      </w:r>
      <w:r w:rsidR="00A348B5">
        <w:rPr>
          <w:vertAlign w:val="subscript"/>
        </w:rPr>
        <w:t>2</w:t>
      </w:r>
      <w:r w:rsidRPr="009E6FD1">
        <w:t xml:space="preserve"> but it discharges the spent fuel at low burnup of about 7.5 MWd/kgU and therefore the quantities of high level waste that are produced per unit energy from CANDU-6 reactors is much higher than that produced from Light Water Reactors (LWRs). Also, with this low burnup, the quality of plutonium in CANDU-6 spent fuel is high which is against the p</w:t>
      </w:r>
      <w:r w:rsidR="00A348B5">
        <w:t xml:space="preserve">roliferation resistance. </w:t>
      </w:r>
      <w:r w:rsidR="00DC28BC">
        <w:t>T</w:t>
      </w:r>
      <w:r w:rsidRPr="009E6FD1">
        <w:t xml:space="preserve">he proposed strategy of recycling the PWR spent fuel in CANDU-6 reactor would reduce the high </w:t>
      </w:r>
      <w:r w:rsidRPr="009E6FD1">
        <w:lastRenderedPageBreak/>
        <w:t>level waste. Moreover, direct recycling the spent fuel would degrade the plutonium vector which enhances the proliferation resistance.</w:t>
      </w:r>
    </w:p>
    <w:p w:rsidR="009E6FD1" w:rsidRPr="009E6FD1" w:rsidRDefault="009E6FD1" w:rsidP="001B3609">
      <w:pPr>
        <w:pStyle w:val="BodyText"/>
      </w:pPr>
      <w:r w:rsidRPr="009E6FD1">
        <w:t xml:space="preserve">In this paper, </w:t>
      </w:r>
      <w:r w:rsidR="001B3609">
        <w:t xml:space="preserve">it is assumed that </w:t>
      </w:r>
      <w:r w:rsidRPr="009E6FD1">
        <w:t>the</w:t>
      </w:r>
      <w:r w:rsidR="001B3609">
        <w:t xml:space="preserve"> proposed assembly will</w:t>
      </w:r>
      <w:r w:rsidRPr="009E6FD1">
        <w:t xml:space="preserve"> build a three-batch loadi</w:t>
      </w:r>
      <w:r w:rsidR="001B3609">
        <w:t>ng PWR and the spent bundles will be</w:t>
      </w:r>
      <w:r w:rsidRPr="009E6FD1">
        <w:t xml:space="preserve"> recycled in the on power </w:t>
      </w:r>
      <w:r w:rsidR="00DC28BC" w:rsidRPr="009E6FD1">
        <w:t>refuelling</w:t>
      </w:r>
      <w:r w:rsidRPr="009E6FD1">
        <w:t xml:space="preserve"> CANDU-6 reactor focusing on uranium utilization improvement,</w:t>
      </w:r>
      <w:r w:rsidR="001B3609">
        <w:t xml:space="preserve"> reduction of high level</w:t>
      </w:r>
      <w:r w:rsidRPr="009E6FD1">
        <w:t xml:space="preserve"> waste and proliferation resistance enhancement. The effect of this new design on the moderator temperature coefficient of reactivity</w:t>
      </w:r>
      <w:r w:rsidR="001B3609">
        <w:t xml:space="preserve">, </w:t>
      </w:r>
      <w:r w:rsidR="001B3609" w:rsidRPr="009E6FD1">
        <w:t>power peaking</w:t>
      </w:r>
      <w:r w:rsidRPr="009E6FD1">
        <w:t xml:space="preserve"> and CANDU coolant void reactivity have been ca</w:t>
      </w:r>
      <w:r w:rsidR="00FE3CF3">
        <w:t>lculated in the previous work [5,6</w:t>
      </w:r>
      <w:r w:rsidRPr="009E6FD1">
        <w:t>].</w:t>
      </w:r>
    </w:p>
    <w:p w:rsidR="00E25B68" w:rsidRDefault="002B4968" w:rsidP="0026525A">
      <w:pPr>
        <w:pStyle w:val="Heading2"/>
        <w:numPr>
          <w:ilvl w:val="1"/>
          <w:numId w:val="10"/>
        </w:numPr>
      </w:pPr>
      <w:r>
        <w:t xml:space="preserve">Case study and simulation </w:t>
      </w:r>
    </w:p>
    <w:p w:rsidR="004C0012" w:rsidRDefault="002B4968" w:rsidP="004C0012">
      <w:pPr>
        <w:pStyle w:val="BodyText"/>
      </w:pPr>
      <w:r w:rsidRPr="002B4968">
        <w:t>The 3411 MWth Westinghouse PWR has been selected as a reference case in this paper. The reactor core is built from 193 assemblies with 17x17 pins f</w:t>
      </w:r>
      <w:r w:rsidR="004C0012">
        <w:t>uel assembly. CANDU-6 reactor was</w:t>
      </w:r>
      <w:r w:rsidRPr="002B4968">
        <w:t xml:space="preserve"> used as a reference reactor for recycling of the </w:t>
      </w:r>
      <w:r w:rsidR="004C0012">
        <w:t xml:space="preserve">PWR </w:t>
      </w:r>
      <w:r w:rsidRPr="002B4968">
        <w:t>spent fuel</w:t>
      </w:r>
      <w:r w:rsidR="004C0012">
        <w:t xml:space="preserve"> bundles</w:t>
      </w:r>
      <w:r w:rsidRPr="002B4968">
        <w:t xml:space="preserve">.  The Monte Carlo code MCNPX2.7.0 </w:t>
      </w:r>
      <w:r w:rsidR="00FE3CF3">
        <w:t>[7</w:t>
      </w:r>
      <w:r>
        <w:t>] has been</w:t>
      </w:r>
      <w:r w:rsidRPr="002B4968">
        <w:t xml:space="preserve"> used in this research for the calculations. The code is compatible with MCNP5 with many additional capabilities including material depletion/burnup calculations.  All standard evaluated nuclear data libraries used by MCNP can be used by MCNPX 2.7.0. </w:t>
      </w:r>
    </w:p>
    <w:p w:rsidR="002B4968" w:rsidRDefault="002B4968" w:rsidP="004C0012">
      <w:pPr>
        <w:pStyle w:val="BodyText"/>
      </w:pPr>
      <w:r w:rsidRPr="002B4968">
        <w:t>The fuel lattice cells of the two reactors of interest hav</w:t>
      </w:r>
      <w:r>
        <w:t>e been simulated using the</w:t>
      </w:r>
      <w:r w:rsidRPr="002B4968">
        <w:t xml:space="preserve"> code. A criticality calcul</w:t>
      </w:r>
      <w:r w:rsidR="004C0012">
        <w:t>ation (KCODE calculations) and the BURN cards are</w:t>
      </w:r>
      <w:r w:rsidRPr="002B4968">
        <w:t xml:space="preserve"> used to calculate the system criticality and the burnup of the fu</w:t>
      </w:r>
      <w:r w:rsidR="004C0012">
        <w:t>el and fuel inventory after</w:t>
      </w:r>
      <w:r w:rsidRPr="002B4968">
        <w:t xml:space="preserve"> time interval</w:t>
      </w:r>
      <w:r w:rsidR="004C0012">
        <w:t>s</w:t>
      </w:r>
      <w:r w:rsidRPr="002B4968">
        <w:t>. A total of 150 cycles per burnup ste</w:t>
      </w:r>
      <w:r>
        <w:t>p of which 30 were skipped and 5</w:t>
      </w:r>
      <w:r w:rsidRPr="002B4968">
        <w:t>000 histories per cycle were used to reach standard d</w:t>
      </w:r>
      <w:r>
        <w:t>eviation of the k∞ values less than</w:t>
      </w:r>
      <w:r w:rsidRPr="002B4968">
        <w:t xml:space="preserve"> 0.1%. In BOPT card the Tier 3 fission products, which comprise fission products in ENDF/B-VII.0</w:t>
      </w:r>
      <w:r w:rsidR="00D059B3">
        <w:t xml:space="preserve"> library</w:t>
      </w:r>
      <w:r w:rsidRPr="002B4968">
        <w:t xml:space="preserve"> was selected. The best m</w:t>
      </w:r>
      <w:r w:rsidR="00D059B3">
        <w:t xml:space="preserve">atching temperature </w:t>
      </w:r>
      <w:r w:rsidRPr="002B4968">
        <w:t xml:space="preserve">for the fuel is </w:t>
      </w:r>
      <w:r w:rsidR="00D059B3">
        <w:t xml:space="preserve">900 K and for the </w:t>
      </w:r>
      <w:r w:rsidRPr="002B4968">
        <w:t>cl</w:t>
      </w:r>
      <w:r w:rsidR="001C6015">
        <w:t xml:space="preserve">adding </w:t>
      </w:r>
      <w:r w:rsidR="00D059B3">
        <w:t xml:space="preserve">and moderator </w:t>
      </w:r>
      <w:r w:rsidR="001C6015">
        <w:t>is 600 K. Figs. 1-</w:t>
      </w:r>
      <w:r w:rsidRPr="002B4968">
        <w:t>3 show the MCNPX simulation of the lattice cells of the proposed and reference PWR assemblies and CANDU-6, respectively.</w:t>
      </w:r>
    </w:p>
    <w:p w:rsidR="002B4968" w:rsidRDefault="002B4968" w:rsidP="002B4968">
      <w:pPr>
        <w:pStyle w:val="BodyText"/>
      </w:pPr>
    </w:p>
    <w:p w:rsidR="002B4968" w:rsidRDefault="002B4968" w:rsidP="002B4968">
      <w:pPr>
        <w:pStyle w:val="BodyText"/>
      </w:pPr>
    </w:p>
    <w:p w:rsidR="002B4968" w:rsidRDefault="002B4968" w:rsidP="002B4968">
      <w:pPr>
        <w:ind w:firstLine="720"/>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3206750" cy="318198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06750" cy="3181985"/>
                    </a:xfrm>
                    <a:prstGeom prst="rect">
                      <a:avLst/>
                    </a:prstGeom>
                    <a:noFill/>
                    <a:ln w="9525">
                      <a:noFill/>
                      <a:miter lim="800000"/>
                      <a:headEnd/>
                      <a:tailEnd/>
                    </a:ln>
                  </pic:spPr>
                </pic:pic>
              </a:graphicData>
            </a:graphic>
          </wp:inline>
        </w:drawing>
      </w:r>
    </w:p>
    <w:p w:rsidR="002B4968" w:rsidRPr="002B4968" w:rsidRDefault="002B4968" w:rsidP="002B4968">
      <w:pPr>
        <w:pStyle w:val="Caption"/>
        <w:jc w:val="center"/>
        <w:rPr>
          <w:i/>
        </w:rPr>
      </w:pPr>
      <w:r w:rsidRPr="002B4968">
        <w:rPr>
          <w:i/>
        </w:rPr>
        <w:t xml:space="preserve">Fig.2. </w:t>
      </w:r>
      <w:r>
        <w:rPr>
          <w:i/>
        </w:rPr>
        <w:t xml:space="preserve">MCNP model of </w:t>
      </w:r>
      <w:r w:rsidR="00E108A5">
        <w:rPr>
          <w:i/>
        </w:rPr>
        <w:t>t</w:t>
      </w:r>
      <w:r w:rsidRPr="002B4968">
        <w:rPr>
          <w:i/>
        </w:rPr>
        <w:t>he reference PWR fuel assembly.</w:t>
      </w:r>
    </w:p>
    <w:p w:rsidR="002B4968" w:rsidRDefault="002B4968" w:rsidP="002B4968">
      <w:pPr>
        <w:ind w:firstLine="720"/>
        <w:jc w:val="both"/>
        <w:rPr>
          <w:rFonts w:asciiTheme="majorBidi" w:hAnsiTheme="majorBidi" w:cstheme="majorBidi"/>
          <w:sz w:val="24"/>
          <w:szCs w:val="24"/>
        </w:rPr>
      </w:pPr>
    </w:p>
    <w:p w:rsidR="002B4968" w:rsidRDefault="002B4968" w:rsidP="002B4968">
      <w:pPr>
        <w:ind w:firstLine="720"/>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extent cx="3071879" cy="279471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70797" cy="2793731"/>
                    </a:xfrm>
                    <a:prstGeom prst="rect">
                      <a:avLst/>
                    </a:prstGeom>
                    <a:noFill/>
                    <a:ln w="9525">
                      <a:noFill/>
                      <a:miter lim="800000"/>
                      <a:headEnd/>
                      <a:tailEnd/>
                    </a:ln>
                  </pic:spPr>
                </pic:pic>
              </a:graphicData>
            </a:graphic>
          </wp:inline>
        </w:drawing>
      </w:r>
    </w:p>
    <w:p w:rsidR="002B4968" w:rsidRPr="002B4968" w:rsidRDefault="002B4968" w:rsidP="002B4968">
      <w:pPr>
        <w:pStyle w:val="Caption"/>
        <w:jc w:val="center"/>
        <w:rPr>
          <w:i/>
        </w:rPr>
      </w:pPr>
      <w:r w:rsidRPr="002B4968">
        <w:rPr>
          <w:i/>
        </w:rPr>
        <w:t xml:space="preserve">Fig. 3. </w:t>
      </w:r>
      <w:r>
        <w:rPr>
          <w:i/>
        </w:rPr>
        <w:t xml:space="preserve">MCNP model of </w:t>
      </w:r>
      <w:r w:rsidRPr="002B4968">
        <w:rPr>
          <w:i/>
        </w:rPr>
        <w:t>CANDU-6 lattice cell.</w:t>
      </w:r>
    </w:p>
    <w:p w:rsidR="002B4968" w:rsidRPr="002B4968" w:rsidRDefault="002B4968" w:rsidP="002B4968">
      <w:pPr>
        <w:pStyle w:val="BodyText"/>
      </w:pPr>
    </w:p>
    <w:p w:rsidR="00EE0041" w:rsidRDefault="00706995" w:rsidP="0026525A">
      <w:pPr>
        <w:pStyle w:val="Heading2"/>
        <w:numPr>
          <w:ilvl w:val="1"/>
          <w:numId w:val="10"/>
        </w:numPr>
      </w:pPr>
      <w:r>
        <w:t>results and discussions</w:t>
      </w:r>
    </w:p>
    <w:p w:rsidR="00706995" w:rsidRDefault="00706995" w:rsidP="001C6015">
      <w:pPr>
        <w:pStyle w:val="BodyText"/>
      </w:pPr>
      <w:r w:rsidRPr="00706995">
        <w:t xml:space="preserve">Considering a 3% leakage effect in PWRs, the single batch discharge burnup can be calculated where the infinite medium eigenvalue, </w:t>
      </w:r>
      <w:r w:rsidR="001C6015" w:rsidRPr="001C6015">
        <w:rPr>
          <w:rFonts w:asciiTheme="majorBidi" w:hAnsiTheme="majorBidi" w:cstheme="majorBidi"/>
          <w:i/>
          <w:iCs/>
        </w:rPr>
        <w:t>k</w:t>
      </w:r>
      <w:r w:rsidR="001C6015" w:rsidRPr="00FD4A66">
        <w:rPr>
          <w:rFonts w:asciiTheme="majorBidi" w:hAnsiTheme="majorBidi" w:cstheme="majorBidi"/>
          <w:i/>
          <w:iCs/>
          <w:sz w:val="24"/>
          <w:szCs w:val="24"/>
          <w:vertAlign w:val="subscript"/>
        </w:rPr>
        <w:t>∞</w:t>
      </w:r>
      <w:r w:rsidRPr="00706995">
        <w:t xml:space="preserve"> decreases to 1.03. For </w:t>
      </w:r>
      <w:r>
        <w:t xml:space="preserve">three-batch core and </w:t>
      </w:r>
      <w:r w:rsidRPr="00706995">
        <w:t>450 Effective Full Power Days (EFPD) cor</w:t>
      </w:r>
      <w:r>
        <w:t>e</w:t>
      </w:r>
      <w:r w:rsidRPr="00706995">
        <w:t xml:space="preserve"> cycle length, each </w:t>
      </w:r>
      <w:r w:rsidR="001C6015">
        <w:t xml:space="preserve">fuel </w:t>
      </w:r>
      <w:r w:rsidRPr="00706995">
        <w:t xml:space="preserve">batch spends 1350 EFPD in the reactor with average discharge burnup of 51.7 MWd/kgU. </w:t>
      </w:r>
    </w:p>
    <w:p w:rsidR="00A43B5C" w:rsidRDefault="00A43B5C" w:rsidP="001C6015">
      <w:pPr>
        <w:pStyle w:val="BodyText"/>
      </w:pPr>
      <w:r w:rsidRPr="00A43B5C">
        <w:t>The fuel enrichment in the reference PWR assembly is 4.5 w/o U-235 and for the proposed assembly it is 4.7 w/o U-235 in the rods inside the zircaloy-4 tubes and 3.4 w/o enriched UO</w:t>
      </w:r>
      <w:r w:rsidR="00E108A5">
        <w:rPr>
          <w:vertAlign w:val="subscript"/>
        </w:rPr>
        <w:t>2</w:t>
      </w:r>
      <w:r w:rsidRPr="00A43B5C">
        <w:t xml:space="preserve"> rods in the spaces between the tubes </w:t>
      </w:r>
      <w:r w:rsidR="001C6015">
        <w:t>and therefore the average enrichment is</w:t>
      </w:r>
      <w:r w:rsidRPr="00A43B5C">
        <w:t xml:space="preserve"> 4.5 w/o U-235 in the wh</w:t>
      </w:r>
      <w:r w:rsidR="00E108A5">
        <w:t xml:space="preserve">ole </w:t>
      </w:r>
      <w:r w:rsidR="001C6015">
        <w:t>fuel</w:t>
      </w:r>
      <w:r w:rsidRPr="00A43B5C">
        <w:t xml:space="preserve">. In the reference fuel assembly, it is assumed that the </w:t>
      </w:r>
      <w:r>
        <w:t>IFBA</w:t>
      </w:r>
      <w:r w:rsidRPr="00A43B5C">
        <w:t xml:space="preserve"> is applied on the all rods with concentration of 0.31 mgB-10/cm while in the pr</w:t>
      </w:r>
      <w:r w:rsidR="001C6015">
        <w:t>oposed assembly it is applied on</w:t>
      </w:r>
      <w:r w:rsidRPr="00A43B5C">
        <w:t xml:space="preserve"> the outer rings of the CANDU bundles inside the zircaloy-4 tubes with concentration of 0.62 mgB-10/cm Fig. 4 shows the depletion history (</w:t>
      </w:r>
      <w:r w:rsidR="001C6015" w:rsidRPr="001C6015">
        <w:rPr>
          <w:rFonts w:asciiTheme="majorBidi" w:hAnsiTheme="majorBidi" w:cstheme="majorBidi"/>
          <w:i/>
          <w:iCs/>
        </w:rPr>
        <w:t>k</w:t>
      </w:r>
      <w:r w:rsidR="001C6015" w:rsidRPr="00FD4A66">
        <w:rPr>
          <w:rFonts w:asciiTheme="majorBidi" w:hAnsiTheme="majorBidi" w:cstheme="majorBidi"/>
          <w:i/>
          <w:iCs/>
          <w:sz w:val="24"/>
          <w:szCs w:val="24"/>
          <w:vertAlign w:val="subscript"/>
        </w:rPr>
        <w:t>∞</w:t>
      </w:r>
      <w:r w:rsidRPr="00A43B5C">
        <w:t xml:space="preserve"> vs. EFPD) for the reference and proposed </w:t>
      </w:r>
      <w:r>
        <w:t xml:space="preserve">fuel </w:t>
      </w:r>
      <w:r w:rsidRPr="00A43B5C">
        <w:t>assemblies. While the reference assembly discharges the fuel with burnup of 51.7 MWd/kgU, the proposed assembly will discharge the fuel with burnup of 42.8 MWd/kgU (see Table 2). This is because the amount of UO</w:t>
      </w:r>
      <w:r w:rsidR="00E108A5">
        <w:rPr>
          <w:vertAlign w:val="subscript"/>
        </w:rPr>
        <w:t>2</w:t>
      </w:r>
      <w:r w:rsidRPr="00A43B5C">
        <w:t xml:space="preserve"> fuel in the proposed assembly is increased.</w:t>
      </w:r>
    </w:p>
    <w:p w:rsidR="00E108A5" w:rsidRDefault="00E108A5" w:rsidP="00A43B5C">
      <w:pPr>
        <w:pStyle w:val="BodyText"/>
      </w:pPr>
    </w:p>
    <w:p w:rsidR="00E108A5" w:rsidRDefault="00E108A5" w:rsidP="00E108A5">
      <w:pPr>
        <w:jc w:val="both"/>
        <w:rPr>
          <w:rFonts w:asciiTheme="majorBidi" w:hAnsiTheme="majorBidi" w:cstheme="majorBidi"/>
          <w:sz w:val="24"/>
          <w:szCs w:val="24"/>
        </w:rPr>
      </w:pPr>
    </w:p>
    <w:p w:rsidR="00E108A5" w:rsidRDefault="00E108A5" w:rsidP="00E108A5">
      <w:pPr>
        <w:jc w:val="center"/>
        <w:rPr>
          <w:rFonts w:asciiTheme="majorBidi" w:hAnsiTheme="majorBidi" w:cstheme="majorBidi"/>
          <w:sz w:val="24"/>
          <w:szCs w:val="24"/>
        </w:rPr>
      </w:pPr>
      <w:r w:rsidRPr="00837DEC">
        <w:rPr>
          <w:rFonts w:asciiTheme="majorBidi" w:hAnsiTheme="majorBidi" w:cstheme="majorBidi"/>
          <w:noProof/>
          <w:sz w:val="24"/>
          <w:szCs w:val="24"/>
          <w:lang w:val="en-US"/>
        </w:rPr>
        <w:drawing>
          <wp:inline distT="0" distB="0" distL="0" distR="0">
            <wp:extent cx="4572000" cy="2408349"/>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08A5" w:rsidRPr="00E108A5" w:rsidRDefault="00E108A5" w:rsidP="00E108A5">
      <w:pPr>
        <w:pStyle w:val="Caption"/>
        <w:jc w:val="center"/>
        <w:rPr>
          <w:i/>
        </w:rPr>
      </w:pPr>
      <w:r w:rsidRPr="00E108A5">
        <w:rPr>
          <w:i/>
        </w:rPr>
        <w:t>Fig. 4. Depletion history of the reference and proposed PWR assemblies.</w:t>
      </w:r>
    </w:p>
    <w:p w:rsidR="00A43B5C" w:rsidRPr="00A43B5C" w:rsidRDefault="00E108A5" w:rsidP="00A43B5C">
      <w:pPr>
        <w:pStyle w:val="BodyText"/>
        <w:ind w:firstLine="0"/>
      </w:pPr>
      <w:r w:rsidRPr="00A43B5C">
        <w:lastRenderedPageBreak/>
        <w:t>TABLE 2. CALCULATION RESULTS.</w:t>
      </w:r>
    </w:p>
    <w:p w:rsidR="00A43B5C" w:rsidRPr="00FD4A66" w:rsidRDefault="00A43B5C" w:rsidP="00A43B5C">
      <w:pPr>
        <w:jc w:val="both"/>
        <w:rPr>
          <w:rFonts w:asciiTheme="majorBidi" w:hAnsiTheme="majorBidi" w:cstheme="majorBidi"/>
          <w:sz w:val="24"/>
          <w:szCs w:val="24"/>
        </w:rPr>
      </w:pPr>
    </w:p>
    <w:tbl>
      <w:tblPr>
        <w:tblStyle w:val="TableGrid"/>
        <w:tblW w:w="9025" w:type="dxa"/>
        <w:jc w:val="center"/>
        <w:tblBorders>
          <w:left w:val="none" w:sz="0" w:space="0" w:color="auto"/>
          <w:right w:val="none" w:sz="0" w:space="0" w:color="auto"/>
          <w:insideV w:val="none" w:sz="0" w:space="0" w:color="auto"/>
        </w:tblBorders>
        <w:tblLook w:val="04A0"/>
      </w:tblPr>
      <w:tblGrid>
        <w:gridCol w:w="1924"/>
        <w:gridCol w:w="1478"/>
        <w:gridCol w:w="85"/>
        <w:gridCol w:w="1682"/>
        <w:gridCol w:w="1961"/>
        <w:gridCol w:w="1895"/>
      </w:tblGrid>
      <w:tr w:rsidR="00A43B5C" w:rsidRPr="00E108A5" w:rsidTr="001A62BF">
        <w:trPr>
          <w:jc w:val="center"/>
        </w:trPr>
        <w:tc>
          <w:tcPr>
            <w:tcW w:w="1924" w:type="dxa"/>
            <w:vMerge w:val="restart"/>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Data</w:t>
            </w:r>
          </w:p>
        </w:tc>
        <w:tc>
          <w:tcPr>
            <w:tcW w:w="3245" w:type="dxa"/>
            <w:gridSpan w:val="3"/>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Reference  Cases</w:t>
            </w:r>
          </w:p>
        </w:tc>
        <w:tc>
          <w:tcPr>
            <w:tcW w:w="3856"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Studied case</w:t>
            </w:r>
          </w:p>
        </w:tc>
      </w:tr>
      <w:tr w:rsidR="00A43B5C" w:rsidRPr="00E108A5" w:rsidTr="001A62BF">
        <w:trPr>
          <w:jc w:val="center"/>
        </w:trPr>
        <w:tc>
          <w:tcPr>
            <w:tcW w:w="1924" w:type="dxa"/>
            <w:vMerge/>
            <w:vAlign w:val="center"/>
          </w:tcPr>
          <w:p w:rsidR="00A43B5C" w:rsidRPr="00E108A5" w:rsidRDefault="00A43B5C" w:rsidP="001A62BF">
            <w:pPr>
              <w:jc w:val="center"/>
              <w:rPr>
                <w:rFonts w:asciiTheme="majorBidi" w:hAnsiTheme="majorBidi" w:cstheme="majorBidi"/>
                <w:sz w:val="20"/>
              </w:rPr>
            </w:pPr>
          </w:p>
        </w:tc>
        <w:tc>
          <w:tcPr>
            <w:tcW w:w="1478"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PWR</w:t>
            </w:r>
            <w:r w:rsidR="00D059B3">
              <w:rPr>
                <w:rFonts w:asciiTheme="majorBidi" w:hAnsiTheme="majorBidi" w:cstheme="majorBidi"/>
                <w:sz w:val="20"/>
              </w:rPr>
              <w:t xml:space="preserve"> fuel</w:t>
            </w:r>
            <w:r w:rsidRPr="00E108A5">
              <w:rPr>
                <w:rFonts w:asciiTheme="majorBidi" w:hAnsiTheme="majorBidi" w:cstheme="majorBidi"/>
                <w:sz w:val="20"/>
              </w:rPr>
              <w:t xml:space="preserve"> assembly</w:t>
            </w:r>
          </w:p>
        </w:tc>
        <w:tc>
          <w:tcPr>
            <w:tcW w:w="1767"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 xml:space="preserve">CANDU-6 </w:t>
            </w:r>
            <w:r w:rsidR="00D059B3">
              <w:rPr>
                <w:rFonts w:asciiTheme="majorBidi" w:hAnsiTheme="majorBidi" w:cstheme="majorBidi"/>
                <w:sz w:val="20"/>
              </w:rPr>
              <w:t xml:space="preserve">fuel </w:t>
            </w:r>
            <w:r w:rsidRPr="00E108A5">
              <w:rPr>
                <w:rFonts w:asciiTheme="majorBidi" w:hAnsiTheme="majorBidi" w:cstheme="majorBidi"/>
                <w:sz w:val="20"/>
              </w:rPr>
              <w:t>bundle</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 xml:space="preserve">Proposed PWR </w:t>
            </w:r>
            <w:r w:rsidR="00D059B3">
              <w:rPr>
                <w:rFonts w:asciiTheme="majorBidi" w:hAnsiTheme="majorBidi" w:cstheme="majorBidi"/>
                <w:sz w:val="20"/>
              </w:rPr>
              <w:t xml:space="preserve">fuel </w:t>
            </w:r>
            <w:r w:rsidRPr="00E108A5">
              <w:rPr>
                <w:rFonts w:asciiTheme="majorBidi" w:hAnsiTheme="majorBidi" w:cstheme="majorBidi"/>
                <w:sz w:val="20"/>
              </w:rPr>
              <w:t>assembly</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RPSFB</w:t>
            </w: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Enrichment</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4.5w/o 235U.</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0.71w/o 235U.</w:t>
            </w:r>
          </w:p>
        </w:tc>
        <w:tc>
          <w:tcPr>
            <w:tcW w:w="1961" w:type="dxa"/>
            <w:vAlign w:val="center"/>
          </w:tcPr>
          <w:p w:rsidR="00A43B5C" w:rsidRPr="00E108A5" w:rsidRDefault="001C6015" w:rsidP="001A62BF">
            <w:pPr>
              <w:jc w:val="center"/>
              <w:rPr>
                <w:rFonts w:asciiTheme="majorBidi" w:hAnsiTheme="majorBidi" w:cstheme="majorBidi"/>
                <w:sz w:val="20"/>
              </w:rPr>
            </w:pPr>
            <w:r>
              <w:rPr>
                <w:rFonts w:asciiTheme="majorBidi" w:hAnsiTheme="majorBidi" w:cstheme="majorBidi"/>
                <w:sz w:val="20"/>
              </w:rPr>
              <w:t xml:space="preserve">4.5w/o </w:t>
            </w:r>
            <w:r>
              <w:rPr>
                <w:rFonts w:asciiTheme="majorBidi" w:hAnsiTheme="majorBidi" w:cstheme="majorBidi"/>
                <w:sz w:val="20"/>
                <w:vertAlign w:val="superscript"/>
              </w:rPr>
              <w:t>235</w:t>
            </w:r>
            <w:r>
              <w:rPr>
                <w:rFonts w:asciiTheme="majorBidi" w:hAnsiTheme="majorBidi" w:cstheme="majorBidi"/>
                <w:sz w:val="20"/>
              </w:rPr>
              <w:t xml:space="preserve">U in the bundles and 3.4 w/o </w:t>
            </w:r>
            <w:r>
              <w:rPr>
                <w:rFonts w:asciiTheme="majorBidi" w:hAnsiTheme="majorBidi" w:cstheme="majorBidi"/>
                <w:sz w:val="20"/>
                <w:vertAlign w:val="superscript"/>
              </w:rPr>
              <w:t>235</w:t>
            </w:r>
            <w:r>
              <w:rPr>
                <w:rFonts w:asciiTheme="majorBidi" w:hAnsiTheme="majorBidi" w:cstheme="majorBidi"/>
                <w:sz w:val="20"/>
              </w:rPr>
              <w:t>U</w:t>
            </w:r>
            <w:r w:rsidR="00A43B5C" w:rsidRPr="00E108A5">
              <w:rPr>
                <w:rFonts w:asciiTheme="majorBidi" w:hAnsiTheme="majorBidi" w:cstheme="majorBidi"/>
                <w:sz w:val="20"/>
              </w:rPr>
              <w:t xml:space="preserve"> in the rods between the bundles.</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Spent PWR fuel of the proposed design.</w:t>
            </w: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Burnable poisons</w:t>
            </w:r>
          </w:p>
        </w:tc>
        <w:tc>
          <w:tcPr>
            <w:tcW w:w="1563" w:type="dxa"/>
            <w:gridSpan w:val="2"/>
            <w:vAlign w:val="center"/>
          </w:tcPr>
          <w:p w:rsidR="00A43B5C" w:rsidRPr="00E108A5" w:rsidRDefault="001C6015" w:rsidP="001A62BF">
            <w:pPr>
              <w:jc w:val="center"/>
              <w:rPr>
                <w:rFonts w:asciiTheme="majorBidi" w:hAnsiTheme="majorBidi" w:cstheme="majorBidi"/>
                <w:sz w:val="20"/>
              </w:rPr>
            </w:pPr>
            <w:r>
              <w:rPr>
                <w:rFonts w:asciiTheme="majorBidi" w:hAnsiTheme="majorBidi" w:cstheme="majorBidi"/>
                <w:sz w:val="20"/>
              </w:rPr>
              <w:t>0.31</w:t>
            </w:r>
            <w:r w:rsidR="00A43B5C" w:rsidRPr="00E108A5">
              <w:rPr>
                <w:rFonts w:asciiTheme="majorBidi" w:hAnsiTheme="majorBidi" w:cstheme="majorBidi"/>
                <w:sz w:val="20"/>
              </w:rPr>
              <w:t xml:space="preserve"> mgB</w:t>
            </w:r>
            <w:r w:rsidR="00A43B5C" w:rsidRPr="00E108A5">
              <w:rPr>
                <w:rFonts w:asciiTheme="majorBidi" w:hAnsiTheme="majorBidi" w:cstheme="majorBidi"/>
                <w:sz w:val="20"/>
                <w:vertAlign w:val="superscript"/>
              </w:rPr>
              <w:t>10</w:t>
            </w:r>
            <w:r w:rsidR="00A43B5C" w:rsidRPr="00E108A5">
              <w:rPr>
                <w:rFonts w:asciiTheme="majorBidi" w:hAnsiTheme="majorBidi" w:cstheme="majorBidi"/>
                <w:sz w:val="20"/>
              </w:rPr>
              <w:t>/cm IFBA applied on all rods</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Poisons free</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0.62 mgB</w:t>
            </w:r>
            <w:r w:rsidRPr="00E108A5">
              <w:rPr>
                <w:rFonts w:asciiTheme="majorBidi" w:hAnsiTheme="majorBidi" w:cstheme="majorBidi"/>
                <w:sz w:val="20"/>
                <w:vertAlign w:val="superscript"/>
              </w:rPr>
              <w:t>10</w:t>
            </w:r>
            <w:r w:rsidRPr="00E108A5">
              <w:rPr>
                <w:rFonts w:asciiTheme="majorBidi" w:hAnsiTheme="majorBidi" w:cstheme="majorBidi"/>
                <w:sz w:val="20"/>
              </w:rPr>
              <w:t xml:space="preserve">/cm IFBA applied on </w:t>
            </w:r>
            <w:r w:rsidR="001C6015">
              <w:rPr>
                <w:rFonts w:asciiTheme="majorBidi" w:hAnsiTheme="majorBidi" w:cstheme="majorBidi"/>
                <w:sz w:val="20"/>
              </w:rPr>
              <w:t xml:space="preserve">the </w:t>
            </w:r>
            <w:r w:rsidRPr="00E108A5">
              <w:rPr>
                <w:rFonts w:asciiTheme="majorBidi" w:hAnsiTheme="majorBidi" w:cstheme="majorBidi"/>
                <w:sz w:val="20"/>
              </w:rPr>
              <w:t>elements in the outer ring.</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Residual of the IFBA</w:t>
            </w: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Power per assembly/channel</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17.67 MW</w:t>
            </w:r>
            <w:r w:rsidR="00910042">
              <w:rPr>
                <w:rFonts w:asciiTheme="majorBidi" w:hAnsiTheme="majorBidi" w:cstheme="majorBidi"/>
                <w:sz w:val="20"/>
              </w:rPr>
              <w:t>th</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5.3 MW</w:t>
            </w:r>
            <w:r w:rsidR="00910042">
              <w:rPr>
                <w:rFonts w:asciiTheme="majorBidi" w:hAnsiTheme="majorBidi" w:cstheme="majorBidi"/>
                <w:sz w:val="20"/>
              </w:rPr>
              <w:t>th</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17.32 MW</w:t>
            </w:r>
            <w:r w:rsidR="00910042">
              <w:rPr>
                <w:rFonts w:asciiTheme="majorBidi" w:hAnsiTheme="majorBidi" w:cstheme="majorBidi"/>
                <w:sz w:val="20"/>
              </w:rPr>
              <w:t>th</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5.3 MW</w:t>
            </w:r>
            <w:r w:rsidR="00910042">
              <w:rPr>
                <w:rFonts w:asciiTheme="majorBidi" w:hAnsiTheme="majorBidi" w:cstheme="majorBidi"/>
                <w:sz w:val="20"/>
              </w:rPr>
              <w:t>th</w:t>
            </w: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Average burnup (MWd/kg U)</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51.7</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7.5</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42</w:t>
            </w:r>
            <w:r w:rsidR="00910042">
              <w:rPr>
                <w:rFonts w:asciiTheme="majorBidi" w:hAnsiTheme="majorBidi" w:cstheme="majorBidi"/>
                <w:sz w:val="20"/>
              </w:rPr>
              <w:t>.8</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30</w:t>
            </w:r>
          </w:p>
          <w:p w:rsidR="00A43B5C" w:rsidRPr="00E108A5" w:rsidRDefault="00A43B5C" w:rsidP="001A62BF">
            <w:pPr>
              <w:jc w:val="center"/>
              <w:rPr>
                <w:rFonts w:asciiTheme="majorBidi" w:hAnsiTheme="majorBidi" w:cstheme="majorBidi"/>
                <w:sz w:val="20"/>
              </w:rPr>
            </w:pP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EFPD</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1350</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330</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1350</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1020</w:t>
            </w:r>
          </w:p>
        </w:tc>
      </w:tr>
      <w:tr w:rsidR="00A43B5C" w:rsidRPr="00E108A5" w:rsidTr="001A62BF">
        <w:trPr>
          <w:jc w:val="center"/>
        </w:trPr>
        <w:tc>
          <w:tcPr>
            <w:tcW w:w="1924"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Fissile materials at discharge (g/kg U)</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235U:  8.4</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239Pu: 6.22</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241Pu:1.8</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235U:  2.16</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239Pu: 2.52</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241Pu:0.21</w:t>
            </w:r>
          </w:p>
        </w:tc>
        <w:tc>
          <w:tcPr>
            <w:tcW w:w="1961"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235U:  13</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239Pu: 7.3</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241Pu:1.7</w:t>
            </w:r>
          </w:p>
        </w:tc>
        <w:tc>
          <w:tcPr>
            <w:tcW w:w="1895"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235U:  1.8</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239Pu: 2.9</w:t>
            </w:r>
          </w:p>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241Pu:0.95</w:t>
            </w:r>
          </w:p>
        </w:tc>
      </w:tr>
      <w:tr w:rsidR="00A43B5C" w:rsidRPr="00E108A5" w:rsidTr="001A62BF">
        <w:trPr>
          <w:jc w:val="center"/>
        </w:trPr>
        <w:tc>
          <w:tcPr>
            <w:tcW w:w="1924" w:type="dxa"/>
            <w:vAlign w:val="center"/>
          </w:tcPr>
          <w:p w:rsidR="00A43B5C" w:rsidRPr="00E108A5" w:rsidRDefault="00910042" w:rsidP="001A62BF">
            <w:pPr>
              <w:jc w:val="center"/>
              <w:rPr>
                <w:rFonts w:asciiTheme="majorBidi" w:hAnsiTheme="majorBidi" w:cstheme="majorBidi"/>
                <w:sz w:val="20"/>
              </w:rPr>
            </w:pPr>
            <w:r>
              <w:rPr>
                <w:rFonts w:asciiTheme="majorBidi" w:hAnsiTheme="majorBidi" w:cstheme="majorBidi"/>
                <w:sz w:val="20"/>
              </w:rPr>
              <w:t>Average</w:t>
            </w:r>
            <w:r>
              <w:rPr>
                <w:rFonts w:asciiTheme="majorBidi" w:hAnsiTheme="majorBidi" w:cstheme="majorBidi"/>
                <w:sz w:val="20"/>
                <w:vertAlign w:val="superscript"/>
              </w:rPr>
              <w:t xml:space="preserve">139, </w:t>
            </w:r>
            <w:r w:rsidR="00A43B5C" w:rsidRPr="00910042">
              <w:rPr>
                <w:rFonts w:asciiTheme="majorBidi" w:hAnsiTheme="majorBidi" w:cstheme="majorBidi"/>
                <w:sz w:val="20"/>
                <w:vertAlign w:val="superscript"/>
              </w:rPr>
              <w:t>241Pu</w:t>
            </w:r>
            <w:r w:rsidR="00A43B5C" w:rsidRPr="00E108A5">
              <w:rPr>
                <w:rFonts w:asciiTheme="majorBidi" w:hAnsiTheme="majorBidi" w:cstheme="majorBidi"/>
                <w:sz w:val="20"/>
              </w:rPr>
              <w:t xml:space="preserve"> produced per MWd (g/MWd)</w:t>
            </w:r>
          </w:p>
        </w:tc>
        <w:tc>
          <w:tcPr>
            <w:tcW w:w="1563"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0.155</w:t>
            </w:r>
          </w:p>
        </w:tc>
        <w:tc>
          <w:tcPr>
            <w:tcW w:w="1682" w:type="dxa"/>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0.364</w:t>
            </w:r>
          </w:p>
        </w:tc>
        <w:tc>
          <w:tcPr>
            <w:tcW w:w="3856" w:type="dxa"/>
            <w:gridSpan w:val="2"/>
            <w:vAlign w:val="center"/>
          </w:tcPr>
          <w:p w:rsidR="00A43B5C" w:rsidRPr="00E108A5" w:rsidRDefault="00A43B5C" w:rsidP="001A62BF">
            <w:pPr>
              <w:jc w:val="center"/>
              <w:rPr>
                <w:rFonts w:asciiTheme="majorBidi" w:hAnsiTheme="majorBidi" w:cstheme="majorBidi"/>
                <w:sz w:val="20"/>
              </w:rPr>
            </w:pPr>
            <w:r w:rsidRPr="00E108A5">
              <w:rPr>
                <w:rFonts w:asciiTheme="majorBidi" w:hAnsiTheme="majorBidi" w:cstheme="majorBidi"/>
                <w:sz w:val="20"/>
              </w:rPr>
              <w:t>0.055</w:t>
            </w:r>
          </w:p>
        </w:tc>
      </w:tr>
    </w:tbl>
    <w:p w:rsidR="00A43B5C" w:rsidRDefault="00A43B5C" w:rsidP="00A43B5C">
      <w:pPr>
        <w:jc w:val="both"/>
        <w:rPr>
          <w:rFonts w:asciiTheme="majorBidi" w:hAnsiTheme="majorBidi" w:cstheme="majorBidi"/>
          <w:sz w:val="24"/>
          <w:szCs w:val="24"/>
        </w:rPr>
      </w:pPr>
    </w:p>
    <w:p w:rsidR="00EE0862" w:rsidRDefault="00EE0862" w:rsidP="00A43B5C">
      <w:pPr>
        <w:jc w:val="both"/>
        <w:rPr>
          <w:rFonts w:asciiTheme="majorBidi" w:hAnsiTheme="majorBidi" w:cstheme="majorBidi"/>
          <w:sz w:val="24"/>
          <w:szCs w:val="24"/>
        </w:rPr>
      </w:pPr>
    </w:p>
    <w:p w:rsidR="00E108A5" w:rsidRPr="00E108A5" w:rsidRDefault="00E108A5" w:rsidP="00E108A5">
      <w:pPr>
        <w:ind w:firstLine="720"/>
        <w:jc w:val="both"/>
        <w:rPr>
          <w:sz w:val="20"/>
        </w:rPr>
      </w:pPr>
      <w:r w:rsidRPr="00E108A5">
        <w:rPr>
          <w:sz w:val="20"/>
        </w:rPr>
        <w:t xml:space="preserve">The fuel inventory (averaged on the 61-elemnt bundle) from the proposed PWR assembly after 1350 EFPDs followed by 90 days cooling time is simulated in the CANDU-6 pressure channel. Fig. 5 shows the depletion histories (reactivity vs. burnup)) for the reference CANDU-6 fuel bundle and the Recycled PWR Spent Fuel Bundles (RPSFB). Since CANDU-6 is </w:t>
      </w:r>
      <w:r w:rsidR="00D25BA4" w:rsidRPr="00E108A5">
        <w:rPr>
          <w:sz w:val="20"/>
        </w:rPr>
        <w:t>fuelled</w:t>
      </w:r>
      <w:r w:rsidRPr="00E108A5">
        <w:rPr>
          <w:sz w:val="20"/>
        </w:rPr>
        <w:t xml:space="preserve"> on-power, the equilibrium CANDU core </w:t>
      </w:r>
      <w:r w:rsidR="00D25BA4">
        <w:rPr>
          <w:sz w:val="20"/>
        </w:rPr>
        <w:t xml:space="preserve">contains </w:t>
      </w:r>
      <w:r w:rsidR="00D059B3">
        <w:rPr>
          <w:sz w:val="20"/>
        </w:rPr>
        <w:t xml:space="preserve">fuel with </w:t>
      </w:r>
      <w:r w:rsidRPr="00E108A5">
        <w:rPr>
          <w:sz w:val="20"/>
        </w:rPr>
        <w:t>burnups from fresh to exit-burnup. Therefore, the infinite medium reactivity,</w:t>
      </w:r>
      <w:r w:rsidRPr="00E108A5">
        <w:rPr>
          <w:rFonts w:asciiTheme="majorBidi" w:hAnsiTheme="majorBidi" w:cstheme="majorBidi"/>
          <w:sz w:val="24"/>
          <w:szCs w:val="24"/>
        </w:rPr>
        <w:t xml:space="preserve"> </w:t>
      </w:r>
      <w:r w:rsidRPr="00E108A5">
        <w:rPr>
          <w:rFonts w:asciiTheme="majorBidi" w:hAnsiTheme="majorBidi" w:cstheme="majorBidi"/>
          <w:i/>
          <w:iCs/>
          <w:sz w:val="24"/>
          <w:szCs w:val="24"/>
        </w:rPr>
        <w:t>ρ</w:t>
      </w:r>
      <w:r w:rsidRPr="00E108A5">
        <w:rPr>
          <w:rFonts w:asciiTheme="majorBidi" w:hAnsiTheme="majorBidi" w:cstheme="majorBidi"/>
          <w:i/>
          <w:iCs/>
          <w:sz w:val="24"/>
          <w:szCs w:val="24"/>
          <w:vertAlign w:val="subscript"/>
        </w:rPr>
        <w:t>∞</w:t>
      </w:r>
      <w:r w:rsidRPr="00E108A5">
        <w:rPr>
          <w:rFonts w:asciiTheme="majorBidi" w:hAnsiTheme="majorBidi" w:cstheme="majorBidi"/>
          <w:sz w:val="24"/>
          <w:szCs w:val="24"/>
        </w:rPr>
        <w:t xml:space="preserve"> </w:t>
      </w:r>
      <w:r w:rsidRPr="00E108A5">
        <w:rPr>
          <w:sz w:val="20"/>
        </w:rPr>
        <w:t>can be calculated from the following Eq.:</w:t>
      </w:r>
    </w:p>
    <w:p w:rsidR="00E108A5" w:rsidRPr="00A43B5C" w:rsidRDefault="00E108A5" w:rsidP="00A43B5C">
      <w:pPr>
        <w:pStyle w:val="BodyText"/>
      </w:pPr>
    </w:p>
    <w:p w:rsidR="00706995" w:rsidRDefault="000969CD" w:rsidP="00537496">
      <w:pPr>
        <w:pStyle w:val="BodyText"/>
        <w:rPr>
          <w:rFonts w:asciiTheme="majorBidi" w:hAnsiTheme="majorBidi" w:cstheme="majorBidi"/>
          <w:i/>
          <w:iCs/>
          <w:lang w:val="en-US"/>
        </w:rPr>
      </w:pPr>
      <m:oMathPara>
        <m:oMath>
          <m:sSub>
            <m:sSubPr>
              <m:ctrlPr>
                <w:rPr>
                  <w:rFonts w:ascii="Cambria Math" w:eastAsiaTheme="minorHAnsi" w:hAnsiTheme="majorBidi" w:cstheme="majorBidi"/>
                  <w:i/>
                  <w:iCs/>
                  <w:lang w:val="en-US"/>
                </w:rPr>
              </m:ctrlPr>
            </m:sSubPr>
            <m:e>
              <m:r>
                <w:rPr>
                  <w:rFonts w:ascii="Cambria Math" w:eastAsiaTheme="minorHAnsi" w:hAnsiTheme="majorBidi" w:cstheme="majorBidi"/>
                  <w:lang w:val="en-US"/>
                </w:rPr>
                <m:t>ρ</m:t>
              </m:r>
            </m:e>
            <m:sub>
              <m:r>
                <w:rPr>
                  <w:rFonts w:ascii="Cambria Math" w:eastAsiaTheme="minorHAnsi" w:hAnsiTheme="majorBidi" w:cstheme="majorBidi"/>
                  <w:lang w:val="en-US"/>
                </w:rPr>
                <m:t>∞</m:t>
              </m:r>
            </m:sub>
          </m:sSub>
          <m:r>
            <w:rPr>
              <w:rFonts w:ascii="Cambria Math" w:eastAsiaTheme="minorHAnsi" w:hAnsiTheme="majorBidi" w:cstheme="majorBidi"/>
              <w:lang w:val="en-US"/>
            </w:rPr>
            <m:t>=</m:t>
          </m:r>
          <m:f>
            <m:fPr>
              <m:ctrlPr>
                <w:rPr>
                  <w:rFonts w:ascii="Cambria Math" w:eastAsiaTheme="minorHAnsi" w:hAnsiTheme="majorBidi" w:cstheme="majorBidi"/>
                  <w:i/>
                  <w:iCs/>
                  <w:lang w:val="en-US"/>
                </w:rPr>
              </m:ctrlPr>
            </m:fPr>
            <m:num>
              <m:nary>
                <m:naryPr>
                  <m:limLoc m:val="subSup"/>
                  <m:ctrlPr>
                    <w:rPr>
                      <w:rFonts w:ascii="Cambria Math" w:eastAsiaTheme="minorHAnsi" w:hAnsiTheme="majorBidi" w:cstheme="majorBidi"/>
                      <w:i/>
                      <w:iCs/>
                      <w:lang w:val="en-US"/>
                    </w:rPr>
                  </m:ctrlPr>
                </m:naryPr>
                <m:sub>
                  <m:r>
                    <w:rPr>
                      <w:rFonts w:ascii="Cambria Math" w:eastAsiaTheme="minorHAnsi" w:hAnsiTheme="majorBidi" w:cstheme="majorBidi"/>
                      <w:lang w:val="en-US"/>
                    </w:rPr>
                    <m:t>0</m:t>
                  </m:r>
                </m:sub>
                <m:sup>
                  <m:r>
                    <w:rPr>
                      <w:rFonts w:ascii="Cambria Math" w:eastAsiaTheme="minorHAnsi" w:hAnsiTheme="majorBidi" w:cstheme="majorBidi"/>
                      <w:lang w:val="en-US"/>
                    </w:rPr>
                    <m:t>exit</m:t>
                  </m:r>
                </m:sup>
                <m:e>
                  <m:sSub>
                    <m:sSubPr>
                      <m:ctrlPr>
                        <w:rPr>
                          <w:rFonts w:ascii="Cambria Math" w:eastAsiaTheme="minorHAnsi" w:hAnsiTheme="majorBidi" w:cstheme="majorBidi"/>
                          <w:i/>
                          <w:iCs/>
                          <w:lang w:val="en-US"/>
                        </w:rPr>
                      </m:ctrlPr>
                    </m:sSubPr>
                    <m:e>
                      <m:r>
                        <w:rPr>
                          <w:rFonts w:ascii="Cambria Math" w:eastAsiaTheme="minorHAnsi" w:hAnsiTheme="majorBidi" w:cstheme="majorBidi"/>
                          <w:lang w:val="en-US"/>
                        </w:rPr>
                        <m:t>ρ</m:t>
                      </m:r>
                    </m:e>
                    <m:sub>
                      <m:r>
                        <w:rPr>
                          <w:rFonts w:ascii="Cambria Math" w:eastAsiaTheme="minorHAnsi" w:hAnsiTheme="majorBidi" w:cstheme="majorBidi"/>
                          <w:lang w:val="en-US"/>
                        </w:rPr>
                        <m:t>∞</m:t>
                      </m:r>
                    </m:sub>
                  </m:sSub>
                  <m:r>
                    <w:rPr>
                      <w:rFonts w:ascii="Cambria Math" w:eastAsiaTheme="minorHAnsi" w:hAnsiTheme="majorBidi" w:cstheme="majorBidi"/>
                      <w:lang w:val="en-US"/>
                    </w:rPr>
                    <m:t>(B)dB</m:t>
                  </m:r>
                </m:e>
              </m:nary>
            </m:num>
            <m:den>
              <m:sSub>
                <m:sSubPr>
                  <m:ctrlPr>
                    <w:rPr>
                      <w:rFonts w:ascii="Cambria Math" w:eastAsiaTheme="minorHAnsi" w:hAnsiTheme="majorBidi" w:cstheme="majorBidi"/>
                      <w:i/>
                      <w:iCs/>
                      <w:lang w:val="en-US"/>
                    </w:rPr>
                  </m:ctrlPr>
                </m:sSubPr>
                <m:e>
                  <m:r>
                    <w:rPr>
                      <w:rFonts w:ascii="Cambria Math" w:eastAsiaTheme="minorHAnsi" w:hAnsiTheme="majorBidi" w:cstheme="majorBidi"/>
                      <w:lang w:val="en-US"/>
                    </w:rPr>
                    <m:t>B</m:t>
                  </m:r>
                </m:e>
                <m:sub>
                  <m:r>
                    <w:rPr>
                      <w:rFonts w:ascii="Cambria Math" w:eastAsiaTheme="minorHAnsi" w:hAnsiTheme="majorBidi" w:cstheme="majorBidi"/>
                      <w:lang w:val="en-US"/>
                    </w:rPr>
                    <m:t>exit</m:t>
                  </m:r>
                </m:sub>
              </m:sSub>
            </m:den>
          </m:f>
          <m:r>
            <w:rPr>
              <w:rFonts w:ascii="Cambria Math" w:eastAsiaTheme="minorHAnsi" w:hAnsiTheme="majorBidi" w:cstheme="majorBidi"/>
              <w:lang w:val="en-US"/>
            </w:rPr>
            <m:t xml:space="preserve">                                  (1)</m:t>
          </m:r>
        </m:oMath>
      </m:oMathPara>
    </w:p>
    <w:p w:rsidR="001A62BF" w:rsidRDefault="001A62BF" w:rsidP="00E108A5">
      <w:pPr>
        <w:pStyle w:val="BodyText"/>
      </w:pPr>
    </w:p>
    <w:p w:rsidR="00E108A5" w:rsidRDefault="001A62BF" w:rsidP="001A62BF">
      <w:pPr>
        <w:pStyle w:val="BodyText"/>
        <w:ind w:firstLine="0"/>
      </w:pPr>
      <w:r>
        <w:t>w</w:t>
      </w:r>
      <w:r w:rsidR="00E108A5" w:rsidRPr="00E108A5">
        <w:t>here,</w:t>
      </w:r>
      <w:r w:rsidR="00E108A5" w:rsidRPr="00921860">
        <w:rPr>
          <w:rFonts w:asciiTheme="majorBidi" w:eastAsiaTheme="minorHAnsi" w:hAnsiTheme="majorBidi" w:cstheme="majorBidi"/>
          <w:sz w:val="24"/>
          <w:szCs w:val="24"/>
          <w:lang w:val="en-US"/>
        </w:rPr>
        <w:t xml:space="preserve"> </w:t>
      </w:r>
      <m:oMath>
        <m:sSub>
          <m:sSubPr>
            <m:ctrlPr>
              <w:rPr>
                <w:rFonts w:ascii="Cambria Math" w:eastAsiaTheme="minorHAnsi" w:hAnsi="Cambria Math" w:cstheme="majorBidi"/>
                <w:lang w:val="en-US"/>
              </w:rPr>
            </m:ctrlPr>
          </m:sSubPr>
          <m:e>
            <m:r>
              <m:rPr>
                <m:sty m:val="p"/>
              </m:rPr>
              <w:rPr>
                <w:rFonts w:ascii="Cambria Math" w:eastAsiaTheme="minorHAnsi" w:hAnsi="Cambria Math" w:cstheme="majorBidi"/>
                <w:lang w:val="en-US"/>
              </w:rPr>
              <m:t>ρ</m:t>
            </m:r>
          </m:e>
          <m:sub>
            <m:r>
              <m:rPr>
                <m:sty m:val="p"/>
              </m:rPr>
              <w:rPr>
                <w:rFonts w:ascii="Cambria Math" w:eastAsiaTheme="minorHAnsi" w:hAnsi="Cambria Math" w:cstheme="majorBidi"/>
                <w:lang w:val="en-US"/>
              </w:rPr>
              <m:t>∞</m:t>
            </m:r>
          </m:sub>
        </m:sSub>
        <m:d>
          <m:dPr>
            <m:ctrlPr>
              <w:rPr>
                <w:rFonts w:ascii="Cambria Math" w:eastAsiaTheme="minorHAnsi" w:hAnsi="Cambria Math" w:cstheme="majorBidi"/>
                <w:lang w:val="en-US"/>
              </w:rPr>
            </m:ctrlPr>
          </m:dPr>
          <m:e>
            <m:r>
              <m:rPr>
                <m:sty m:val="p"/>
              </m:rPr>
              <w:rPr>
                <w:rFonts w:ascii="Cambria Math" w:eastAsiaTheme="minorHAnsi" w:hAnsi="Cambria Math" w:cstheme="majorBidi"/>
                <w:lang w:val="en-US"/>
              </w:rPr>
              <m:t>B</m:t>
            </m:r>
          </m:e>
        </m:d>
      </m:oMath>
      <w:r w:rsidR="00E108A5" w:rsidRPr="00921860">
        <w:rPr>
          <w:rFonts w:asciiTheme="majorBidi" w:eastAsiaTheme="minorHAnsi" w:hAnsiTheme="majorBidi" w:cstheme="majorBidi"/>
          <w:sz w:val="24"/>
          <w:szCs w:val="24"/>
          <w:lang w:val="en-US"/>
        </w:rPr>
        <w:t xml:space="preserve"> </w:t>
      </w:r>
      <w:r w:rsidR="00D059B3">
        <w:t>is the infinite system</w:t>
      </w:r>
      <w:r w:rsidR="00E108A5" w:rsidRPr="00E108A5">
        <w:t xml:space="preserve"> reactivity at burnup </w:t>
      </w:r>
      <m:oMath>
        <m:r>
          <m:rPr>
            <m:sty m:val="p"/>
          </m:rPr>
          <w:rPr>
            <w:rFonts w:ascii="Cambria Math" w:hAnsi="Cambria Math"/>
          </w:rPr>
          <m:t>B</m:t>
        </m:r>
      </m:oMath>
      <w:r w:rsidR="00E108A5" w:rsidRPr="00E108A5">
        <w:t xml:space="preserve"> and</w:t>
      </w:r>
      <w:r w:rsidR="00E108A5" w:rsidRPr="00921860">
        <w:rPr>
          <w:rFonts w:asciiTheme="majorBidi" w:eastAsiaTheme="minorHAnsi" w:hAnsiTheme="majorBidi" w:cstheme="majorBidi"/>
          <w:sz w:val="24"/>
          <w:szCs w:val="24"/>
          <w:lang w:val="en-US"/>
        </w:rPr>
        <w:t xml:space="preserve"> </w:t>
      </w:r>
      <m:oMath>
        <m:sSub>
          <m:sSubPr>
            <m:ctrlPr>
              <w:rPr>
                <w:rFonts w:ascii="Cambria Math" w:eastAsiaTheme="minorHAnsi" w:hAnsiTheme="majorBidi" w:cstheme="majorBidi"/>
                <w:lang w:val="en-US"/>
              </w:rPr>
            </m:ctrlPr>
          </m:sSubPr>
          <m:e>
            <m:r>
              <m:rPr>
                <m:sty m:val="p"/>
              </m:rPr>
              <w:rPr>
                <w:rFonts w:ascii="Cambria Math" w:eastAsiaTheme="minorHAnsi" w:hAnsiTheme="majorBidi" w:cstheme="majorBidi"/>
                <w:lang w:val="en-US"/>
              </w:rPr>
              <m:t>B</m:t>
            </m:r>
          </m:e>
          <m:sub>
            <m:r>
              <m:rPr>
                <m:sty m:val="p"/>
              </m:rPr>
              <w:rPr>
                <w:rFonts w:ascii="Cambria Math" w:eastAsiaTheme="minorHAnsi" w:hAnsiTheme="majorBidi" w:cstheme="majorBidi"/>
                <w:lang w:val="en-US"/>
              </w:rPr>
              <m:t>exit</m:t>
            </m:r>
          </m:sub>
        </m:sSub>
      </m:oMath>
      <w:r w:rsidR="00E108A5" w:rsidRPr="00921860">
        <w:rPr>
          <w:rFonts w:asciiTheme="majorBidi" w:eastAsiaTheme="minorHAnsi" w:hAnsiTheme="majorBidi" w:cstheme="majorBidi"/>
          <w:sz w:val="24"/>
          <w:szCs w:val="24"/>
          <w:lang w:val="en-US"/>
        </w:rPr>
        <w:t xml:space="preserve"> </w:t>
      </w:r>
      <w:r w:rsidR="00E108A5" w:rsidRPr="00E108A5">
        <w:rPr>
          <w:rFonts w:asciiTheme="majorBidi" w:eastAsiaTheme="minorHAnsi" w:hAnsiTheme="majorBidi" w:cstheme="majorBidi"/>
          <w:lang w:val="en-US"/>
        </w:rPr>
        <w:t xml:space="preserve">is the burnup at the discharge. The </w:t>
      </w:r>
      <w:r w:rsidR="00E108A5" w:rsidRPr="001A62BF">
        <w:t>discharge burnup (</w:t>
      </w:r>
      <m:oMath>
        <m:sSub>
          <m:sSubPr>
            <m:ctrlPr>
              <w:rPr>
                <w:rFonts w:ascii="Cambria Math" w:hAnsi="Cambria Math"/>
              </w:rPr>
            </m:ctrlPr>
          </m:sSubPr>
          <m:e>
            <m:r>
              <m:rPr>
                <m:sty m:val="p"/>
              </m:rPr>
              <w:rPr>
                <w:rFonts w:ascii="Cambria Math"/>
              </w:rPr>
              <m:t>B</m:t>
            </m:r>
          </m:e>
          <m:sub>
            <m:r>
              <m:rPr>
                <m:sty m:val="p"/>
              </m:rPr>
              <w:rPr>
                <w:rFonts w:ascii="Cambria Math"/>
              </w:rPr>
              <m:t>exit</m:t>
            </m:r>
          </m:sub>
        </m:sSub>
        <m:r>
          <m:rPr>
            <m:sty m:val="p"/>
          </m:rPr>
          <w:rPr>
            <w:rFonts w:ascii="Cambria Math"/>
          </w:rPr>
          <m:t>)</m:t>
        </m:r>
      </m:oMath>
      <w:r w:rsidR="00D059B3">
        <w:t xml:space="preserve"> of</w:t>
      </w:r>
      <w:r w:rsidR="00E108A5" w:rsidRPr="001A62BF">
        <w:t xml:space="preserve"> CANDU-6 is 7.5 MWd/kgU, Using Eq. 1 and Fig. 5, </w:t>
      </w:r>
      <m:oMath>
        <m:sSub>
          <m:sSubPr>
            <m:ctrlPr>
              <w:rPr>
                <w:rFonts w:ascii="Cambria Math" w:hAnsi="Cambria Math"/>
              </w:rPr>
            </m:ctrlPr>
          </m:sSubPr>
          <m:e>
            <m:r>
              <m:rPr>
                <m:sty m:val="p"/>
              </m:rPr>
              <w:rPr>
                <w:rFonts w:ascii="Cambria Math"/>
              </w:rPr>
              <m:t>ρ</m:t>
            </m:r>
          </m:e>
          <m:sub>
            <m:r>
              <m:rPr>
                <m:sty m:val="p"/>
              </m:rPr>
              <w:rPr>
                <w:rFonts w:ascii="Cambria Math"/>
              </w:rPr>
              <m:t>∞</m:t>
            </m:r>
          </m:sub>
        </m:sSub>
      </m:oMath>
      <w:r w:rsidR="00E108A5" w:rsidRPr="001A62BF">
        <w:t xml:space="preserve"> was calculated for the CANDU-6 and found </w:t>
      </w:r>
      <w:r w:rsidR="00CB56A0" w:rsidRPr="001A62BF">
        <w:t>to be</w:t>
      </w:r>
      <w:r w:rsidR="00E108A5" w:rsidRPr="001A62BF">
        <w:t xml:space="preserve"> 0.05358. In order to find the discharge burnup of the RPSFB, the integration of Eq. 1 was carried out over the burnup until </w:t>
      </w:r>
      <m:oMath>
        <m:sSub>
          <m:sSubPr>
            <m:ctrlPr>
              <w:rPr>
                <w:rFonts w:ascii="Cambria Math" w:hAnsi="Cambria Math"/>
              </w:rPr>
            </m:ctrlPr>
          </m:sSubPr>
          <m:e>
            <m:r>
              <m:rPr>
                <m:sty m:val="p"/>
              </m:rPr>
              <w:rPr>
                <w:rFonts w:ascii="Cambria Math"/>
              </w:rPr>
              <m:t>ρ</m:t>
            </m:r>
          </m:e>
          <m:sub>
            <m:r>
              <m:rPr>
                <m:sty m:val="p"/>
              </m:rPr>
              <w:rPr>
                <w:rFonts w:ascii="Cambria Math"/>
              </w:rPr>
              <m:t>∞</m:t>
            </m:r>
          </m:sub>
        </m:sSub>
      </m:oMath>
      <w:r w:rsidR="00E108A5" w:rsidRPr="001A62BF">
        <w:t xml:space="preserve"> decreases to </w:t>
      </w:r>
      <m:oMath>
        <m:r>
          <m:rPr>
            <m:sty m:val="p"/>
          </m:rPr>
          <w:rPr>
            <w:rFonts w:ascii="Cambria Math"/>
          </w:rPr>
          <m:t>0.05358</m:t>
        </m:r>
      </m:oMath>
      <w:r w:rsidR="00E108A5" w:rsidRPr="001A62BF">
        <w:t xml:space="preserve">. At burnup of 30 MWd/kgU of the RPSFB, </w:t>
      </w:r>
      <m:oMath>
        <m:sSub>
          <m:sSubPr>
            <m:ctrlPr>
              <w:rPr>
                <w:rFonts w:ascii="Cambria Math" w:hAnsi="Cambria Math"/>
              </w:rPr>
            </m:ctrlPr>
          </m:sSubPr>
          <m:e>
            <m:r>
              <m:rPr>
                <m:sty m:val="p"/>
              </m:rPr>
              <w:rPr>
                <w:rFonts w:ascii="Cambria Math"/>
              </w:rPr>
              <m:t>ρ</m:t>
            </m:r>
          </m:e>
          <m:sub>
            <m:r>
              <m:rPr>
                <m:sty m:val="p"/>
              </m:rPr>
              <w:rPr>
                <w:rFonts w:ascii="Cambria Math"/>
              </w:rPr>
              <m:t>∞</m:t>
            </m:r>
          </m:sub>
        </m:sSub>
        <m:r>
          <m:rPr>
            <m:sty m:val="p"/>
          </m:rPr>
          <w:rPr>
            <w:rFonts w:ascii="Cambria Math"/>
          </w:rPr>
          <m:t>=0.0534</m:t>
        </m:r>
      </m:oMath>
      <w:r w:rsidR="00D059B3">
        <w:t>. This means that the RPSFB would</w:t>
      </w:r>
      <w:r w:rsidR="00E108A5" w:rsidRPr="001A62BF">
        <w:t xml:space="preserve"> </w:t>
      </w:r>
      <w:r w:rsidR="00D059B3">
        <w:t>be burnt in the CANDU-6 to around</w:t>
      </w:r>
      <w:r w:rsidR="00E108A5" w:rsidRPr="001A62BF">
        <w:t xml:space="preserve"> 30 MWd/kgU. Therefore after the two cycles of burnup in PWR and CANDU-6, UO</w:t>
      </w:r>
      <w:r w:rsidR="00081636">
        <w:rPr>
          <w:vertAlign w:val="subscript"/>
        </w:rPr>
        <w:t>2</w:t>
      </w:r>
      <w:r w:rsidR="00E108A5" w:rsidRPr="001A62BF">
        <w:t xml:space="preserve"> fuel with enrichment of 4.5 w/o can be burnt to around 70 MWd/kgU which represents an increase of about 35% than the burnup in the PWR without recycling in CANDU-6 as given in Table 2.</w:t>
      </w:r>
    </w:p>
    <w:p w:rsidR="001A62BF" w:rsidRDefault="001A62BF" w:rsidP="00C97E3C">
      <w:pPr>
        <w:pStyle w:val="BodyText"/>
      </w:pPr>
      <w:r w:rsidRPr="001A62BF">
        <w:t xml:space="preserve">CANDU-6 has </w:t>
      </w:r>
      <w:r w:rsidR="00081636">
        <w:t xml:space="preserve">an </w:t>
      </w:r>
      <w:r w:rsidRPr="001A62BF">
        <w:t>advantage of that it is fuelled with natural UO</w:t>
      </w:r>
      <w:r>
        <w:rPr>
          <w:vertAlign w:val="subscript"/>
        </w:rPr>
        <w:t>2</w:t>
      </w:r>
      <w:r w:rsidRPr="001A62BF">
        <w:t xml:space="preserve"> but it discharges the spent fuel at low burnup of about 7.5 MWd/kgU and therefore the quantities of high level waste that are produced per unit energy from CANDU-6 reactors is much higher than that produced from Light Water Reactors (LWRs). Also, with this low burnup, the quality of plutonium in CANDU-6 spent fuel is high which is against the proliferation resistance</w:t>
      </w:r>
      <w:r w:rsidR="00081636">
        <w:t>. T</w:t>
      </w:r>
      <w:r w:rsidRPr="001A62BF">
        <w:t xml:space="preserve">he proposed strategy of recycling the PWR spent fuel in CANDU-6 reactor would much reduce the high level waste. Moreover, direct recycling the spent fuel would degrade the plutonium vector which enhances the proliferation resistance and the produced plutonium per unit energy would be reduced as given in Table 2. </w:t>
      </w:r>
    </w:p>
    <w:p w:rsidR="001A62BF" w:rsidRDefault="001A62BF" w:rsidP="001A62BF">
      <w:pPr>
        <w:pStyle w:val="Heading2"/>
        <w:numPr>
          <w:ilvl w:val="1"/>
          <w:numId w:val="10"/>
        </w:numPr>
      </w:pPr>
      <w:r w:rsidRPr="001A62BF">
        <w:t>Conclusions</w:t>
      </w:r>
    </w:p>
    <w:p w:rsidR="001A62BF" w:rsidRPr="001A62BF" w:rsidRDefault="001A62BF" w:rsidP="00081636">
      <w:pPr>
        <w:ind w:firstLine="720"/>
        <w:jc w:val="both"/>
        <w:rPr>
          <w:sz w:val="20"/>
        </w:rPr>
      </w:pPr>
      <w:r w:rsidRPr="001A62BF">
        <w:rPr>
          <w:sz w:val="20"/>
        </w:rPr>
        <w:lastRenderedPageBreak/>
        <w:t xml:space="preserve">Direct recycling of the PWR spent fuel with the proposed strategy does not need chemical or dry processing. The case studied in this paper showed that the fuel burnup can be increased by around 35%. </w:t>
      </w:r>
      <w:r w:rsidR="00081636">
        <w:rPr>
          <w:sz w:val="20"/>
        </w:rPr>
        <w:t>T</w:t>
      </w:r>
      <w:r w:rsidRPr="001A62BF">
        <w:rPr>
          <w:sz w:val="20"/>
        </w:rPr>
        <w:t>he proposed strategy of recycling the PWR spent fuel in CANDU-6 reactor would much reduce the high level waste. Moreover, direct recycling the spent fuel would degrade the plutonium vector which enhances the proliferation resistance and the produced plutonium per unit energy would be reduced.</w:t>
      </w:r>
    </w:p>
    <w:p w:rsidR="001A62BF" w:rsidRPr="001A62BF" w:rsidRDefault="001A62BF" w:rsidP="001A62BF">
      <w:pPr>
        <w:pStyle w:val="BodyText"/>
      </w:pPr>
    </w:p>
    <w:p w:rsidR="001A62BF" w:rsidRDefault="001A62BF" w:rsidP="001A62BF">
      <w:pPr>
        <w:ind w:firstLine="720"/>
        <w:jc w:val="both"/>
        <w:rPr>
          <w:sz w:val="20"/>
        </w:rPr>
      </w:pPr>
    </w:p>
    <w:p w:rsidR="001A62BF" w:rsidRDefault="001A62BF" w:rsidP="001A62BF">
      <w:pPr>
        <w:jc w:val="center"/>
        <w:rPr>
          <w:rFonts w:asciiTheme="majorBidi" w:hAnsiTheme="majorBidi" w:cstheme="majorBidi"/>
          <w:sz w:val="24"/>
          <w:szCs w:val="24"/>
        </w:rPr>
      </w:pPr>
      <w:r w:rsidRPr="00F477AE">
        <w:rPr>
          <w:rFonts w:asciiTheme="majorBidi" w:hAnsiTheme="majorBidi" w:cstheme="majorBidi"/>
          <w:noProof/>
          <w:sz w:val="24"/>
          <w:szCs w:val="24"/>
          <w:lang w:val="en-US"/>
        </w:rPr>
        <w:drawing>
          <wp:inline distT="0" distB="0" distL="0" distR="0">
            <wp:extent cx="4385256" cy="2479183"/>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62BF" w:rsidRPr="00EE0862" w:rsidRDefault="001A62BF" w:rsidP="00081636">
      <w:pPr>
        <w:pStyle w:val="Caption"/>
        <w:jc w:val="center"/>
        <w:rPr>
          <w:i/>
        </w:rPr>
      </w:pPr>
      <w:r w:rsidRPr="00EE0862">
        <w:rPr>
          <w:i/>
        </w:rPr>
        <w:t xml:space="preserve">Fig. 5. Depletion history of the reference and RPSFB </w:t>
      </w:r>
      <w:r w:rsidR="00081636" w:rsidRPr="00EE0862">
        <w:rPr>
          <w:i/>
        </w:rPr>
        <w:t xml:space="preserve">CANDU-6 </w:t>
      </w:r>
      <w:r w:rsidRPr="00EE0862">
        <w:rPr>
          <w:i/>
        </w:rPr>
        <w:t>bundles.</w:t>
      </w:r>
    </w:p>
    <w:p w:rsidR="001A62BF" w:rsidRPr="00EE0862" w:rsidRDefault="001A62BF" w:rsidP="00EE0862">
      <w:pPr>
        <w:pStyle w:val="Caption"/>
        <w:jc w:val="center"/>
        <w:rPr>
          <w:i/>
        </w:rPr>
      </w:pPr>
    </w:p>
    <w:p w:rsidR="00D26ADA" w:rsidRPr="00285755" w:rsidRDefault="00D26ADA" w:rsidP="00537496">
      <w:pPr>
        <w:pStyle w:val="Otherunnumberedheadings"/>
      </w:pPr>
      <w:r>
        <w:t>References</w:t>
      </w:r>
    </w:p>
    <w:p w:rsidR="00EE0862" w:rsidRPr="00535D60" w:rsidRDefault="00EE0862" w:rsidP="00EE0862">
      <w:pPr>
        <w:pStyle w:val="Referencelist"/>
      </w:pPr>
      <w:r w:rsidRPr="00535D60">
        <w:t xml:space="preserve">BUNN </w:t>
      </w:r>
      <w:r>
        <w:t>, M.</w:t>
      </w:r>
      <w:r w:rsidRPr="00535D60">
        <w:t>, FETTER</w:t>
      </w:r>
      <w:r>
        <w:t>,</w:t>
      </w:r>
      <w:r w:rsidRPr="00535D60">
        <w:t xml:space="preserve"> </w:t>
      </w:r>
      <w:r>
        <w:t>S.</w:t>
      </w:r>
      <w:r w:rsidRPr="00535D60">
        <w:t>, HOLDREN</w:t>
      </w:r>
      <w:r w:rsidR="00EB4E2E">
        <w:t>,</w:t>
      </w:r>
      <w:r w:rsidRPr="00535D60">
        <w:t xml:space="preserve"> </w:t>
      </w:r>
      <w:r>
        <w:t>J.</w:t>
      </w:r>
      <w:r w:rsidRPr="00535D60">
        <w:t>, ZWAAN</w:t>
      </w:r>
      <w:r w:rsidR="00EB4E2E">
        <w:t>,</w:t>
      </w:r>
      <w:r w:rsidRPr="00535D60">
        <w:t xml:space="preserve"> </w:t>
      </w:r>
      <w:r>
        <w:t>B.</w:t>
      </w:r>
      <w:r w:rsidR="00EB4E2E">
        <w:t xml:space="preserve">, </w:t>
      </w:r>
      <w:r w:rsidRPr="00535D60">
        <w:t>The Economics of Reprocessing Vs. Direct D</w:t>
      </w:r>
      <w:r w:rsidR="00EB4E2E">
        <w:t xml:space="preserve">isposal of Spent Nuclear Fuel, </w:t>
      </w:r>
      <w:r w:rsidRPr="00535D60">
        <w:t>Final Report  8/12/1999-7/30</w:t>
      </w:r>
      <w:r w:rsidR="00081636">
        <w:t xml:space="preserve">/2003, </w:t>
      </w:r>
      <w:r w:rsidRPr="00535D60">
        <w:t xml:space="preserve">Harvard University, </w:t>
      </w:r>
      <w:r w:rsidR="00EB4E2E">
        <w:t>(</w:t>
      </w:r>
      <w:r w:rsidRPr="00535D60">
        <w:t>2003</w:t>
      </w:r>
      <w:r w:rsidR="00EB4E2E">
        <w:t>)</w:t>
      </w:r>
      <w:r w:rsidRPr="00535D60">
        <w:t xml:space="preserve">. </w:t>
      </w:r>
    </w:p>
    <w:p w:rsidR="00EE0862" w:rsidRPr="00FD4A66" w:rsidRDefault="001E7C78" w:rsidP="00492EE7">
      <w:pPr>
        <w:pStyle w:val="Referencelist"/>
      </w:pPr>
      <w:r w:rsidRPr="00FD4A66">
        <w:t>YANG</w:t>
      </w:r>
      <w:r w:rsidR="00EB4E2E">
        <w:t>,</w:t>
      </w:r>
      <w:r w:rsidR="00EE0862" w:rsidRPr="00FD4A66">
        <w:t xml:space="preserve"> M</w:t>
      </w:r>
      <w:r w:rsidR="00EB4E2E">
        <w:t xml:space="preserve">., </w:t>
      </w:r>
      <w:r>
        <w:t xml:space="preserve"> </w:t>
      </w:r>
      <w:r w:rsidRPr="00FD4A66">
        <w:t xml:space="preserve">CHOI </w:t>
      </w:r>
      <w:r>
        <w:t>, H.</w:t>
      </w:r>
      <w:r w:rsidR="00EE0862" w:rsidRPr="00FD4A66">
        <w:t xml:space="preserve">, </w:t>
      </w:r>
      <w:r w:rsidRPr="00FD4A66">
        <w:t>JEONG</w:t>
      </w:r>
      <w:r>
        <w:t xml:space="preserve">, C., </w:t>
      </w:r>
      <w:r w:rsidRPr="00FD4A66">
        <w:t>SONG</w:t>
      </w:r>
      <w:r>
        <w:t xml:space="preserve">, K., </w:t>
      </w:r>
      <w:r w:rsidRPr="00FD4A66">
        <w:t>LEE</w:t>
      </w:r>
      <w:r>
        <w:t xml:space="preserve">, J., </w:t>
      </w:r>
      <w:r w:rsidRPr="00FD4A66">
        <w:t>PARK</w:t>
      </w:r>
      <w:r>
        <w:t xml:space="preserve"> , G., </w:t>
      </w:r>
      <w:r w:rsidRPr="00FD4A66">
        <w:t>KIM</w:t>
      </w:r>
      <w:r>
        <w:t>, H., KO, W.</w:t>
      </w:r>
      <w:r w:rsidR="00EE0862" w:rsidRPr="00FD4A66">
        <w:t xml:space="preserve">, </w:t>
      </w:r>
      <w:r>
        <w:t>PARK, J.</w:t>
      </w:r>
      <w:r w:rsidR="00EE0862" w:rsidRPr="00FD4A66">
        <w:t xml:space="preserve">, </w:t>
      </w:r>
      <w:r w:rsidR="007E2750">
        <w:t>KIM, K</w:t>
      </w:r>
      <w:r w:rsidR="00EE0862" w:rsidRPr="00FD4A66">
        <w:t>,</w:t>
      </w:r>
      <w:r w:rsidR="007E2750">
        <w:t xml:space="preserve"> LEE, H.</w:t>
      </w:r>
      <w:r w:rsidR="00EE0862" w:rsidRPr="00FD4A66">
        <w:t xml:space="preserve">, </w:t>
      </w:r>
      <w:r w:rsidR="007E2750">
        <w:t>PARK, J.</w:t>
      </w:r>
      <w:r w:rsidR="00CE3874">
        <w:t xml:space="preserve">, </w:t>
      </w:r>
      <w:r w:rsidR="00EE0862" w:rsidRPr="00FD4A66">
        <w:t>The Status And Pr</w:t>
      </w:r>
      <w:r w:rsidR="00CE3874">
        <w:t>ospect of DUPIC Fuel Technology</w:t>
      </w:r>
      <w:r w:rsidR="00EE0862" w:rsidRPr="00FD4A66">
        <w:t xml:space="preserve">, </w:t>
      </w:r>
      <w:r w:rsidR="00492EE7" w:rsidRPr="00492EE7">
        <w:t>NUCL ENG TECHNOL</w:t>
      </w:r>
      <w:r w:rsidR="00492EE7">
        <w:t>, 38 (2006) 259-254</w:t>
      </w:r>
      <w:r w:rsidR="00EE0862" w:rsidRPr="00FD4A66">
        <w:t>.</w:t>
      </w:r>
    </w:p>
    <w:p w:rsidR="00EE0862" w:rsidRPr="00FD4A66" w:rsidRDefault="003E6039" w:rsidP="00EE0862">
      <w:pPr>
        <w:pStyle w:val="Referencelist"/>
      </w:pPr>
      <w:r>
        <w:t xml:space="preserve"> </w:t>
      </w:r>
      <w:r w:rsidRPr="00FD4A66">
        <w:t>ZHAO</w:t>
      </w:r>
      <w:r w:rsidR="00EE0862" w:rsidRPr="00FD4A66">
        <w:t xml:space="preserve">, </w:t>
      </w:r>
      <w:r>
        <w:t xml:space="preserve">X., </w:t>
      </w:r>
      <w:r w:rsidR="00EE0862" w:rsidRPr="00FD4A66">
        <w:t>Driscoll,</w:t>
      </w:r>
      <w:r w:rsidR="00F72198">
        <w:t xml:space="preserve"> M.,</w:t>
      </w:r>
      <w:r w:rsidR="00EE0862" w:rsidRPr="00FD4A66">
        <w:t xml:space="preserve"> Kazimi,</w:t>
      </w:r>
      <w:r w:rsidR="00F72198">
        <w:t xml:space="preserve"> M.,</w:t>
      </w:r>
      <w:r w:rsidR="00EE0862" w:rsidRPr="00FD4A66">
        <w:t xml:space="preserve"> “Results of Spent fuel in PWRs Via dry Processing”, 7</w:t>
      </w:r>
      <w:r w:rsidR="00EE0862" w:rsidRPr="00FD4A66">
        <w:rPr>
          <w:vertAlign w:val="superscript"/>
        </w:rPr>
        <w:t>th</w:t>
      </w:r>
      <w:r w:rsidR="00F72198">
        <w:t xml:space="preserve"> Int. Conf.</w:t>
      </w:r>
      <w:r w:rsidR="00EE0862" w:rsidRPr="00FD4A66">
        <w:t xml:space="preserve"> on Nuclear Engineering, Tokyo, </w:t>
      </w:r>
      <w:r w:rsidRPr="00FD4A66">
        <w:t>Japan</w:t>
      </w:r>
      <w:r w:rsidR="00EE0862" w:rsidRPr="00FD4A66">
        <w:t xml:space="preserve">, April 19-23, JSME (1999). </w:t>
      </w:r>
    </w:p>
    <w:p w:rsidR="00EE0862" w:rsidRDefault="00BD0132" w:rsidP="00BD0132">
      <w:pPr>
        <w:pStyle w:val="Referencelist"/>
      </w:pPr>
      <w:r w:rsidRPr="00FD4A66">
        <w:t>BOLLMANN</w:t>
      </w:r>
      <w:r w:rsidR="00EE0862" w:rsidRPr="00FD4A66">
        <w:t xml:space="preserve">, </w:t>
      </w:r>
      <w:r>
        <w:t xml:space="preserve">C., </w:t>
      </w:r>
      <w:r w:rsidR="00EE0862" w:rsidRPr="00FD4A66">
        <w:t>Optimization of DUPIC Cycle Environ</w:t>
      </w:r>
      <w:r>
        <w:t>mental and Economic performance</w:t>
      </w:r>
      <w:r w:rsidR="00EE0862" w:rsidRPr="00FD4A66">
        <w:t>,</w:t>
      </w:r>
      <w:r>
        <w:t xml:space="preserve"> </w:t>
      </w:r>
      <w:r w:rsidR="00EE0862" w:rsidRPr="00FD4A66">
        <w:t xml:space="preserve"> M.Sc Thesis, MIT,</w:t>
      </w:r>
      <w:r>
        <w:t xml:space="preserve"> USA</w:t>
      </w:r>
      <w:r w:rsidR="00EE0862" w:rsidRPr="00FD4A66">
        <w:t xml:space="preserve"> </w:t>
      </w:r>
      <w:r>
        <w:t>(</w:t>
      </w:r>
      <w:r w:rsidR="00EE0862" w:rsidRPr="00FD4A66">
        <w:t>1998</w:t>
      </w:r>
      <w:r>
        <w:t>)</w:t>
      </w:r>
      <w:r w:rsidR="00EE0862" w:rsidRPr="00FD4A66">
        <w:t>.</w:t>
      </w:r>
    </w:p>
    <w:p w:rsidR="00EE0862" w:rsidRDefault="00FE3CF3" w:rsidP="00A84558">
      <w:pPr>
        <w:pStyle w:val="Referencelist"/>
      </w:pPr>
      <w:r>
        <w:t xml:space="preserve">Mohamed, N., </w:t>
      </w:r>
      <w:r w:rsidR="00EE0862" w:rsidRPr="00FD4A66">
        <w:t>Dir</w:t>
      </w:r>
      <w:r>
        <w:t>ect Reuse of Spent Nuclear Fuel</w:t>
      </w:r>
      <w:r w:rsidR="00EE0862" w:rsidRPr="00FD4A66">
        <w:t xml:space="preserve">, </w:t>
      </w:r>
      <w:r w:rsidR="00A84558" w:rsidRPr="00A84558">
        <w:t>NUCL ENG DES</w:t>
      </w:r>
      <w:r>
        <w:t xml:space="preserve">, </w:t>
      </w:r>
      <w:r w:rsidR="00EE0862" w:rsidRPr="00FD4A66">
        <w:t>278</w:t>
      </w:r>
      <w:r>
        <w:t xml:space="preserve"> (2014)</w:t>
      </w:r>
      <w:r w:rsidR="00EE0862" w:rsidRPr="00FD4A66">
        <w:t xml:space="preserve"> 182–189 ,(2014).</w:t>
      </w:r>
    </w:p>
    <w:p w:rsidR="00EE0862" w:rsidRPr="00FE3CF3" w:rsidRDefault="00FE3CF3" w:rsidP="00A84558">
      <w:pPr>
        <w:pStyle w:val="Referencelist"/>
        <w:rPr>
          <w:b/>
          <w:bCs/>
        </w:rPr>
      </w:pPr>
      <w:r>
        <w:t>Mohamed, N.</w:t>
      </w:r>
      <w:r w:rsidRPr="00120A7A">
        <w:rPr>
          <w:b/>
          <w:bCs/>
        </w:rPr>
        <w:t xml:space="preserve">, </w:t>
      </w:r>
      <w:r w:rsidRPr="00FE3CF3">
        <w:t>Design of a PWR for long cycle and direct recycling of spent fuel</w:t>
      </w:r>
      <w:r w:rsidRPr="00120A7A">
        <w:rPr>
          <w:i/>
          <w:iCs/>
        </w:rPr>
        <w:t>,</w:t>
      </w:r>
      <w:r w:rsidRPr="00120A7A">
        <w:t xml:space="preserve"> </w:t>
      </w:r>
      <w:r w:rsidR="00A84558" w:rsidRPr="00A84558">
        <w:t>NUCL ENG DES</w:t>
      </w:r>
      <w:r>
        <w:t>,</w:t>
      </w:r>
      <w:r w:rsidR="00A84558">
        <w:t xml:space="preserve"> </w:t>
      </w:r>
      <w:r w:rsidRPr="00120A7A">
        <w:t>295 (2015)</w:t>
      </w:r>
      <w:r>
        <w:t xml:space="preserve"> 559-565</w:t>
      </w:r>
      <w:r w:rsidRPr="00120A7A">
        <w:t>.</w:t>
      </w:r>
    </w:p>
    <w:p w:rsidR="00EE0862" w:rsidRPr="00FD4A66" w:rsidRDefault="00FE3CF3" w:rsidP="00EE0862">
      <w:pPr>
        <w:pStyle w:val="Referencelist"/>
      </w:pPr>
      <w:r w:rsidRPr="00FD4A66">
        <w:t>PELOWITZ</w:t>
      </w:r>
      <w:r w:rsidR="00EE0862" w:rsidRPr="00FD4A66">
        <w:t>,</w:t>
      </w:r>
      <w:r>
        <w:t xml:space="preserve"> D. </w:t>
      </w:r>
      <w:r w:rsidR="00EE0862" w:rsidRPr="00FD4A66">
        <w:t>MCNPX User’s Manual, Version 2.7.0”, Los Alamos National Laboratory,</w:t>
      </w:r>
      <w:r>
        <w:t xml:space="preserve"> USA</w:t>
      </w:r>
      <w:r w:rsidR="00EE0862" w:rsidRPr="00FD4A66">
        <w:t xml:space="preserve"> </w:t>
      </w:r>
      <w:r>
        <w:t>(</w:t>
      </w:r>
      <w:r w:rsidR="00EE0862" w:rsidRPr="00FD4A66">
        <w:t>2011</w:t>
      </w:r>
      <w:r>
        <w:t>)</w:t>
      </w:r>
      <w:r w:rsidR="00EE0862" w:rsidRPr="00FD4A66">
        <w:t>.</w:t>
      </w:r>
    </w:p>
    <w:p w:rsidR="00EE0862" w:rsidRDefault="00EE0862" w:rsidP="00EE0862">
      <w:pPr>
        <w:pStyle w:val="Referencelist"/>
        <w:numPr>
          <w:ilvl w:val="0"/>
          <w:numId w:val="0"/>
        </w:numPr>
        <w:ind w:left="720" w:hanging="360"/>
      </w:pPr>
    </w:p>
    <w:p w:rsidR="00F45EEE" w:rsidRPr="00662532" w:rsidRDefault="00F45EEE" w:rsidP="00537496">
      <w:pPr>
        <w:pStyle w:val="BodyText"/>
        <w:ind w:firstLine="0"/>
        <w:jc w:val="left"/>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1D" w:rsidRDefault="00011C1D">
      <w:r>
        <w:separator/>
      </w:r>
    </w:p>
  </w:endnote>
  <w:endnote w:type="continuationSeparator" w:id="1">
    <w:p w:rsidR="00011C1D" w:rsidRDefault="0001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0969CD">
    <w:pPr>
      <w:pStyle w:val="zyxClassification1"/>
    </w:pPr>
    <w:r>
      <w:fldChar w:fldCharType="begin"/>
    </w:r>
    <w:r w:rsidR="00E20E70">
      <w:instrText xml:space="preserve"> DOCPROPERTY "IaeaClassification"  \* MERGEFORMAT </w:instrText>
    </w:r>
    <w:r>
      <w:fldChar w:fldCharType="end"/>
    </w:r>
  </w:p>
  <w:p w:rsidR="00E20E70" w:rsidRDefault="000969CD">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0969CD">
    <w:pPr>
      <w:pStyle w:val="zyxClassification1"/>
    </w:pPr>
    <w:r>
      <w:fldChar w:fldCharType="begin"/>
    </w:r>
    <w:r w:rsidR="00E20E70">
      <w:instrText xml:space="preserve"> DOCPROPERTY "IaeaClassification"  \* MERGEFORMAT </w:instrText>
    </w:r>
    <w:r>
      <w:fldChar w:fldCharType="end"/>
    </w:r>
  </w:p>
  <w:p w:rsidR="00E20E70" w:rsidRPr="00037321" w:rsidRDefault="000969CD">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97E3C">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0969CD">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0969CD">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1" w:name="DOC_bkmClassification2"/>
      <w:tc>
        <w:tcPr>
          <w:tcW w:w="5670" w:type="dxa"/>
          <w:tcMar>
            <w:right w:w="249" w:type="dxa"/>
          </w:tcMar>
        </w:tcPr>
        <w:p w:rsidR="00E20E70" w:rsidRDefault="000969CD">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0969CD">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0969CD">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1D" w:rsidRDefault="00011C1D">
      <w:r>
        <w:t>___________________________________________________________________________</w:t>
      </w:r>
    </w:p>
  </w:footnote>
  <w:footnote w:type="continuationSeparator" w:id="1">
    <w:p w:rsidR="00011C1D" w:rsidRDefault="00011C1D">
      <w:r>
        <w:t>___________________________________________________________________________</w:t>
      </w:r>
    </w:p>
  </w:footnote>
  <w:footnote w:type="continuationNotice" w:id="2">
    <w:p w:rsidR="00011C1D" w:rsidRDefault="00011C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7475F0">
    <w:pPr>
      <w:pStyle w:val="Runninghead"/>
    </w:pPr>
    <w:r>
      <w:tab/>
    </w:r>
    <w:r w:rsidR="007475F0">
      <w:t>IAEA-CN272-16</w:t>
    </w:r>
  </w:p>
  <w:p w:rsidR="00E20E70" w:rsidRDefault="00CF7AF3" w:rsidP="009E6FD1">
    <w:pPr>
      <w:pStyle w:val="zyxClassification1"/>
      <w:tabs>
        <w:tab w:val="left" w:pos="3956"/>
        <w:tab w:val="right" w:pos="9071"/>
      </w:tabs>
      <w:ind w:firstLine="0"/>
      <w:jc w:val="left"/>
    </w:pPr>
    <w:r>
      <w:tab/>
    </w:r>
    <w:r w:rsidR="000969CD">
      <w:fldChar w:fldCharType="begin"/>
    </w:r>
    <w:r w:rsidR="00E20E70">
      <w:instrText xml:space="preserve"> DOCPROPERTY "IaeaClassification"  \* MERGEFORMAT </w:instrText>
    </w:r>
    <w:r w:rsidR="000969CD">
      <w:fldChar w:fldCharType="end"/>
    </w:r>
  </w:p>
  <w:p w:rsidR="00E20E70" w:rsidRDefault="000969CD">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1" w:rsidRPr="000E2D45" w:rsidRDefault="000E2D45" w:rsidP="000E2D45">
    <w:pPr>
      <w:pStyle w:val="Runninghead"/>
    </w:pPr>
    <w:r>
      <w:t>MOHAMED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0969CD">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0"/>
        </w:p>
        <w:p w:rsidR="00E20E70" w:rsidRDefault="000969CD">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BEFC6040"/>
    <w:name w:val="HeadingTemplate222"/>
    <w:lvl w:ilvl="0" w:tplc="F8382ED8">
      <w:start w:val="1"/>
      <w:numFmt w:val="decimal"/>
      <w:pStyle w:val="Referencelist"/>
      <w:lvlText w:val="[%1]"/>
      <w:lvlJc w:val="left"/>
      <w:pPr>
        <w:ind w:left="12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760C8A"/>
    <w:multiLevelType w:val="hybridMultilevel"/>
    <w:tmpl w:val="3DA421FA"/>
    <w:lvl w:ilvl="0" w:tplc="C2E41E18">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FD22D5"/>
    <w:multiLevelType w:val="hybridMultilevel"/>
    <w:tmpl w:val="0762AD78"/>
    <w:lvl w:ilvl="0" w:tplc="032E5A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A7144"/>
    <w:multiLevelType w:val="hybridMultilevel"/>
    <w:tmpl w:val="D2209CBE"/>
    <w:lvl w:ilvl="0" w:tplc="D0944D0A">
      <w:start w:val="4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4"/>
  </w:num>
  <w:num w:numId="3">
    <w:abstractNumId w:val="13"/>
  </w:num>
  <w:num w:numId="4">
    <w:abstractNumId w:val="13"/>
  </w:num>
  <w:num w:numId="5">
    <w:abstractNumId w:val="13"/>
  </w:num>
  <w:num w:numId="6">
    <w:abstractNumId w:val="5"/>
  </w:num>
  <w:num w:numId="7">
    <w:abstractNumId w:val="11"/>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6"/>
  </w:num>
  <w:num w:numId="31">
    <w:abstractNumId w:val="6"/>
  </w:num>
  <w:num w:numId="32">
    <w:abstractNumId w:val="13"/>
  </w:num>
  <w:num w:numId="33">
    <w:abstractNumId w:val="8"/>
  </w:num>
  <w:num w:numId="34">
    <w:abstractNumId w:val="7"/>
  </w:num>
  <w:num w:numId="35">
    <w:abstractNumId w:val="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4818"/>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1D"/>
    <w:rsid w:val="000229AB"/>
    <w:rsid w:val="0002569A"/>
    <w:rsid w:val="00037321"/>
    <w:rsid w:val="00053862"/>
    <w:rsid w:val="00081636"/>
    <w:rsid w:val="0009299B"/>
    <w:rsid w:val="000969CD"/>
    <w:rsid w:val="000A0299"/>
    <w:rsid w:val="000A1EF5"/>
    <w:rsid w:val="000E2D45"/>
    <w:rsid w:val="000E4DD0"/>
    <w:rsid w:val="000F7E94"/>
    <w:rsid w:val="001119D6"/>
    <w:rsid w:val="001308F2"/>
    <w:rsid w:val="001313E8"/>
    <w:rsid w:val="00147976"/>
    <w:rsid w:val="001A62BF"/>
    <w:rsid w:val="001B3609"/>
    <w:rsid w:val="001C58F5"/>
    <w:rsid w:val="001C6015"/>
    <w:rsid w:val="001D5CEE"/>
    <w:rsid w:val="001E30D7"/>
    <w:rsid w:val="001E7C78"/>
    <w:rsid w:val="001F4D97"/>
    <w:rsid w:val="002071D9"/>
    <w:rsid w:val="00211900"/>
    <w:rsid w:val="00256822"/>
    <w:rsid w:val="00260DCE"/>
    <w:rsid w:val="0026525A"/>
    <w:rsid w:val="00274790"/>
    <w:rsid w:val="00282909"/>
    <w:rsid w:val="00285755"/>
    <w:rsid w:val="002A1F9C"/>
    <w:rsid w:val="002B29C2"/>
    <w:rsid w:val="002B4968"/>
    <w:rsid w:val="002C05CD"/>
    <w:rsid w:val="002C4208"/>
    <w:rsid w:val="00352DE1"/>
    <w:rsid w:val="003728E6"/>
    <w:rsid w:val="0037484A"/>
    <w:rsid w:val="00380B07"/>
    <w:rsid w:val="00384E51"/>
    <w:rsid w:val="003B5E0E"/>
    <w:rsid w:val="003C3E1C"/>
    <w:rsid w:val="003D0D83"/>
    <w:rsid w:val="003D255A"/>
    <w:rsid w:val="003E6039"/>
    <w:rsid w:val="00405EE5"/>
    <w:rsid w:val="00416949"/>
    <w:rsid w:val="004370D8"/>
    <w:rsid w:val="00472C43"/>
    <w:rsid w:val="00474BFC"/>
    <w:rsid w:val="00492EE7"/>
    <w:rsid w:val="004C0012"/>
    <w:rsid w:val="004C6C2B"/>
    <w:rsid w:val="00537496"/>
    <w:rsid w:val="00544ED3"/>
    <w:rsid w:val="00562540"/>
    <w:rsid w:val="0058477B"/>
    <w:rsid w:val="0058654F"/>
    <w:rsid w:val="00596ACA"/>
    <w:rsid w:val="005B1CA5"/>
    <w:rsid w:val="005E39BC"/>
    <w:rsid w:val="005F00A0"/>
    <w:rsid w:val="005F151A"/>
    <w:rsid w:val="005F6476"/>
    <w:rsid w:val="00647F33"/>
    <w:rsid w:val="00651811"/>
    <w:rsid w:val="00662532"/>
    <w:rsid w:val="006B2274"/>
    <w:rsid w:val="00706995"/>
    <w:rsid w:val="00717C6F"/>
    <w:rsid w:val="007445DA"/>
    <w:rsid w:val="007475F0"/>
    <w:rsid w:val="007B4FD1"/>
    <w:rsid w:val="007D0F36"/>
    <w:rsid w:val="007E2750"/>
    <w:rsid w:val="007E5E2C"/>
    <w:rsid w:val="00802381"/>
    <w:rsid w:val="008366C3"/>
    <w:rsid w:val="00883848"/>
    <w:rsid w:val="00897ED5"/>
    <w:rsid w:val="008B6BB9"/>
    <w:rsid w:val="00910042"/>
    <w:rsid w:val="00911543"/>
    <w:rsid w:val="00944013"/>
    <w:rsid w:val="009519C9"/>
    <w:rsid w:val="009A7A36"/>
    <w:rsid w:val="009D0B86"/>
    <w:rsid w:val="009E0D5B"/>
    <w:rsid w:val="009E1558"/>
    <w:rsid w:val="009E6FD1"/>
    <w:rsid w:val="00A348B5"/>
    <w:rsid w:val="00A42898"/>
    <w:rsid w:val="00A43B5C"/>
    <w:rsid w:val="00A84558"/>
    <w:rsid w:val="00AB6ACE"/>
    <w:rsid w:val="00AC5A3A"/>
    <w:rsid w:val="00AE7D93"/>
    <w:rsid w:val="00B82FA5"/>
    <w:rsid w:val="00BD0132"/>
    <w:rsid w:val="00BD1400"/>
    <w:rsid w:val="00BD605C"/>
    <w:rsid w:val="00BE2A76"/>
    <w:rsid w:val="00BE5917"/>
    <w:rsid w:val="00C65E60"/>
    <w:rsid w:val="00C97E3C"/>
    <w:rsid w:val="00CB56A0"/>
    <w:rsid w:val="00CE3874"/>
    <w:rsid w:val="00CE5A52"/>
    <w:rsid w:val="00CF7AF3"/>
    <w:rsid w:val="00D059B3"/>
    <w:rsid w:val="00D05B14"/>
    <w:rsid w:val="00D25BA4"/>
    <w:rsid w:val="00D26ADA"/>
    <w:rsid w:val="00D31C84"/>
    <w:rsid w:val="00D35A78"/>
    <w:rsid w:val="00D448E5"/>
    <w:rsid w:val="00D51658"/>
    <w:rsid w:val="00D555A1"/>
    <w:rsid w:val="00D64DC2"/>
    <w:rsid w:val="00D800BC"/>
    <w:rsid w:val="00DA46CA"/>
    <w:rsid w:val="00DC28BC"/>
    <w:rsid w:val="00DE3FE0"/>
    <w:rsid w:val="00DF21EB"/>
    <w:rsid w:val="00E108A5"/>
    <w:rsid w:val="00E20E70"/>
    <w:rsid w:val="00E25B68"/>
    <w:rsid w:val="00E84003"/>
    <w:rsid w:val="00E94DA3"/>
    <w:rsid w:val="00EB4E2E"/>
    <w:rsid w:val="00EC10FC"/>
    <w:rsid w:val="00EE0041"/>
    <w:rsid w:val="00EE0862"/>
    <w:rsid w:val="00EE29B9"/>
    <w:rsid w:val="00EF7193"/>
    <w:rsid w:val="00F004EE"/>
    <w:rsid w:val="00F1459F"/>
    <w:rsid w:val="00F42E23"/>
    <w:rsid w:val="00F45EEE"/>
    <w:rsid w:val="00F51E9C"/>
    <w:rsid w:val="00F523CA"/>
    <w:rsid w:val="00F72198"/>
    <w:rsid w:val="00F74A9D"/>
    <w:rsid w:val="00F8607A"/>
    <w:rsid w:val="00FA4AC7"/>
    <w:rsid w:val="00FB0392"/>
    <w:rsid w:val="00FE3CF3"/>
    <w:rsid w:val="00FF38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Balloon Text" w:locked="0" w:semiHidden="0" w:unhideWhenUsed="0"/>
    <w:lsdException w:name="Table Grid" w:locked="0" w:semiHidden="0" w:uiPriority="59" w:unhideWhenUsed="0"/>
    <w:lsdException w:name="Table Theme" w:semiHidden="0" w:uiPriority="0" w:unhideWhenUsed="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0A1EF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0A1EF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0A1EF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0A1EF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0A1EF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0A1EF5"/>
    <w:pPr>
      <w:ind w:left="1134" w:hanging="675"/>
    </w:pPr>
  </w:style>
  <w:style w:type="paragraph" w:customStyle="1" w:styleId="BodyTextMultiline">
    <w:name w:val="Body Text Multiline"/>
    <w:basedOn w:val="BodyText"/>
    <w:locked/>
    <w:rsid w:val="000A1EF5"/>
    <w:pPr>
      <w:numPr>
        <w:numId w:val="1"/>
      </w:numPr>
    </w:pPr>
  </w:style>
  <w:style w:type="paragraph" w:customStyle="1" w:styleId="BodyTextSummary">
    <w:name w:val="Body Text Summary"/>
    <w:uiPriority w:val="49"/>
    <w:locked/>
    <w:rsid w:val="000A1EF5"/>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0A1EF5"/>
    <w:pPr>
      <w:spacing w:after="85"/>
    </w:pPr>
    <w:rPr>
      <w:bCs/>
      <w:sz w:val="18"/>
      <w:lang w:val="en-US" w:eastAsia="en-US"/>
    </w:rPr>
  </w:style>
  <w:style w:type="paragraph" w:styleId="Footer">
    <w:name w:val="footer"/>
    <w:basedOn w:val="Normal"/>
    <w:link w:val="FooterChar"/>
    <w:uiPriority w:val="99"/>
    <w:locked/>
    <w:rsid w:val="000A1EF5"/>
    <w:pPr>
      <w:overflowPunct/>
      <w:autoSpaceDE/>
      <w:autoSpaceDN/>
      <w:adjustRightInd/>
      <w:textAlignment w:val="auto"/>
    </w:pPr>
    <w:rPr>
      <w:sz w:val="2"/>
      <w:lang w:val="en-US"/>
    </w:rPr>
  </w:style>
  <w:style w:type="paragraph" w:styleId="FootnoteText">
    <w:name w:val="footnote text"/>
    <w:semiHidden/>
    <w:locked/>
    <w:rsid w:val="000A1EF5"/>
    <w:pPr>
      <w:tabs>
        <w:tab w:val="left" w:pos="459"/>
      </w:tabs>
      <w:spacing w:before="142"/>
      <w:ind w:left="459"/>
      <w:jc w:val="both"/>
    </w:pPr>
    <w:rPr>
      <w:sz w:val="18"/>
      <w:lang w:eastAsia="en-US"/>
    </w:rPr>
  </w:style>
  <w:style w:type="paragraph" w:styleId="Header">
    <w:name w:val="header"/>
    <w:next w:val="BodyText"/>
    <w:uiPriority w:val="49"/>
    <w:locked/>
    <w:rsid w:val="000A1EF5"/>
    <w:pPr>
      <w:spacing w:after="85"/>
    </w:pPr>
    <w:rPr>
      <w:sz w:val="18"/>
      <w:lang w:val="en-US" w:eastAsia="en-US"/>
    </w:rPr>
  </w:style>
  <w:style w:type="paragraph" w:customStyle="1" w:styleId="ListBulleted">
    <w:name w:val="List Bulleted"/>
    <w:uiPriority w:val="7"/>
    <w:qFormat/>
    <w:locked/>
    <w:rsid w:val="000A1EF5"/>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0A1EF5"/>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0A1EF5"/>
    <w:pPr>
      <w:spacing w:after="20" w:line="220" w:lineRule="exact"/>
      <w:jc w:val="right"/>
    </w:pPr>
    <w:rPr>
      <w:rFonts w:ascii="Arial" w:hAnsi="Arial" w:cs="Arial"/>
      <w:color w:val="FF0000"/>
    </w:rPr>
  </w:style>
  <w:style w:type="paragraph" w:customStyle="1" w:styleId="zyxConfidRed">
    <w:name w:val="zyxConfidRed"/>
    <w:uiPriority w:val="49"/>
    <w:locked/>
    <w:rsid w:val="000A1EF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0A1EF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0A1EF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0A1EF5"/>
    <w:pPr>
      <w:spacing w:after="60" w:line="280" w:lineRule="exact"/>
      <w:ind w:left="113"/>
    </w:pPr>
    <w:rPr>
      <w:sz w:val="22"/>
      <w:lang w:eastAsia="en-US"/>
    </w:rPr>
  </w:style>
  <w:style w:type="paragraph" w:customStyle="1" w:styleId="zyxFillIn">
    <w:name w:val="zyxFill_In"/>
    <w:basedOn w:val="zyxPrePrint"/>
    <w:uiPriority w:val="49"/>
    <w:locked/>
    <w:rsid w:val="000A1EF5"/>
    <w:rPr>
      <w:b/>
    </w:rPr>
  </w:style>
  <w:style w:type="paragraph" w:customStyle="1" w:styleId="zyxLogo">
    <w:name w:val="zyxLogo"/>
    <w:basedOn w:val="Normal"/>
    <w:uiPriority w:val="49"/>
    <w:locked/>
    <w:rsid w:val="000A1EF5"/>
    <w:pPr>
      <w:keepNext/>
      <w:spacing w:after="10"/>
    </w:pPr>
    <w:rPr>
      <w:rFonts w:ascii="Arial" w:hAnsi="Arial"/>
      <w:b/>
      <w:sz w:val="13"/>
    </w:rPr>
  </w:style>
  <w:style w:type="paragraph" w:customStyle="1" w:styleId="zyxP1Footer">
    <w:name w:val="zyxP1_Footer"/>
    <w:basedOn w:val="Normal"/>
    <w:uiPriority w:val="49"/>
    <w:locked/>
    <w:rsid w:val="000A1EF5"/>
    <w:pPr>
      <w:widowControl w:val="0"/>
      <w:spacing w:line="160" w:lineRule="exact"/>
      <w:ind w:left="108"/>
    </w:pPr>
    <w:rPr>
      <w:sz w:val="14"/>
    </w:rPr>
  </w:style>
  <w:style w:type="paragraph" w:customStyle="1" w:styleId="zyxSensitivity">
    <w:name w:val="zyxSensitivity"/>
    <w:basedOn w:val="Normal"/>
    <w:uiPriority w:val="49"/>
    <w:locked/>
    <w:rsid w:val="000A1EF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0A1EF5"/>
    <w:pPr>
      <w:keepNext/>
      <w:spacing w:line="420" w:lineRule="exact"/>
    </w:pPr>
    <w:rPr>
      <w:rFonts w:ascii="Arial" w:hAnsi="Arial"/>
      <w:sz w:val="40"/>
    </w:rPr>
  </w:style>
  <w:style w:type="character" w:styleId="FootnoteReference">
    <w:name w:val="footnote reference"/>
    <w:basedOn w:val="DefaultParagraphFont"/>
    <w:semiHidden/>
    <w:locked/>
    <w:rsid w:val="000A1EF5"/>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0A1EF5"/>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0A1EF5"/>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0A1EF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ListParagraph">
    <w:name w:val="List Paragraph"/>
    <w:basedOn w:val="Normal"/>
    <w:uiPriority w:val="34"/>
    <w:qFormat/>
    <w:locked/>
    <w:rsid w:val="00DC28BC"/>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character" w:styleId="Hyperlink">
    <w:name w:val="Hyperlink"/>
    <w:basedOn w:val="DefaultParagraphFont"/>
    <w:uiPriority w:val="99"/>
    <w:unhideWhenUsed/>
    <w:locked/>
    <w:rsid w:val="00EE08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apers\Spent%20fuel%20conference\Fig.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pers\Spent%20fuel%20conference\Deple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58573928259017"/>
          <c:y val="5.1400554097404488E-2"/>
          <c:w val="0.84949759405074354"/>
          <c:h val="0.79822506561679785"/>
        </c:manualLayout>
      </c:layout>
      <c:scatterChart>
        <c:scatterStyle val="smoothMarker"/>
        <c:ser>
          <c:idx val="0"/>
          <c:order val="0"/>
          <c:tx>
            <c:v>Reference assembly, 4.5w/o U-235, 0.31 mgB-10/cm IFBA for all rods </c:v>
          </c:tx>
          <c:spPr>
            <a:ln w="19050">
              <a:solidFill>
                <a:schemeClr val="tx1"/>
              </a:solidFill>
            </a:ln>
          </c:spPr>
          <c:marker>
            <c:spPr>
              <a:solidFill>
                <a:schemeClr val="tx1"/>
              </a:solidFill>
              <a:ln>
                <a:solidFill>
                  <a:sysClr val="windowText" lastClr="000000"/>
                </a:solidFill>
              </a:ln>
            </c:spPr>
          </c:marker>
          <c:xVal>
            <c:numRef>
              <c:f>Sheet1!$E$1:$E$55</c:f>
              <c:numCache>
                <c:formatCode>0.00E+00</c:formatCode>
                <c:ptCount val="55"/>
                <c:pt idx="0">
                  <c:v>0</c:v>
                </c:pt>
                <c:pt idx="1">
                  <c:v>0.49995165345194381</c:v>
                </c:pt>
                <c:pt idx="2">
                  <c:v>1.5001160317153361</c:v>
                </c:pt>
                <c:pt idx="3">
                  <c:v>3.5009669309611287</c:v>
                </c:pt>
                <c:pt idx="4">
                  <c:v>7.5005801585766765</c:v>
                </c:pt>
                <c:pt idx="5">
                  <c:v>17.502223941210588</c:v>
                </c:pt>
                <c:pt idx="6">
                  <c:v>37.489847224908125</c:v>
                </c:pt>
                <c:pt idx="7">
                  <c:v>67.513053567975518</c:v>
                </c:pt>
                <c:pt idx="8">
                  <c:v>97.510152775091854</c:v>
                </c:pt>
                <c:pt idx="9">
                  <c:v>127.50725198220869</c:v>
                </c:pt>
                <c:pt idx="10">
                  <c:v>157.50435118932498</c:v>
                </c:pt>
                <c:pt idx="11">
                  <c:v>187.5014503964417</c:v>
                </c:pt>
                <c:pt idx="12">
                  <c:v>217.52465673950803</c:v>
                </c:pt>
                <c:pt idx="13">
                  <c:v>247.5217559466254</c:v>
                </c:pt>
                <c:pt idx="14">
                  <c:v>287.43956681492926</c:v>
                </c:pt>
                <c:pt idx="15">
                  <c:v>329.99419841423207</c:v>
                </c:pt>
                <c:pt idx="16">
                  <c:v>390.04061110036878</c:v>
                </c:pt>
                <c:pt idx="17">
                  <c:v>450.08702378650162</c:v>
                </c:pt>
                <c:pt idx="18">
                  <c:v>510.13343647263446</c:v>
                </c:pt>
                <c:pt idx="19">
                  <c:v>569.91877779926551</c:v>
                </c:pt>
                <c:pt idx="20">
                  <c:v>629.96519048539699</c:v>
                </c:pt>
                <c:pt idx="21">
                  <c:v>690.01160317153347</c:v>
                </c:pt>
                <c:pt idx="22">
                  <c:v>750.05801585766801</c:v>
                </c:pt>
                <c:pt idx="23">
                  <c:v>810.10442854380301</c:v>
                </c:pt>
                <c:pt idx="24">
                  <c:v>870.15084122993653</c:v>
                </c:pt>
                <c:pt idx="25">
                  <c:v>929.93618255656554</c:v>
                </c:pt>
                <c:pt idx="26">
                  <c:v>989.98259524269974</c:v>
                </c:pt>
                <c:pt idx="27">
                  <c:v>1050.0290079288338</c:v>
                </c:pt>
                <c:pt idx="28">
                  <c:v>1110.0754206149645</c:v>
                </c:pt>
                <c:pt idx="29">
                  <c:v>1170.1218333011022</c:v>
                </c:pt>
                <c:pt idx="30">
                  <c:v>1230.1682459872359</c:v>
                </c:pt>
                <c:pt idx="31">
                  <c:v>1290.2146586733706</c:v>
                </c:pt>
                <c:pt idx="32">
                  <c:v>1350</c:v>
                </c:pt>
                <c:pt idx="33">
                  <c:v>0</c:v>
                </c:pt>
                <c:pt idx="34">
                  <c:v>0.49995165345194381</c:v>
                </c:pt>
                <c:pt idx="35">
                  <c:v>1.5001160317153361</c:v>
                </c:pt>
                <c:pt idx="36">
                  <c:v>3.5009669309611287</c:v>
                </c:pt>
                <c:pt idx="37">
                  <c:v>7.5005801585766765</c:v>
                </c:pt>
                <c:pt idx="38">
                  <c:v>17.502223941210588</c:v>
                </c:pt>
                <c:pt idx="39">
                  <c:v>37.489847224908125</c:v>
                </c:pt>
                <c:pt idx="40">
                  <c:v>67.513053567975518</c:v>
                </c:pt>
                <c:pt idx="41">
                  <c:v>97.510152775091854</c:v>
                </c:pt>
                <c:pt idx="42">
                  <c:v>127.50725198220869</c:v>
                </c:pt>
                <c:pt idx="43">
                  <c:v>157.50435118932498</c:v>
                </c:pt>
                <c:pt idx="44">
                  <c:v>187.5014503964417</c:v>
                </c:pt>
                <c:pt idx="45">
                  <c:v>217.52465673950803</c:v>
                </c:pt>
                <c:pt idx="46">
                  <c:v>247.5217559466254</c:v>
                </c:pt>
                <c:pt idx="47">
                  <c:v>287.43956681492926</c:v>
                </c:pt>
                <c:pt idx="48">
                  <c:v>329.99419841423207</c:v>
                </c:pt>
                <c:pt idx="49">
                  <c:v>390.04061110036878</c:v>
                </c:pt>
                <c:pt idx="50">
                  <c:v>450.08702378650162</c:v>
                </c:pt>
                <c:pt idx="51">
                  <c:v>510.13343647263446</c:v>
                </c:pt>
                <c:pt idx="52">
                  <c:v>569.91877779926551</c:v>
                </c:pt>
                <c:pt idx="53">
                  <c:v>629.96519048539699</c:v>
                </c:pt>
                <c:pt idx="54">
                  <c:v>690.01160317153347</c:v>
                </c:pt>
              </c:numCache>
            </c:numRef>
          </c:xVal>
          <c:yVal>
            <c:numRef>
              <c:f>Sheet1!$F$1:$F$55</c:f>
              <c:numCache>
                <c:formatCode>General</c:formatCode>
                <c:ptCount val="55"/>
                <c:pt idx="0">
                  <c:v>1.2135899999999966</c:v>
                </c:pt>
                <c:pt idx="1">
                  <c:v>1.1957</c:v>
                </c:pt>
                <c:pt idx="2">
                  <c:v>1.18187</c:v>
                </c:pt>
                <c:pt idx="3">
                  <c:v>1.18161</c:v>
                </c:pt>
                <c:pt idx="4">
                  <c:v>1.1791100000000001</c:v>
                </c:pt>
                <c:pt idx="5">
                  <c:v>1.1838299999999966</c:v>
                </c:pt>
                <c:pt idx="6">
                  <c:v>1.19486</c:v>
                </c:pt>
                <c:pt idx="7">
                  <c:v>1.2066699999999964</c:v>
                </c:pt>
                <c:pt idx="8">
                  <c:v>1.21428</c:v>
                </c:pt>
                <c:pt idx="9">
                  <c:v>1.2212499999999966</c:v>
                </c:pt>
                <c:pt idx="10">
                  <c:v>1.2234899999999966</c:v>
                </c:pt>
                <c:pt idx="11">
                  <c:v>1.2238199999999964</c:v>
                </c:pt>
                <c:pt idx="12">
                  <c:v>1.22038</c:v>
                </c:pt>
                <c:pt idx="13">
                  <c:v>1.2174299999999945</c:v>
                </c:pt>
                <c:pt idx="14">
                  <c:v>1.2139199999999963</c:v>
                </c:pt>
                <c:pt idx="15">
                  <c:v>1.2057399999999954</c:v>
                </c:pt>
                <c:pt idx="16">
                  <c:v>1.1928300000000001</c:v>
                </c:pt>
                <c:pt idx="17">
                  <c:v>1.1762300000000001</c:v>
                </c:pt>
                <c:pt idx="18">
                  <c:v>1.1605099999999999</c:v>
                </c:pt>
                <c:pt idx="19">
                  <c:v>1.14653</c:v>
                </c:pt>
                <c:pt idx="20">
                  <c:v>1.1280800000000033</c:v>
                </c:pt>
                <c:pt idx="21">
                  <c:v>1.1122500000000033</c:v>
                </c:pt>
                <c:pt idx="22">
                  <c:v>1.0970299999999966</c:v>
                </c:pt>
                <c:pt idx="23">
                  <c:v>1.0801000000000001</c:v>
                </c:pt>
                <c:pt idx="24">
                  <c:v>1.06508</c:v>
                </c:pt>
                <c:pt idx="25">
                  <c:v>1.0478499999999966</c:v>
                </c:pt>
                <c:pt idx="26">
                  <c:v>1.0336799999999966</c:v>
                </c:pt>
                <c:pt idx="27">
                  <c:v>1.0157099999999963</c:v>
                </c:pt>
                <c:pt idx="28">
                  <c:v>1.0021500000000001</c:v>
                </c:pt>
                <c:pt idx="29">
                  <c:v>0.98527999999999949</c:v>
                </c:pt>
                <c:pt idx="30">
                  <c:v>0.97158999999999907</c:v>
                </c:pt>
                <c:pt idx="31">
                  <c:v>0.95906999999999998</c:v>
                </c:pt>
                <c:pt idx="32">
                  <c:v>0.94242000000000004</c:v>
                </c:pt>
              </c:numCache>
            </c:numRef>
          </c:yVal>
          <c:smooth val="1"/>
        </c:ser>
        <c:ser>
          <c:idx val="1"/>
          <c:order val="1"/>
          <c:tx>
            <c:v>Proposed assembly, Aver. 4.5w/o U-235, 0.62 mgB-10/cm IFBA for 96 rods </c:v>
          </c:tx>
          <c:spPr>
            <a:ln w="19050">
              <a:solidFill>
                <a:sysClr val="windowText" lastClr="000000"/>
              </a:solidFill>
            </a:ln>
          </c:spPr>
          <c:marker>
            <c:symbol val="triangle"/>
            <c:size val="5"/>
            <c:spPr>
              <a:solidFill>
                <a:sysClr val="windowText" lastClr="000000"/>
              </a:solidFill>
              <a:ln>
                <a:solidFill>
                  <a:sysClr val="windowText" lastClr="000000"/>
                </a:solidFill>
              </a:ln>
            </c:spPr>
          </c:marker>
          <c:xVal>
            <c:numRef>
              <c:f>Sheet1!$E$1:$E$68</c:f>
              <c:numCache>
                <c:formatCode>0.00E+00</c:formatCode>
                <c:ptCount val="68"/>
                <c:pt idx="0">
                  <c:v>0</c:v>
                </c:pt>
                <c:pt idx="1">
                  <c:v>0.49995165345194381</c:v>
                </c:pt>
                <c:pt idx="2">
                  <c:v>1.5001160317153361</c:v>
                </c:pt>
                <c:pt idx="3">
                  <c:v>3.5009669309611287</c:v>
                </c:pt>
                <c:pt idx="4">
                  <c:v>7.5005801585766765</c:v>
                </c:pt>
                <c:pt idx="5">
                  <c:v>17.502223941210588</c:v>
                </c:pt>
                <c:pt idx="6">
                  <c:v>37.489847224908125</c:v>
                </c:pt>
                <c:pt idx="7">
                  <c:v>67.513053567975518</c:v>
                </c:pt>
                <c:pt idx="8">
                  <c:v>97.510152775091854</c:v>
                </c:pt>
                <c:pt idx="9">
                  <c:v>127.50725198220869</c:v>
                </c:pt>
                <c:pt idx="10">
                  <c:v>157.50435118932498</c:v>
                </c:pt>
                <c:pt idx="11">
                  <c:v>187.5014503964417</c:v>
                </c:pt>
                <c:pt idx="12">
                  <c:v>217.52465673950803</c:v>
                </c:pt>
                <c:pt idx="13">
                  <c:v>247.5217559466254</c:v>
                </c:pt>
                <c:pt idx="14">
                  <c:v>287.43956681492926</c:v>
                </c:pt>
                <c:pt idx="15">
                  <c:v>329.99419841423207</c:v>
                </c:pt>
                <c:pt idx="16">
                  <c:v>390.04061110036878</c:v>
                </c:pt>
                <c:pt idx="17">
                  <c:v>450.08702378650162</c:v>
                </c:pt>
                <c:pt idx="18">
                  <c:v>510.13343647263446</c:v>
                </c:pt>
                <c:pt idx="19">
                  <c:v>569.91877779926551</c:v>
                </c:pt>
                <c:pt idx="20">
                  <c:v>629.96519048539699</c:v>
                </c:pt>
                <c:pt idx="21">
                  <c:v>690.01160317153347</c:v>
                </c:pt>
                <c:pt idx="22">
                  <c:v>750.05801585766801</c:v>
                </c:pt>
                <c:pt idx="23">
                  <c:v>810.10442854380301</c:v>
                </c:pt>
                <c:pt idx="24">
                  <c:v>870.15084122993653</c:v>
                </c:pt>
                <c:pt idx="25">
                  <c:v>929.93618255656554</c:v>
                </c:pt>
                <c:pt idx="26">
                  <c:v>989.98259524269974</c:v>
                </c:pt>
                <c:pt idx="27">
                  <c:v>1050.0290079288338</c:v>
                </c:pt>
                <c:pt idx="28">
                  <c:v>1110.0754206149645</c:v>
                </c:pt>
                <c:pt idx="29">
                  <c:v>1170.1218333011022</c:v>
                </c:pt>
                <c:pt idx="30">
                  <c:v>1230.1682459872359</c:v>
                </c:pt>
                <c:pt idx="31">
                  <c:v>1290.2146586733706</c:v>
                </c:pt>
                <c:pt idx="32">
                  <c:v>1350</c:v>
                </c:pt>
                <c:pt idx="33">
                  <c:v>0</c:v>
                </c:pt>
                <c:pt idx="34">
                  <c:v>0.49995165345194381</c:v>
                </c:pt>
                <c:pt idx="35">
                  <c:v>1.5001160317153361</c:v>
                </c:pt>
                <c:pt idx="36">
                  <c:v>3.5009669309611287</c:v>
                </c:pt>
                <c:pt idx="37">
                  <c:v>7.5005801585766765</c:v>
                </c:pt>
                <c:pt idx="38">
                  <c:v>17.502223941210588</c:v>
                </c:pt>
                <c:pt idx="39">
                  <c:v>37.489847224908125</c:v>
                </c:pt>
                <c:pt idx="40">
                  <c:v>67.513053567975518</c:v>
                </c:pt>
                <c:pt idx="41">
                  <c:v>97.510152775091854</c:v>
                </c:pt>
                <c:pt idx="42">
                  <c:v>127.50725198220869</c:v>
                </c:pt>
                <c:pt idx="43">
                  <c:v>157.50435118932498</c:v>
                </c:pt>
                <c:pt idx="44">
                  <c:v>187.5014503964417</c:v>
                </c:pt>
                <c:pt idx="45">
                  <c:v>217.52465673950803</c:v>
                </c:pt>
                <c:pt idx="46">
                  <c:v>247.5217559466254</c:v>
                </c:pt>
                <c:pt idx="47">
                  <c:v>287.43956681492926</c:v>
                </c:pt>
                <c:pt idx="48">
                  <c:v>329.99419841423207</c:v>
                </c:pt>
                <c:pt idx="49">
                  <c:v>390.04061110036878</c:v>
                </c:pt>
                <c:pt idx="50">
                  <c:v>450.08702378650162</c:v>
                </c:pt>
                <c:pt idx="51">
                  <c:v>510.13343647263446</c:v>
                </c:pt>
                <c:pt idx="52">
                  <c:v>569.91877779926551</c:v>
                </c:pt>
                <c:pt idx="53">
                  <c:v>629.96519048539699</c:v>
                </c:pt>
                <c:pt idx="54">
                  <c:v>690.01160317153347</c:v>
                </c:pt>
                <c:pt idx="55">
                  <c:v>750.05801585766801</c:v>
                </c:pt>
                <c:pt idx="56">
                  <c:v>810.10442854380301</c:v>
                </c:pt>
                <c:pt idx="57">
                  <c:v>870.15084122993653</c:v>
                </c:pt>
                <c:pt idx="58">
                  <c:v>929.93618255656554</c:v>
                </c:pt>
                <c:pt idx="59">
                  <c:v>989.98259524269974</c:v>
                </c:pt>
                <c:pt idx="60">
                  <c:v>1050.0290079288338</c:v>
                </c:pt>
                <c:pt idx="61">
                  <c:v>1110.0754206149645</c:v>
                </c:pt>
                <c:pt idx="62">
                  <c:v>1170.1218333011022</c:v>
                </c:pt>
                <c:pt idx="63">
                  <c:v>1230.1682459872359</c:v>
                </c:pt>
                <c:pt idx="64">
                  <c:v>1290.2146586733706</c:v>
                </c:pt>
                <c:pt idx="65">
                  <c:v>1350</c:v>
                </c:pt>
              </c:numCache>
            </c:numRef>
          </c:xVal>
          <c:yVal>
            <c:numRef>
              <c:f>Sheet1!$G$1:$G$68</c:f>
              <c:numCache>
                <c:formatCode>General</c:formatCode>
                <c:ptCount val="68"/>
                <c:pt idx="33">
                  <c:v>1.17367</c:v>
                </c:pt>
                <c:pt idx="34">
                  <c:v>1.1585500000000033</c:v>
                </c:pt>
                <c:pt idx="35">
                  <c:v>1.1459599999999999</c:v>
                </c:pt>
                <c:pt idx="36">
                  <c:v>1.1449</c:v>
                </c:pt>
                <c:pt idx="37">
                  <c:v>1.14514</c:v>
                </c:pt>
                <c:pt idx="38">
                  <c:v>1.14795</c:v>
                </c:pt>
                <c:pt idx="39">
                  <c:v>1.1560299999999999</c:v>
                </c:pt>
                <c:pt idx="40">
                  <c:v>1.1655500000000001</c:v>
                </c:pt>
                <c:pt idx="41">
                  <c:v>1.1757500000000001</c:v>
                </c:pt>
                <c:pt idx="42">
                  <c:v>1.1795100000000001</c:v>
                </c:pt>
                <c:pt idx="43">
                  <c:v>1.1842999999999999</c:v>
                </c:pt>
                <c:pt idx="44">
                  <c:v>1.1850099999999999</c:v>
                </c:pt>
                <c:pt idx="45">
                  <c:v>1.1857500000000001</c:v>
                </c:pt>
                <c:pt idx="46">
                  <c:v>1.18387</c:v>
                </c:pt>
                <c:pt idx="47">
                  <c:v>1.18171</c:v>
                </c:pt>
                <c:pt idx="48">
                  <c:v>1.1772199999999999</c:v>
                </c:pt>
                <c:pt idx="49">
                  <c:v>1.1746000000000001</c:v>
                </c:pt>
                <c:pt idx="50">
                  <c:v>1.16683</c:v>
                </c:pt>
                <c:pt idx="51">
                  <c:v>1.1570100000000001</c:v>
                </c:pt>
                <c:pt idx="52">
                  <c:v>1.14659</c:v>
                </c:pt>
                <c:pt idx="53">
                  <c:v>1.1345700000000001</c:v>
                </c:pt>
                <c:pt idx="54">
                  <c:v>1.1230599999999999</c:v>
                </c:pt>
                <c:pt idx="55">
                  <c:v>1.1075599999999999</c:v>
                </c:pt>
                <c:pt idx="56">
                  <c:v>1.0964499999999999</c:v>
                </c:pt>
                <c:pt idx="57">
                  <c:v>1.0839099999999966</c:v>
                </c:pt>
                <c:pt idx="58">
                  <c:v>1.0714999999999963</c:v>
                </c:pt>
                <c:pt idx="59">
                  <c:v>1.0608199999999999</c:v>
                </c:pt>
                <c:pt idx="60">
                  <c:v>1.0465800000000001</c:v>
                </c:pt>
                <c:pt idx="61">
                  <c:v>1.0357799999999964</c:v>
                </c:pt>
                <c:pt idx="62">
                  <c:v>1.0243100000000001</c:v>
                </c:pt>
                <c:pt idx="63">
                  <c:v>1.0110599999999998</c:v>
                </c:pt>
                <c:pt idx="64">
                  <c:v>1.0022500000000001</c:v>
                </c:pt>
                <c:pt idx="65">
                  <c:v>0.99031999999999809</c:v>
                </c:pt>
                <c:pt idx="66">
                  <c:v>0.98153999999999808</c:v>
                </c:pt>
              </c:numCache>
            </c:numRef>
          </c:yVal>
          <c:smooth val="1"/>
        </c:ser>
        <c:axId val="63913984"/>
        <c:axId val="63916288"/>
      </c:scatterChart>
      <c:valAx>
        <c:axId val="63913984"/>
        <c:scaling>
          <c:orientation val="minMax"/>
          <c:max val="1400"/>
        </c:scaling>
        <c:axPos val="b"/>
        <c:minorGridlines>
          <c:spPr>
            <a:ln>
              <a:prstDash val="dashDot"/>
            </a:ln>
          </c:spPr>
        </c:minorGridlines>
        <c:title>
          <c:tx>
            <c:rich>
              <a:bodyPr/>
              <a:lstStyle/>
              <a:p>
                <a:pPr>
                  <a:defRPr/>
                </a:pPr>
                <a:r>
                  <a:rPr lang="en-US"/>
                  <a:t>EFPD</a:t>
                </a:r>
              </a:p>
            </c:rich>
          </c:tx>
        </c:title>
        <c:numFmt formatCode="General" sourceLinked="0"/>
        <c:tickLblPos val="nextTo"/>
        <c:crossAx val="63916288"/>
        <c:crosses val="autoZero"/>
        <c:crossBetween val="midCat"/>
        <c:minorUnit val="40"/>
      </c:valAx>
      <c:valAx>
        <c:axId val="63916288"/>
        <c:scaling>
          <c:orientation val="minMax"/>
          <c:max val="1.3"/>
          <c:min val="0.9"/>
        </c:scaling>
        <c:axPos val="l"/>
        <c:minorGridlines>
          <c:spPr>
            <a:ln>
              <a:solidFill>
                <a:sysClr val="windowText" lastClr="000000"/>
              </a:solidFill>
              <a:prstDash val="dashDot"/>
            </a:ln>
          </c:spPr>
        </c:minorGridlines>
        <c:title>
          <c:tx>
            <c:rich>
              <a:bodyPr rot="-5400000" vert="horz"/>
              <a:lstStyle/>
              <a:p>
                <a:pPr>
                  <a:defRPr/>
                </a:pPr>
                <a:r>
                  <a:rPr lang="en-US" sz="1000" b="1" i="1" u="none" strike="noStrike" baseline="0"/>
                  <a:t> </a:t>
                </a:r>
                <a:r>
                  <a:rPr lang="en-US" sz="1200" b="1" i="1" u="none" strike="noStrike" baseline="0"/>
                  <a:t>k</a:t>
                </a:r>
                <a:r>
                  <a:rPr lang="en-US" sz="1200" b="1" i="1" u="none" strike="noStrike" baseline="-25000"/>
                  <a:t>∞</a:t>
                </a:r>
                <a:endParaRPr lang="en-US" sz="1200" i="1"/>
              </a:p>
            </c:rich>
          </c:tx>
        </c:title>
        <c:numFmt formatCode="General" sourceLinked="1"/>
        <c:tickLblPos val="nextTo"/>
        <c:crossAx val="63913984"/>
        <c:crosses val="autoZero"/>
        <c:crossBetween val="midCat"/>
        <c:majorUnit val="0.1"/>
        <c:minorUnit val="5.0000000000000079E-2"/>
      </c:valAx>
    </c:plotArea>
    <c:legend>
      <c:legendPos val="r"/>
      <c:layout>
        <c:manualLayout>
          <c:xMode val="edge"/>
          <c:yMode val="edge"/>
          <c:x val="0.39359711286089238"/>
          <c:y val="8.7195246427530002E-2"/>
          <c:w val="0.59238888888888852"/>
          <c:h val="0.22375765529308794"/>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40857392825901"/>
          <c:y val="5.1400554097404488E-2"/>
          <c:w val="0.81684492563429811"/>
          <c:h val="0.83526210265383494"/>
        </c:manualLayout>
      </c:layout>
      <c:scatterChart>
        <c:scatterStyle val="smoothMarker"/>
        <c:ser>
          <c:idx val="0"/>
          <c:order val="0"/>
          <c:tx>
            <c:v>Reference bundle</c:v>
          </c:tx>
          <c:spPr>
            <a:ln>
              <a:solidFill>
                <a:schemeClr val="tx2"/>
              </a:solidFill>
            </a:ln>
          </c:spPr>
          <c:marker>
            <c:symbol val="diamond"/>
            <c:size val="5"/>
            <c:spPr>
              <a:solidFill>
                <a:schemeClr val="tx1"/>
              </a:solidFill>
              <a:ln>
                <a:solidFill>
                  <a:sysClr val="windowText" lastClr="000000"/>
                </a:solidFill>
              </a:ln>
            </c:spPr>
          </c:marker>
          <c:xVal>
            <c:numRef>
              <c:f>Sheet1!$D$2:$D$83</c:f>
              <c:numCache>
                <c:formatCode>General</c:formatCode>
                <c:ptCount val="82"/>
                <c:pt idx="0">
                  <c:v>0</c:v>
                </c:pt>
                <c:pt idx="1">
                  <c:v>1.1490000000000005E-2</c:v>
                </c:pt>
                <c:pt idx="2">
                  <c:v>3.4460000000000005E-2</c:v>
                </c:pt>
                <c:pt idx="3">
                  <c:v>8.0400000000000041E-2</c:v>
                </c:pt>
                <c:pt idx="4">
                  <c:v>0.17230000000000001</c:v>
                </c:pt>
                <c:pt idx="5">
                  <c:v>0.40200000000000002</c:v>
                </c:pt>
                <c:pt idx="6">
                  <c:v>0.86140000000000005</c:v>
                </c:pt>
                <c:pt idx="7">
                  <c:v>1.550999999999997</c:v>
                </c:pt>
                <c:pt idx="8">
                  <c:v>2.2400000000000002</c:v>
                </c:pt>
                <c:pt idx="9">
                  <c:v>2.9289999999999998</c:v>
                </c:pt>
                <c:pt idx="10">
                  <c:v>3.6179999999999999</c:v>
                </c:pt>
                <c:pt idx="11">
                  <c:v>4.3069999999999995</c:v>
                </c:pt>
                <c:pt idx="12">
                  <c:v>4.9960000000000004</c:v>
                </c:pt>
                <c:pt idx="13">
                  <c:v>5.6849999999999872</c:v>
                </c:pt>
                <c:pt idx="14">
                  <c:v>6.6039999999999965</c:v>
                </c:pt>
                <c:pt idx="15">
                  <c:v>7.5</c:v>
                </c:pt>
                <c:pt idx="16" formatCode="0.00E+00">
                  <c:v>0</c:v>
                </c:pt>
                <c:pt idx="17" formatCode="0.00E+00">
                  <c:v>1.6000000000000021E-2</c:v>
                </c:pt>
                <c:pt idx="18" formatCode="0.00E+00">
                  <c:v>4.8009999999999997E-2</c:v>
                </c:pt>
                <c:pt idx="19" formatCode="0.00E+00">
                  <c:v>0.112</c:v>
                </c:pt>
                <c:pt idx="20" formatCode="0.00E+00">
                  <c:v>0.24000000000000021</c:v>
                </c:pt>
                <c:pt idx="21" formatCode="0.00E+00">
                  <c:v>0.56010000000000004</c:v>
                </c:pt>
                <c:pt idx="22" formatCode="0.00E+00">
                  <c:v>1.2</c:v>
                </c:pt>
                <c:pt idx="23" formatCode="0.00E+00">
                  <c:v>2.16</c:v>
                </c:pt>
                <c:pt idx="24" formatCode="0.00E+00">
                  <c:v>3.12</c:v>
                </c:pt>
                <c:pt idx="25" formatCode="0.00E+00">
                  <c:v>4.08</c:v>
                </c:pt>
                <c:pt idx="26" formatCode="0.00E+00">
                  <c:v>5.0410000000000004</c:v>
                </c:pt>
                <c:pt idx="27" formatCode="0.00E+00">
                  <c:v>6.0010000000000003</c:v>
                </c:pt>
                <c:pt idx="28" formatCode="0.00E+00">
                  <c:v>6.9610000000000003</c:v>
                </c:pt>
                <c:pt idx="29" formatCode="0.00E+00">
                  <c:v>7.9210000000000003</c:v>
                </c:pt>
                <c:pt idx="30" formatCode="0.00E+00">
                  <c:v>8.8810000000000002</c:v>
                </c:pt>
                <c:pt idx="31" formatCode="0.00E+00">
                  <c:v>9.8410000000000011</c:v>
                </c:pt>
                <c:pt idx="32" formatCode="0.00E+00">
                  <c:v>11.12</c:v>
                </c:pt>
                <c:pt idx="33" formatCode="0.00E+00">
                  <c:v>12.48</c:v>
                </c:pt>
                <c:pt idx="34" formatCode="0.00E+00">
                  <c:v>14.4</c:v>
                </c:pt>
                <c:pt idx="35" formatCode="0.00E+00">
                  <c:v>16.32</c:v>
                </c:pt>
                <c:pt idx="36" formatCode="0.00E+00">
                  <c:v>18.239999999999988</c:v>
                </c:pt>
                <c:pt idx="37" formatCode="0.00E+00">
                  <c:v>20.16</c:v>
                </c:pt>
                <c:pt idx="38" formatCode="0.00E+00">
                  <c:v>22.08</c:v>
                </c:pt>
                <c:pt idx="39" formatCode="0.00E+00">
                  <c:v>24</c:v>
                </c:pt>
                <c:pt idx="40" formatCode="0.00E+00">
                  <c:v>25.919999999999987</c:v>
                </c:pt>
                <c:pt idx="41" formatCode="0.00E+00">
                  <c:v>27.84</c:v>
                </c:pt>
                <c:pt idx="42" formatCode="0.00E+00">
                  <c:v>29.759999999999987</c:v>
                </c:pt>
              </c:numCache>
            </c:numRef>
          </c:xVal>
          <c:yVal>
            <c:numRef>
              <c:f>Sheet1!$E$2:$E$83</c:f>
              <c:numCache>
                <c:formatCode>General</c:formatCode>
                <c:ptCount val="82"/>
                <c:pt idx="0">
                  <c:v>0.11807245916675486</c:v>
                </c:pt>
                <c:pt idx="1">
                  <c:v>9.7961392747610024E-2</c:v>
                </c:pt>
                <c:pt idx="2">
                  <c:v>8.8780149986787266E-2</c:v>
                </c:pt>
                <c:pt idx="3">
                  <c:v>8.4651435266549807E-2</c:v>
                </c:pt>
                <c:pt idx="4">
                  <c:v>8.2139349603943201E-2</c:v>
                </c:pt>
                <c:pt idx="5">
                  <c:v>8.3174416898929224E-2</c:v>
                </c:pt>
                <c:pt idx="6">
                  <c:v>8.6132053918208759E-2</c:v>
                </c:pt>
                <c:pt idx="7">
                  <c:v>8.4190378504116953E-2</c:v>
                </c:pt>
                <c:pt idx="8">
                  <c:v>7.7737505648857799E-2</c:v>
                </c:pt>
                <c:pt idx="9">
                  <c:v>6.9819358919502084E-2</c:v>
                </c:pt>
                <c:pt idx="10">
                  <c:v>6.0503570086433825E-2</c:v>
                </c:pt>
                <c:pt idx="11">
                  <c:v>5.0404527671212083E-2</c:v>
                </c:pt>
                <c:pt idx="12">
                  <c:v>3.9468249622991392E-2</c:v>
                </c:pt>
                <c:pt idx="13">
                  <c:v>2.8437630553693416E-2</c:v>
                </c:pt>
                <c:pt idx="14">
                  <c:v>1.4370478424569809E-2</c:v>
                </c:pt>
                <c:pt idx="15">
                  <c:v>0</c:v>
                </c:pt>
              </c:numCache>
            </c:numRef>
          </c:yVal>
          <c:smooth val="1"/>
        </c:ser>
        <c:ser>
          <c:idx val="1"/>
          <c:order val="1"/>
          <c:tx>
            <c:v>RPSFB</c:v>
          </c:tx>
          <c:spPr>
            <a:ln>
              <a:solidFill>
                <a:schemeClr val="tx1"/>
              </a:solidFill>
            </a:ln>
          </c:spPr>
          <c:marker>
            <c:symbol val="square"/>
            <c:size val="5"/>
            <c:spPr>
              <a:solidFill>
                <a:schemeClr val="tx1"/>
              </a:solidFill>
              <a:ln>
                <a:solidFill>
                  <a:schemeClr val="tx1"/>
                </a:solidFill>
              </a:ln>
            </c:spPr>
          </c:marker>
          <c:xVal>
            <c:numRef>
              <c:f>Sheet1!$D$2:$D$83</c:f>
              <c:numCache>
                <c:formatCode>General</c:formatCode>
                <c:ptCount val="82"/>
                <c:pt idx="0">
                  <c:v>0</c:v>
                </c:pt>
                <c:pt idx="1">
                  <c:v>1.1490000000000005E-2</c:v>
                </c:pt>
                <c:pt idx="2">
                  <c:v>3.4460000000000005E-2</c:v>
                </c:pt>
                <c:pt idx="3">
                  <c:v>8.0400000000000041E-2</c:v>
                </c:pt>
                <c:pt idx="4">
                  <c:v>0.17230000000000001</c:v>
                </c:pt>
                <c:pt idx="5">
                  <c:v>0.40200000000000002</c:v>
                </c:pt>
                <c:pt idx="6">
                  <c:v>0.86140000000000005</c:v>
                </c:pt>
                <c:pt idx="7">
                  <c:v>1.550999999999997</c:v>
                </c:pt>
                <c:pt idx="8">
                  <c:v>2.2400000000000002</c:v>
                </c:pt>
                <c:pt idx="9">
                  <c:v>2.9289999999999998</c:v>
                </c:pt>
                <c:pt idx="10">
                  <c:v>3.6179999999999999</c:v>
                </c:pt>
                <c:pt idx="11">
                  <c:v>4.3069999999999995</c:v>
                </c:pt>
                <c:pt idx="12">
                  <c:v>4.9960000000000004</c:v>
                </c:pt>
                <c:pt idx="13">
                  <c:v>5.6849999999999872</c:v>
                </c:pt>
                <c:pt idx="14">
                  <c:v>6.6039999999999965</c:v>
                </c:pt>
                <c:pt idx="15">
                  <c:v>7.5</c:v>
                </c:pt>
                <c:pt idx="16" formatCode="0.00E+00">
                  <c:v>0</c:v>
                </c:pt>
                <c:pt idx="17" formatCode="0.00E+00">
                  <c:v>1.6000000000000021E-2</c:v>
                </c:pt>
                <c:pt idx="18" formatCode="0.00E+00">
                  <c:v>4.8009999999999997E-2</c:v>
                </c:pt>
                <c:pt idx="19" formatCode="0.00E+00">
                  <c:v>0.112</c:v>
                </c:pt>
                <c:pt idx="20" formatCode="0.00E+00">
                  <c:v>0.24000000000000021</c:v>
                </c:pt>
                <c:pt idx="21" formatCode="0.00E+00">
                  <c:v>0.56010000000000004</c:v>
                </c:pt>
                <c:pt idx="22" formatCode="0.00E+00">
                  <c:v>1.2</c:v>
                </c:pt>
                <c:pt idx="23" formatCode="0.00E+00">
                  <c:v>2.16</c:v>
                </c:pt>
                <c:pt idx="24" formatCode="0.00E+00">
                  <c:v>3.12</c:v>
                </c:pt>
                <c:pt idx="25" formatCode="0.00E+00">
                  <c:v>4.08</c:v>
                </c:pt>
                <c:pt idx="26" formatCode="0.00E+00">
                  <c:v>5.0410000000000004</c:v>
                </c:pt>
                <c:pt idx="27" formatCode="0.00E+00">
                  <c:v>6.0010000000000003</c:v>
                </c:pt>
                <c:pt idx="28" formatCode="0.00E+00">
                  <c:v>6.9610000000000003</c:v>
                </c:pt>
                <c:pt idx="29" formatCode="0.00E+00">
                  <c:v>7.9210000000000003</c:v>
                </c:pt>
                <c:pt idx="30" formatCode="0.00E+00">
                  <c:v>8.8810000000000002</c:v>
                </c:pt>
                <c:pt idx="31" formatCode="0.00E+00">
                  <c:v>9.8410000000000011</c:v>
                </c:pt>
                <c:pt idx="32" formatCode="0.00E+00">
                  <c:v>11.12</c:v>
                </c:pt>
                <c:pt idx="33" formatCode="0.00E+00">
                  <c:v>12.48</c:v>
                </c:pt>
                <c:pt idx="34" formatCode="0.00E+00">
                  <c:v>14.4</c:v>
                </c:pt>
                <c:pt idx="35" formatCode="0.00E+00">
                  <c:v>16.32</c:v>
                </c:pt>
                <c:pt idx="36" formatCode="0.00E+00">
                  <c:v>18.239999999999988</c:v>
                </c:pt>
                <c:pt idx="37" formatCode="0.00E+00">
                  <c:v>20.16</c:v>
                </c:pt>
                <c:pt idx="38" formatCode="0.00E+00">
                  <c:v>22.08</c:v>
                </c:pt>
                <c:pt idx="39" formatCode="0.00E+00">
                  <c:v>24</c:v>
                </c:pt>
                <c:pt idx="40" formatCode="0.00E+00">
                  <c:v>25.919999999999987</c:v>
                </c:pt>
                <c:pt idx="41" formatCode="0.00E+00">
                  <c:v>27.84</c:v>
                </c:pt>
                <c:pt idx="42" formatCode="0.00E+00">
                  <c:v>29.759999999999987</c:v>
                </c:pt>
              </c:numCache>
            </c:numRef>
          </c:xVal>
          <c:yVal>
            <c:numRef>
              <c:f>Sheet1!$F$2:$F$83</c:f>
              <c:numCache>
                <c:formatCode>General</c:formatCode>
                <c:ptCount val="82"/>
                <c:pt idx="16">
                  <c:v>0.25380373545850027</c:v>
                </c:pt>
                <c:pt idx="17">
                  <c:v>0.24047364063769841</c:v>
                </c:pt>
                <c:pt idx="18">
                  <c:v>0.23419766889770421</c:v>
                </c:pt>
                <c:pt idx="19">
                  <c:v>0.23431494157823063</c:v>
                </c:pt>
                <c:pt idx="20">
                  <c:v>0.23523428597649199</c:v>
                </c:pt>
                <c:pt idx="21">
                  <c:v>0.2325991865551385</c:v>
                </c:pt>
                <c:pt idx="22">
                  <c:v>0.22787673824249299</c:v>
                </c:pt>
                <c:pt idx="23">
                  <c:v>0.21944518163510704</c:v>
                </c:pt>
                <c:pt idx="24">
                  <c:v>0.20973605184131575</c:v>
                </c:pt>
                <c:pt idx="25">
                  <c:v>0.19984637050313694</c:v>
                </c:pt>
                <c:pt idx="26">
                  <c:v>0.18877261296341358</c:v>
                </c:pt>
                <c:pt idx="27">
                  <c:v>0.17824654247232835</c:v>
                </c:pt>
                <c:pt idx="28">
                  <c:v>0.16929722545273349</c:v>
                </c:pt>
                <c:pt idx="29">
                  <c:v>0.15589019819698208</c:v>
                </c:pt>
                <c:pt idx="30">
                  <c:v>0.14521878125293902</c:v>
                </c:pt>
                <c:pt idx="31">
                  <c:v>0.13266722175964468</c:v>
                </c:pt>
                <c:pt idx="32">
                  <c:v>0.11683402661862249</c:v>
                </c:pt>
                <c:pt idx="33">
                  <c:v>9.8303006257777034E-2</c:v>
                </c:pt>
                <c:pt idx="34">
                  <c:v>7.1805153337788752E-2</c:v>
                </c:pt>
                <c:pt idx="35">
                  <c:v>4.2484943075729892E-2</c:v>
                </c:pt>
                <c:pt idx="36">
                  <c:v>1.4108112904338952E-2</c:v>
                </c:pt>
                <c:pt idx="37">
                  <c:v>-1.7335395133067529E-2</c:v>
                </c:pt>
                <c:pt idx="38">
                  <c:v>-4.6484857364113945E-2</c:v>
                </c:pt>
                <c:pt idx="39">
                  <c:v>-7.9295867376123874E-2</c:v>
                </c:pt>
                <c:pt idx="40">
                  <c:v>-0.1092746453094325</c:v>
                </c:pt>
                <c:pt idx="41">
                  <c:v>-0.14018585029359787</c:v>
                </c:pt>
                <c:pt idx="42">
                  <c:v>-0.16953592814371252</c:v>
                </c:pt>
              </c:numCache>
            </c:numRef>
          </c:yVal>
          <c:smooth val="1"/>
        </c:ser>
        <c:axId val="63933440"/>
        <c:axId val="63953152"/>
      </c:scatterChart>
      <c:valAx>
        <c:axId val="63933440"/>
        <c:scaling>
          <c:orientation val="minMax"/>
          <c:max val="30"/>
        </c:scaling>
        <c:axPos val="b"/>
        <c:majorGridlines>
          <c:spPr>
            <a:ln>
              <a:prstDash val="solid"/>
            </a:ln>
          </c:spPr>
        </c:majorGridlines>
        <c:minorGridlines/>
        <c:title>
          <c:tx>
            <c:rich>
              <a:bodyPr/>
              <a:lstStyle/>
              <a:p>
                <a:pPr>
                  <a:defRPr/>
                </a:pPr>
                <a:r>
                  <a:rPr lang="en-US" sz="1200" b="0">
                    <a:latin typeface="Times New Roman" pitchFamily="18" charset="0"/>
                    <a:cs typeface="Times New Roman" pitchFamily="18" charset="0"/>
                  </a:rPr>
                  <a:t>Burnup (MWd/kg)</a:t>
                </a:r>
              </a:p>
            </c:rich>
          </c:tx>
          <c:layout>
            <c:manualLayout>
              <c:xMode val="edge"/>
              <c:yMode val="edge"/>
              <c:x val="0.37994575678040282"/>
              <c:y val="0.90645815106445027"/>
            </c:manualLayout>
          </c:layout>
        </c:title>
        <c:numFmt formatCode="General" sourceLinked="0"/>
        <c:tickLblPos val="nextTo"/>
        <c:crossAx val="63953152"/>
        <c:crosses val="autoZero"/>
        <c:crossBetween val="midCat"/>
        <c:majorUnit val="10"/>
        <c:minorUnit val="2"/>
      </c:valAx>
      <c:valAx>
        <c:axId val="63953152"/>
        <c:scaling>
          <c:orientation val="minMax"/>
          <c:max val="0.30000000000000032"/>
          <c:min val="-0.2"/>
        </c:scaling>
        <c:axPos val="l"/>
        <c:majorGridlines>
          <c:spPr>
            <a:ln w="6350">
              <a:prstDash val="solid"/>
            </a:ln>
          </c:spPr>
        </c:majorGridlines>
        <c:min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l-GR" sz="1800" b="1" i="1" baseline="-25000">
                    <a:latin typeface="Times New Roman" pitchFamily="18" charset="0"/>
                    <a:cs typeface="Times New Roman" pitchFamily="18" charset="0"/>
                  </a:rPr>
                  <a:t>ρ</a:t>
                </a:r>
                <a:r>
                  <a:rPr lang="en-US" sz="1800" b="1" i="1" baseline="-25000">
                    <a:latin typeface="Times New Roman" pitchFamily="18" charset="0"/>
                    <a:cs typeface="Times New Roman" pitchFamily="18" charset="0"/>
                  </a:rPr>
                  <a:t>∞</a:t>
                </a:r>
                <a:endParaRPr lang="en-US" sz="1800" b="1" i="1">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en-US" sz="1600" b="0"/>
              </a:p>
            </c:rich>
          </c:tx>
          <c:layout>
            <c:manualLayout>
              <c:xMode val="edge"/>
              <c:yMode val="edge"/>
              <c:x val="0"/>
              <c:y val="0.43817512394284247"/>
            </c:manualLayout>
          </c:layout>
        </c:title>
        <c:numFmt formatCode="General" sourceLinked="1"/>
        <c:tickLblPos val="nextTo"/>
        <c:crossAx val="63933440"/>
        <c:crosses val="autoZero"/>
        <c:crossBetween val="midCat"/>
        <c:majorUnit val="0.1"/>
        <c:minorUnit val="2.0000000000000011E-2"/>
      </c:valAx>
    </c:plotArea>
    <c:legend>
      <c:legendPos val="r"/>
      <c:layout>
        <c:manualLayout>
          <c:xMode val="edge"/>
          <c:yMode val="edge"/>
          <c:x val="0.58518044619422549"/>
          <c:y val="0.1379290609507145"/>
          <c:w val="0.27454177602799651"/>
          <c:h val="0.2056229950422864"/>
        </c:manualLayout>
      </c:layout>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DE08F43C-16E2-478A-BF6A-5ED55AA7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17</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ASUS</cp:lastModifiedBy>
  <cp:revision>3</cp:revision>
  <cp:lastPrinted>2015-12-01T10:27:00Z</cp:lastPrinted>
  <dcterms:created xsi:type="dcterms:W3CDTF">2019-04-02T07:27:00Z</dcterms:created>
  <dcterms:modified xsi:type="dcterms:W3CDTF">2019-04-02T07:44:00Z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