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6585" w14:textId="1A6323CD" w:rsidR="00E20E70" w:rsidRPr="00495979" w:rsidRDefault="00042EBF" w:rsidP="00537496">
      <w:pPr>
        <w:pStyle w:val="Heading1"/>
      </w:pPr>
      <w:r w:rsidRPr="00495979">
        <w:rPr>
          <w:iCs/>
          <w:lang w:val="en-GB"/>
        </w:rPr>
        <w:t>Cost drivers associated with spent nuclear fuel storage options and technologies</w:t>
      </w:r>
    </w:p>
    <w:p w14:paraId="121C31D9" w14:textId="77777777" w:rsidR="00802381" w:rsidRDefault="00802381" w:rsidP="00537496">
      <w:pPr>
        <w:pStyle w:val="Authornameandaffiliation"/>
      </w:pPr>
    </w:p>
    <w:p w14:paraId="5EB0FAE4" w14:textId="7B36AC4F" w:rsidR="003B5E0E" w:rsidRDefault="006D2F02" w:rsidP="00537496">
      <w:pPr>
        <w:pStyle w:val="Authornameandaffiliation"/>
        <w:rPr>
          <w:lang w:eastAsia="ko-KR"/>
        </w:rPr>
      </w:pPr>
      <w:r>
        <w:t>Y.</w:t>
      </w:r>
      <w:r w:rsidR="004A4BD9">
        <w:t>AHN</w:t>
      </w:r>
    </w:p>
    <w:p w14:paraId="4695EB59" w14:textId="7D9A4902" w:rsidR="00FF386F" w:rsidRDefault="00DC58B8" w:rsidP="00537496">
      <w:pPr>
        <w:pStyle w:val="Authornameandaffiliation"/>
      </w:pPr>
      <w:r>
        <w:t>Sejong University</w:t>
      </w:r>
    </w:p>
    <w:p w14:paraId="00728C1A" w14:textId="0E21FE43" w:rsidR="00FF386F" w:rsidRDefault="00DC58B8" w:rsidP="00537496">
      <w:pPr>
        <w:pStyle w:val="Authornameandaffiliation"/>
      </w:pPr>
      <w:r>
        <w:t>Seoul</w:t>
      </w:r>
      <w:r w:rsidR="00FF386F">
        <w:t xml:space="preserve">, </w:t>
      </w:r>
      <w:r>
        <w:t>Republic of Korea</w:t>
      </w:r>
    </w:p>
    <w:p w14:paraId="457581F5" w14:textId="3A156F2F" w:rsidR="00FF386F" w:rsidRDefault="00FF386F" w:rsidP="00537496">
      <w:pPr>
        <w:pStyle w:val="Authornameandaffiliation"/>
      </w:pPr>
      <w:r>
        <w:t xml:space="preserve">Email: </w:t>
      </w:r>
      <w:r w:rsidR="00DC58B8">
        <w:t>energyerin17</w:t>
      </w:r>
      <w:r>
        <w:t>@</w:t>
      </w:r>
      <w:r w:rsidR="00DC58B8">
        <w:t>gmail</w:t>
      </w:r>
      <w:r>
        <w:t>.com</w:t>
      </w:r>
    </w:p>
    <w:p w14:paraId="48077CE8" w14:textId="77777777" w:rsidR="00FF386F" w:rsidRDefault="00FF386F" w:rsidP="00537496">
      <w:pPr>
        <w:pStyle w:val="Authornameandaffiliation"/>
      </w:pPr>
    </w:p>
    <w:p w14:paraId="342B62D9" w14:textId="4EF34370" w:rsidR="00FF386F" w:rsidRPr="00FF386F" w:rsidRDefault="00FF386F" w:rsidP="00034457">
      <w:pPr>
        <w:pStyle w:val="Authornameandaffiliation"/>
        <w:ind w:left="0"/>
        <w:rPr>
          <w:lang w:eastAsia="ko-KR"/>
        </w:rPr>
      </w:pPr>
    </w:p>
    <w:p w14:paraId="7F7BEC3B" w14:textId="51AF11C5" w:rsidR="00FF386F" w:rsidRDefault="007076EF" w:rsidP="00537496">
      <w:pPr>
        <w:pStyle w:val="Authornameandaffiliation"/>
        <w:rPr>
          <w:lang w:eastAsia="ko-KR"/>
        </w:rPr>
      </w:pPr>
      <w:r>
        <w:t>S.DARDOUR, D.SUBBOTNITSKIY, A.GONZALEZ-ESPARTERO, L.MCMANNIMAN</w:t>
      </w:r>
    </w:p>
    <w:p w14:paraId="5B08BE27" w14:textId="77777777" w:rsidR="00034457" w:rsidRPr="00FF386F" w:rsidRDefault="00034457" w:rsidP="00034457">
      <w:pPr>
        <w:pStyle w:val="Authornameandaffiliation"/>
      </w:pPr>
      <w:r>
        <w:t>International Atomic Energy Agency</w:t>
      </w:r>
    </w:p>
    <w:p w14:paraId="52CB4451" w14:textId="77777777" w:rsidR="00034457" w:rsidRDefault="00034457" w:rsidP="00537496">
      <w:pPr>
        <w:pStyle w:val="Authornameandaffiliation"/>
        <w:rPr>
          <w:lang w:eastAsia="ko-KR"/>
        </w:rPr>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6972E8D1" w14:textId="43FD9682" w:rsidR="004F5D5F" w:rsidRDefault="00495979" w:rsidP="00537496">
      <w:pPr>
        <w:pStyle w:val="Abstracttext"/>
      </w:pPr>
      <w:r w:rsidRPr="00495979">
        <w:t>Th</w:t>
      </w:r>
      <w:r>
        <w:t>e</w:t>
      </w:r>
      <w:r w:rsidRPr="00495979">
        <w:t xml:space="preserve"> work was conducted in the context of the International Atomic Energy Agency’s (IAEA) newly initiated activity on “approaches for nuclear power costs estimation and analysis” (the “Nuclear Cost Basis”, or NCB, project). The NCB provides guidelines and resources for developing consistent cost estimates and analyses covering, basically, all areas of a country’s nuclear power programme; from nuclear infrastructure development; to reactor construction and operation; to management of radioactive waste. The paper focuses on technologically mature, widely used, spent nuclear fuel storage options and technologies. Storage of spent nuclear fuel can be made At-Reactor (AR) or Away-from-Reactor (AFR) ― at Reactor-Site (AFR-RS) or Off-Site (AFR-OS) ―. These options may involve wet (water pools) and dry storage technologies (casks, vaults, silos). For each of these technologies and options, an effort has been made to synthesize existing literature and compile a comprehensive list of key factors affecting costs. This list will be used as a basis for developing standard cost categories and cost breakdown structures for costing purposes.</w:t>
      </w:r>
    </w:p>
    <w:p w14:paraId="7283DD8E" w14:textId="77777777" w:rsidR="004F5D5F" w:rsidRPr="004F5D5F" w:rsidRDefault="004F5D5F" w:rsidP="00537496">
      <w:pPr>
        <w:pStyle w:val="Abstracttext"/>
      </w:pPr>
    </w:p>
    <w:p w14:paraId="54CBDFDE" w14:textId="162F23CC" w:rsidR="00647F33" w:rsidRDefault="00F523CA" w:rsidP="00537496">
      <w:pPr>
        <w:pStyle w:val="Heading2"/>
        <w:numPr>
          <w:ilvl w:val="1"/>
          <w:numId w:val="10"/>
        </w:numPr>
      </w:pPr>
      <w:r>
        <w:t>INTRODUCTION</w:t>
      </w:r>
    </w:p>
    <w:p w14:paraId="6B07C82E" w14:textId="0132DE21" w:rsidR="003F67DA" w:rsidRDefault="003F67DA" w:rsidP="004D59C7">
      <w:pPr>
        <w:pStyle w:val="Heading3"/>
        <w:numPr>
          <w:ilvl w:val="2"/>
          <w:numId w:val="10"/>
        </w:numPr>
        <w:rPr>
          <w:lang w:eastAsia="ko-KR"/>
        </w:rPr>
      </w:pPr>
      <w:r>
        <w:rPr>
          <w:rFonts w:hint="eastAsia"/>
          <w:lang w:eastAsia="ko-KR"/>
        </w:rPr>
        <w:t>Background</w:t>
      </w:r>
    </w:p>
    <w:p w14:paraId="49622972" w14:textId="6FCFEF5F" w:rsidR="003F67DA" w:rsidRDefault="003F67DA" w:rsidP="00585535">
      <w:pPr>
        <w:pStyle w:val="BodyText"/>
        <w:rPr>
          <w:lang w:eastAsia="ko-KR"/>
        </w:rPr>
      </w:pPr>
      <w:r>
        <w:rPr>
          <w:lang w:eastAsia="ko-KR"/>
        </w:rPr>
        <w:t>Early nuclear power used and developed countries have taken short-term measures at the existing AR pools. However, as these facile options are exhausted, additional AFR storage technologies will have to be provided. Considering the owner’s capacity needs, diverse options can be made for new spent fuel storage facilities. Nuclear power plant owners can perform the selection and pick up the suitable AFR facilities.</w:t>
      </w:r>
      <w:r w:rsidR="00585535">
        <w:rPr>
          <w:rFonts w:hint="eastAsia"/>
          <w:lang w:eastAsia="ko-KR"/>
        </w:rPr>
        <w:t xml:space="preserve"> </w:t>
      </w:r>
      <w:r>
        <w:rPr>
          <w:lang w:eastAsia="ko-KR"/>
        </w:rPr>
        <w:t>In the point of view of designing the new storage facilities, to extend the storage period until the endpoint idea becomes feasible is the crucial part of the sustainable use of nuclear power. Identify the possible period of the storage extension and estimate the costs so that each implementing organization could make a long term investment for it is essential in this case.</w:t>
      </w:r>
    </w:p>
    <w:p w14:paraId="56D8DBC7" w14:textId="1E16005C" w:rsidR="004C4CEF" w:rsidRDefault="004C4CEF" w:rsidP="004C4CEF">
      <w:pPr>
        <w:pStyle w:val="Heading3"/>
        <w:numPr>
          <w:ilvl w:val="2"/>
          <w:numId w:val="10"/>
        </w:numPr>
        <w:rPr>
          <w:lang w:eastAsia="ko-KR"/>
        </w:rPr>
      </w:pPr>
      <w:r>
        <w:rPr>
          <w:rFonts w:hint="eastAsia"/>
          <w:lang w:eastAsia="ko-KR"/>
        </w:rPr>
        <w:t>Objectives and approach</w:t>
      </w:r>
    </w:p>
    <w:p w14:paraId="710FF826" w14:textId="1E17EC51" w:rsidR="007C5BD1" w:rsidRDefault="00DB067B" w:rsidP="003F67DA">
      <w:pPr>
        <w:pStyle w:val="BodyText"/>
        <w:rPr>
          <w:lang w:eastAsia="ko-KR"/>
        </w:rPr>
      </w:pPr>
      <w:r>
        <w:rPr>
          <w:rFonts w:hint="eastAsia"/>
          <w:lang w:eastAsia="ko-KR"/>
        </w:rPr>
        <w:t>This paper builds on work performed in the context of the International Atomic Energy Agency</w:t>
      </w:r>
      <w:r>
        <w:rPr>
          <w:lang w:eastAsia="ko-KR"/>
        </w:rPr>
        <w:t>’</w:t>
      </w:r>
      <w:r>
        <w:rPr>
          <w:rFonts w:hint="eastAsia"/>
          <w:lang w:eastAsia="ko-KR"/>
        </w:rPr>
        <w:t xml:space="preserve">s newly initiated activity on </w:t>
      </w:r>
      <w:r w:rsidR="00857697">
        <w:rPr>
          <w:rFonts w:hint="eastAsia"/>
          <w:lang w:eastAsia="ko-KR"/>
        </w:rPr>
        <w:t xml:space="preserve">the </w:t>
      </w:r>
      <w:r w:rsidR="00857697">
        <w:rPr>
          <w:lang w:eastAsia="ko-KR"/>
        </w:rPr>
        <w:t>“</w:t>
      </w:r>
      <w:r w:rsidR="00857697">
        <w:rPr>
          <w:rFonts w:hint="eastAsia"/>
          <w:lang w:eastAsia="ko-KR"/>
        </w:rPr>
        <w:t>approaches for nuclear power costs estimation and analysis</w:t>
      </w:r>
      <w:r w:rsidR="00857697">
        <w:rPr>
          <w:lang w:eastAsia="ko-KR"/>
        </w:rPr>
        <w:t>”</w:t>
      </w:r>
      <w:r w:rsidR="00857697">
        <w:rPr>
          <w:rFonts w:hint="eastAsia"/>
          <w:lang w:eastAsia="ko-KR"/>
        </w:rPr>
        <w:t xml:space="preserve"> (the </w:t>
      </w:r>
      <w:r w:rsidR="00857697">
        <w:rPr>
          <w:lang w:eastAsia="ko-KR"/>
        </w:rPr>
        <w:t>“</w:t>
      </w:r>
      <w:r w:rsidR="00857697">
        <w:rPr>
          <w:rFonts w:hint="eastAsia"/>
          <w:lang w:eastAsia="ko-KR"/>
        </w:rPr>
        <w:t>Nuclear Cost Basis</w:t>
      </w:r>
      <w:r w:rsidR="00857697">
        <w:rPr>
          <w:lang w:eastAsia="ko-KR"/>
        </w:rPr>
        <w:t>”</w:t>
      </w:r>
      <w:r w:rsidR="00857697">
        <w:rPr>
          <w:rFonts w:hint="eastAsia"/>
          <w:lang w:eastAsia="ko-KR"/>
        </w:rPr>
        <w:t xml:space="preserve">, or NCB, project). </w:t>
      </w:r>
      <w:r w:rsidR="007C5BD1">
        <w:rPr>
          <w:rFonts w:hint="eastAsia"/>
          <w:lang w:eastAsia="ko-KR"/>
        </w:rPr>
        <w:t xml:space="preserve">Multiple IAEA Member States, especially nuclear newcomer countries have been requested for IAEA </w:t>
      </w:r>
      <w:r w:rsidR="007C5BD1">
        <w:rPr>
          <w:lang w:eastAsia="ko-KR"/>
        </w:rPr>
        <w:t>assistance</w:t>
      </w:r>
      <w:r w:rsidR="007C5BD1">
        <w:rPr>
          <w:rFonts w:hint="eastAsia"/>
          <w:lang w:eastAsia="ko-KR"/>
        </w:rPr>
        <w:t xml:space="preserve"> toward sharing best practices </w:t>
      </w:r>
      <w:r w:rsidR="00403911">
        <w:rPr>
          <w:rFonts w:hint="eastAsia"/>
          <w:lang w:eastAsia="ko-KR"/>
        </w:rPr>
        <w:t>in the areas of nuclear project</w:t>
      </w:r>
      <w:r w:rsidR="007C5BD1">
        <w:rPr>
          <w:rFonts w:hint="eastAsia"/>
          <w:lang w:eastAsia="ko-KR"/>
        </w:rPr>
        <w:t xml:space="preserve"> cost management. The NCB will be primarily focused on methodologies for cost estimation and analysis. </w:t>
      </w:r>
    </w:p>
    <w:p w14:paraId="0F88CC70" w14:textId="25497CA7" w:rsidR="007C5BD1" w:rsidRDefault="007C5BD1" w:rsidP="003F67DA">
      <w:pPr>
        <w:pStyle w:val="BodyText"/>
        <w:rPr>
          <w:lang w:eastAsia="ko-KR"/>
        </w:rPr>
      </w:pPr>
      <w:r>
        <w:rPr>
          <w:rFonts w:hint="eastAsia"/>
          <w:lang w:eastAsia="ko-KR"/>
        </w:rPr>
        <w:t>T</w:t>
      </w:r>
      <w:r w:rsidR="00FF3625">
        <w:rPr>
          <w:lang w:eastAsia="ko-KR"/>
        </w:rPr>
        <w:t>he</w:t>
      </w:r>
      <w:r w:rsidR="00FF3625">
        <w:rPr>
          <w:rFonts w:hint="eastAsia"/>
          <w:lang w:eastAsia="ko-KR"/>
        </w:rPr>
        <w:t xml:space="preserve"> paper focuses on the technologically mature, widely used spent nuclear fuel storage options and technologies.</w:t>
      </w:r>
      <w:r>
        <w:rPr>
          <w:rFonts w:hint="eastAsia"/>
          <w:lang w:eastAsia="ko-KR"/>
        </w:rPr>
        <w:t xml:space="preserve"> </w:t>
      </w:r>
      <w:r w:rsidR="00BF2916">
        <w:rPr>
          <w:rFonts w:hint="eastAsia"/>
          <w:lang w:eastAsia="ko-KR"/>
        </w:rPr>
        <w:t xml:space="preserve">An effort has been made to synthesize existing literature and compile a comprehensive list of key factors affecting costs. </w:t>
      </w:r>
      <w:r>
        <w:rPr>
          <w:rFonts w:hint="eastAsia"/>
          <w:lang w:eastAsia="ko-KR"/>
        </w:rPr>
        <w:t xml:space="preserve">Three </w:t>
      </w:r>
      <w:r w:rsidR="00AB1D49">
        <w:rPr>
          <w:rFonts w:hint="eastAsia"/>
          <w:lang w:eastAsia="ko-KR"/>
        </w:rPr>
        <w:t>main considerations</w:t>
      </w:r>
      <w:r w:rsidR="00BF2916">
        <w:rPr>
          <w:rFonts w:hint="eastAsia"/>
          <w:lang w:eastAsia="ko-KR"/>
        </w:rPr>
        <w:t xml:space="preserve"> to classify the cost factors</w:t>
      </w:r>
      <w:r w:rsidR="00A753CD">
        <w:rPr>
          <w:rFonts w:hint="eastAsia"/>
          <w:lang w:eastAsia="ko-KR"/>
        </w:rPr>
        <w:t xml:space="preserve"> were</w:t>
      </w:r>
      <w:r>
        <w:rPr>
          <w:rFonts w:hint="eastAsia"/>
          <w:lang w:eastAsia="ko-KR"/>
        </w:rPr>
        <w:t xml:space="preserve"> used for</w:t>
      </w:r>
      <w:r w:rsidR="00BF2916">
        <w:rPr>
          <w:rFonts w:hint="eastAsia"/>
          <w:lang w:eastAsia="ko-KR"/>
        </w:rPr>
        <w:t xml:space="preserve"> this work:</w:t>
      </w:r>
    </w:p>
    <w:p w14:paraId="482E140D" w14:textId="5F36475D" w:rsidR="007C5BD1" w:rsidRDefault="007C5BD1" w:rsidP="007C5BD1">
      <w:pPr>
        <w:pStyle w:val="BodyText"/>
        <w:numPr>
          <w:ilvl w:val="0"/>
          <w:numId w:val="38"/>
        </w:numPr>
        <w:rPr>
          <w:lang w:eastAsia="ko-KR"/>
        </w:rPr>
      </w:pPr>
      <w:r>
        <w:rPr>
          <w:rFonts w:hint="eastAsia"/>
          <w:lang w:eastAsia="ko-KR"/>
        </w:rPr>
        <w:t xml:space="preserve">Configurations: At-Reactor (AR) or Away-from-Reactor (AFR) </w:t>
      </w:r>
      <w:r w:rsidRPr="00495979">
        <w:t>―</w:t>
      </w:r>
      <w:r>
        <w:rPr>
          <w:rFonts w:hint="eastAsia"/>
          <w:lang w:eastAsia="ko-KR"/>
        </w:rPr>
        <w:t xml:space="preserve"> at Reactor-Site (AFR-RS) or Off-Site (AFR-OS)</w:t>
      </w:r>
      <w:r w:rsidRPr="00FF3625">
        <w:t xml:space="preserve"> </w:t>
      </w:r>
      <w:r w:rsidRPr="00495979">
        <w:t>―</w:t>
      </w:r>
    </w:p>
    <w:p w14:paraId="2927F08B" w14:textId="5877960C" w:rsidR="00585535" w:rsidRDefault="00AB1D49" w:rsidP="007C5BD1">
      <w:pPr>
        <w:pStyle w:val="BodyText"/>
        <w:numPr>
          <w:ilvl w:val="0"/>
          <w:numId w:val="38"/>
        </w:numPr>
        <w:rPr>
          <w:lang w:eastAsia="ko-KR"/>
        </w:rPr>
      </w:pPr>
      <w:r>
        <w:rPr>
          <w:rFonts w:hint="eastAsia"/>
          <w:lang w:eastAsia="ko-KR"/>
        </w:rPr>
        <w:t>Technologies:</w:t>
      </w:r>
      <w:r w:rsidR="007C5BD1">
        <w:rPr>
          <w:rFonts w:hint="eastAsia"/>
          <w:lang w:eastAsia="ko-KR"/>
        </w:rPr>
        <w:t xml:space="preserve"> </w:t>
      </w:r>
      <w:r w:rsidR="007C5BD1">
        <w:rPr>
          <w:rFonts w:hint="eastAsia"/>
          <w:lang w:eastAsia="ko-KR"/>
        </w:rPr>
        <w:tab/>
      </w:r>
      <w:r w:rsidR="00A753CD">
        <w:rPr>
          <w:rFonts w:hint="eastAsia"/>
          <w:lang w:eastAsia="ko-KR"/>
        </w:rPr>
        <w:t>wet (water pools) and dry storage technologies (casks, vaults, silos)</w:t>
      </w:r>
    </w:p>
    <w:p w14:paraId="00EA5CA3" w14:textId="6C09A2D6" w:rsidR="002C20E6" w:rsidRPr="00796EAF" w:rsidRDefault="00C276C1" w:rsidP="002C20E6">
      <w:pPr>
        <w:pStyle w:val="BodyText"/>
        <w:numPr>
          <w:ilvl w:val="0"/>
          <w:numId w:val="38"/>
        </w:numPr>
        <w:rPr>
          <w:lang w:eastAsia="ko-KR"/>
        </w:rPr>
      </w:pPr>
      <w:r>
        <w:rPr>
          <w:rFonts w:hint="eastAsia"/>
          <w:lang w:eastAsia="ko-KR"/>
        </w:rPr>
        <w:t>Cost Categories</w:t>
      </w:r>
      <w:r w:rsidR="00A753CD">
        <w:rPr>
          <w:rFonts w:hint="eastAsia"/>
          <w:lang w:eastAsia="ko-KR"/>
        </w:rPr>
        <w:t xml:space="preserve">: </w:t>
      </w:r>
      <w:r w:rsidR="00AB1D49">
        <w:rPr>
          <w:rFonts w:hint="eastAsia"/>
          <w:lang w:eastAsia="ko-KR"/>
        </w:rPr>
        <w:t>C</w:t>
      </w:r>
      <w:r w:rsidR="00AB1D49">
        <w:t xml:space="preserve">apital, Operation &amp; Maintenance (O&amp;M), Decontamination and Decommissioning (D&amp;D) </w:t>
      </w:r>
    </w:p>
    <w:p w14:paraId="473F19C2" w14:textId="731893B2" w:rsidR="002C20E6" w:rsidRDefault="00FF3625" w:rsidP="00423CEE">
      <w:pPr>
        <w:pStyle w:val="BodyText"/>
        <w:ind w:firstLine="0"/>
        <w:rPr>
          <w:lang w:eastAsia="ko-KR"/>
        </w:rPr>
      </w:pPr>
      <w:r w:rsidRPr="00796EAF">
        <w:rPr>
          <w:rFonts w:hint="eastAsia"/>
          <w:lang w:eastAsia="ko-KR"/>
        </w:rPr>
        <w:t>This list will be used as a basis for the developing</w:t>
      </w:r>
      <w:r>
        <w:rPr>
          <w:rFonts w:hint="eastAsia"/>
          <w:lang w:eastAsia="ko-KR"/>
        </w:rPr>
        <w:t xml:space="preserve"> standard cost categories and cost breakdown structures for costing purposes. </w:t>
      </w:r>
      <w:bookmarkStart w:id="0" w:name="_GoBack"/>
      <w:bookmarkEnd w:id="0"/>
      <w:r w:rsidR="002C20E6">
        <w:rPr>
          <w:lang w:eastAsia="ko-KR"/>
        </w:rPr>
        <w:br w:type="page"/>
      </w:r>
    </w:p>
    <w:p w14:paraId="297D1949" w14:textId="66B576CD" w:rsidR="004D59C7" w:rsidRDefault="004D59C7" w:rsidP="004D59C7">
      <w:pPr>
        <w:pStyle w:val="Heading3"/>
        <w:numPr>
          <w:ilvl w:val="2"/>
          <w:numId w:val="10"/>
        </w:numPr>
      </w:pPr>
      <w:r>
        <w:lastRenderedPageBreak/>
        <w:t>Comprehensive overview of waste management solutions</w:t>
      </w:r>
    </w:p>
    <w:p w14:paraId="5A9B7F72" w14:textId="48B0D8A8" w:rsidR="004F5D5F" w:rsidRPr="004F5D5F" w:rsidRDefault="004F5D5F" w:rsidP="007076EF">
      <w:pPr>
        <w:pStyle w:val="Heading4"/>
        <w:ind w:left="0"/>
      </w:pPr>
      <w:r>
        <w:t xml:space="preserve">Basis to the waste classification </w:t>
      </w:r>
    </w:p>
    <w:p w14:paraId="00FB805C" w14:textId="13AECCC4" w:rsidR="00E9494A" w:rsidRDefault="00E9494A" w:rsidP="00E9494A">
      <w:pPr>
        <w:pStyle w:val="BodyText"/>
      </w:pPr>
      <w:r w:rsidRPr="00E9494A">
        <w:t xml:space="preserve">The IAEA Safety Standards classifies radioactive waste into six classes according to the activity and half-life of radionuclides. A conceptual illustration of the waste classification scheme is presented in Fig.1. Figure 1 describes the association between waste classes, activity levels and half-lives, with the boundaries between classes (shown as dashed lines). </w:t>
      </w:r>
    </w:p>
    <w:p w14:paraId="7B87536C" w14:textId="77777777" w:rsidR="00F73CA5" w:rsidRDefault="00E9494A" w:rsidP="00706141">
      <w:pPr>
        <w:pStyle w:val="BodyText"/>
        <w:keepNext/>
        <w:jc w:val="center"/>
      </w:pPr>
      <w:r w:rsidRPr="00F00A7B">
        <w:rPr>
          <w:noProof/>
          <w:lang w:val="en-US"/>
        </w:rPr>
        <w:drawing>
          <wp:inline distT="0" distB="0" distL="0" distR="0" wp14:anchorId="5230462B" wp14:editId="7F88008E">
            <wp:extent cx="3723861" cy="3055477"/>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4769" cy="3064427"/>
                    </a:xfrm>
                    <a:prstGeom prst="rect">
                      <a:avLst/>
                    </a:prstGeom>
                  </pic:spPr>
                </pic:pic>
              </a:graphicData>
            </a:graphic>
          </wp:inline>
        </w:drawing>
      </w:r>
    </w:p>
    <w:p w14:paraId="33F22F21" w14:textId="4E58246C" w:rsidR="00E9494A" w:rsidRPr="00E9494A" w:rsidRDefault="00F73CA5" w:rsidP="00706141">
      <w:pPr>
        <w:pStyle w:val="Caption"/>
        <w:ind w:left="567"/>
        <w:jc w:val="center"/>
        <w:rPr>
          <w:lang w:eastAsia="ko-KR"/>
        </w:rPr>
      </w:pPr>
      <w:r>
        <w:t xml:space="preserve">Figure </w:t>
      </w:r>
      <w:r>
        <w:fldChar w:fldCharType="begin"/>
      </w:r>
      <w:r>
        <w:instrText xml:space="preserve"> SEQ Figure \* ARABIC </w:instrText>
      </w:r>
      <w:r>
        <w:fldChar w:fldCharType="separate"/>
      </w:r>
      <w:r w:rsidR="008B6BEE">
        <w:rPr>
          <w:noProof/>
        </w:rPr>
        <w:t>1</w:t>
      </w:r>
      <w:r>
        <w:fldChar w:fldCharType="end"/>
      </w:r>
      <w:r w:rsidR="00706141">
        <w:t xml:space="preserve"> </w:t>
      </w:r>
      <w:r w:rsidRPr="00917F48">
        <w:t>Conceptual illustration of the waste classification scheme</w:t>
      </w:r>
      <w:r w:rsidR="004D6496">
        <w:rPr>
          <w:rFonts w:hint="eastAsia"/>
          <w:lang w:eastAsia="ko-KR"/>
        </w:rPr>
        <w:t xml:space="preserve"> (by IAEA Safety Standards)</w:t>
      </w:r>
    </w:p>
    <w:p w14:paraId="7D79BB3F" w14:textId="77777777" w:rsidR="00F73CA5" w:rsidRDefault="00F73CA5" w:rsidP="00E9494A">
      <w:pPr>
        <w:pStyle w:val="BodyText"/>
        <w:spacing w:line="276" w:lineRule="auto"/>
      </w:pPr>
    </w:p>
    <w:p w14:paraId="4B780297" w14:textId="3B6DC70B" w:rsidR="00E9494A" w:rsidRPr="00F00A7B" w:rsidRDefault="00E9494A" w:rsidP="00E9494A">
      <w:pPr>
        <w:pStyle w:val="BodyText"/>
        <w:spacing w:line="276" w:lineRule="auto"/>
      </w:pPr>
      <w:r w:rsidRPr="00F00A7B">
        <w:t xml:space="preserve">Six classes of waste as the basis for the classification scheme: </w:t>
      </w:r>
    </w:p>
    <w:p w14:paraId="56084B66" w14:textId="77777777" w:rsidR="00E9494A" w:rsidRPr="00F00A7B" w:rsidRDefault="00E9494A" w:rsidP="00E9494A">
      <w:pPr>
        <w:pStyle w:val="BodyText"/>
        <w:numPr>
          <w:ilvl w:val="0"/>
          <w:numId w:val="34"/>
        </w:numPr>
        <w:spacing w:after="240" w:line="276" w:lineRule="auto"/>
        <w:contextualSpacing w:val="0"/>
        <w:rPr>
          <w:lang w:eastAsia="ko-KR"/>
        </w:rPr>
      </w:pPr>
      <w:r w:rsidRPr="00F00A7B">
        <w:rPr>
          <w:lang w:eastAsia="ko-KR"/>
        </w:rPr>
        <w:t>Exempt waste (EW): Waste that meets the criteria for clearance, exemption or exclusion from regulatory control for radiation protection purposes.</w:t>
      </w:r>
    </w:p>
    <w:p w14:paraId="1741669E" w14:textId="77777777" w:rsidR="00E9494A" w:rsidRPr="00F00A7B" w:rsidRDefault="00E9494A" w:rsidP="00E9494A">
      <w:pPr>
        <w:pStyle w:val="BodyText"/>
        <w:numPr>
          <w:ilvl w:val="0"/>
          <w:numId w:val="34"/>
        </w:numPr>
        <w:spacing w:after="240" w:line="276" w:lineRule="auto"/>
        <w:contextualSpacing w:val="0"/>
        <w:rPr>
          <w:lang w:eastAsia="ko-KR"/>
        </w:rPr>
      </w:pPr>
      <w:r w:rsidRPr="00F00A7B">
        <w:rPr>
          <w:lang w:eastAsia="ko-KR"/>
        </w:rPr>
        <w:t>Very short lived waste (VSLW): Waste that can be stored for decay over a limited period of up to a few years and subsequently cleared for uncontrolled disposal, use or discharge.</w:t>
      </w:r>
    </w:p>
    <w:p w14:paraId="430A77B7" w14:textId="77777777" w:rsidR="00E9494A" w:rsidRPr="00F00A7B" w:rsidRDefault="00E9494A" w:rsidP="00E9494A">
      <w:pPr>
        <w:pStyle w:val="BodyText"/>
        <w:numPr>
          <w:ilvl w:val="0"/>
          <w:numId w:val="34"/>
        </w:numPr>
        <w:spacing w:after="240" w:line="276" w:lineRule="auto"/>
        <w:contextualSpacing w:val="0"/>
        <w:rPr>
          <w:lang w:eastAsia="ko-KR"/>
        </w:rPr>
      </w:pPr>
      <w:r w:rsidRPr="00F00A7B">
        <w:rPr>
          <w:rFonts w:hint="eastAsia"/>
          <w:lang w:eastAsia="ko-KR"/>
        </w:rPr>
        <w:t>V</w:t>
      </w:r>
      <w:r w:rsidRPr="00F00A7B">
        <w:rPr>
          <w:lang w:eastAsia="ko-KR"/>
        </w:rPr>
        <w:t>ery low level waste (VLLW): Waste that does not necessarily meet the criteria of EW, but that does not need a high level of containment and isolation and, therefore, is suitable for disposal in near surface landfill type facilities with limited regulatory control.</w:t>
      </w:r>
    </w:p>
    <w:p w14:paraId="039F89CA" w14:textId="0300FF3D" w:rsidR="00E9494A" w:rsidRPr="00F00A7B" w:rsidRDefault="00E9494A" w:rsidP="00E9494A">
      <w:pPr>
        <w:pStyle w:val="BodyText"/>
        <w:numPr>
          <w:ilvl w:val="0"/>
          <w:numId w:val="34"/>
        </w:numPr>
        <w:spacing w:after="240" w:line="276" w:lineRule="auto"/>
        <w:contextualSpacing w:val="0"/>
        <w:rPr>
          <w:lang w:eastAsia="ko-KR"/>
        </w:rPr>
      </w:pPr>
      <w:r w:rsidRPr="00F00A7B">
        <w:rPr>
          <w:rFonts w:hint="eastAsia"/>
          <w:lang w:eastAsia="ko-KR"/>
        </w:rPr>
        <w:t>L</w:t>
      </w:r>
      <w:r w:rsidRPr="00F00A7B">
        <w:rPr>
          <w:lang w:eastAsia="ko-KR"/>
        </w:rPr>
        <w:t>ow level waste (LLW): Radioactive waste with only limited amounts of long</w:t>
      </w:r>
      <w:r w:rsidR="00706141">
        <w:rPr>
          <w:lang w:eastAsia="ko-KR"/>
        </w:rPr>
        <w:t>-</w:t>
      </w:r>
      <w:r w:rsidRPr="00F00A7B">
        <w:rPr>
          <w:lang w:eastAsia="ko-KR"/>
        </w:rPr>
        <w:t>lived radionuclides. Such waste requires robust isolation and containment for periods of up to a few hundred years, and is suitable for disposal in engineered near surface facilities.</w:t>
      </w:r>
    </w:p>
    <w:p w14:paraId="1A75C9DA" w14:textId="06BC4B68" w:rsidR="00E9494A" w:rsidRPr="00F00A7B" w:rsidRDefault="00E9494A" w:rsidP="00E9494A">
      <w:pPr>
        <w:pStyle w:val="BodyText"/>
        <w:numPr>
          <w:ilvl w:val="0"/>
          <w:numId w:val="34"/>
        </w:numPr>
        <w:spacing w:after="240" w:line="276" w:lineRule="auto"/>
        <w:contextualSpacing w:val="0"/>
        <w:rPr>
          <w:lang w:eastAsia="ko-KR"/>
        </w:rPr>
      </w:pPr>
      <w:r w:rsidRPr="00F00A7B">
        <w:rPr>
          <w:rFonts w:hint="eastAsia"/>
          <w:lang w:eastAsia="ko-KR"/>
        </w:rPr>
        <w:t>I</w:t>
      </w:r>
      <w:r w:rsidRPr="00F00A7B">
        <w:rPr>
          <w:lang w:eastAsia="ko-KR"/>
        </w:rPr>
        <w:t>ntermediate level waste (ILW): Waste that, because of its content, particularly of long</w:t>
      </w:r>
      <w:r w:rsidR="00706141">
        <w:rPr>
          <w:lang w:eastAsia="ko-KR"/>
        </w:rPr>
        <w:t>-</w:t>
      </w:r>
      <w:r w:rsidRPr="00F00A7B">
        <w:rPr>
          <w:lang w:eastAsia="ko-KR"/>
        </w:rPr>
        <w:t>lived radionuclides, requires disposal at greater depths, of the order of tens of metres to a few hundred metres.</w:t>
      </w:r>
    </w:p>
    <w:p w14:paraId="5778BB11" w14:textId="32C436FE" w:rsidR="004C4CEF" w:rsidRDefault="00E9494A" w:rsidP="00FC330C">
      <w:pPr>
        <w:pStyle w:val="BodyText"/>
        <w:numPr>
          <w:ilvl w:val="0"/>
          <w:numId w:val="34"/>
        </w:numPr>
        <w:spacing w:after="240" w:line="276" w:lineRule="auto"/>
        <w:contextualSpacing w:val="0"/>
      </w:pPr>
      <w:r w:rsidRPr="00F00A7B">
        <w:rPr>
          <w:rFonts w:hint="eastAsia"/>
          <w:lang w:eastAsia="ko-KR"/>
        </w:rPr>
        <w:t>H</w:t>
      </w:r>
      <w:r w:rsidRPr="00F00A7B">
        <w:rPr>
          <w:lang w:eastAsia="ko-KR"/>
        </w:rPr>
        <w:t>igh level waste (HLW): Waste with levels of activity concentration high enough to generate significant quantities of heat, or waste with large amounts of long</w:t>
      </w:r>
      <w:r w:rsidR="00706141">
        <w:rPr>
          <w:lang w:eastAsia="ko-KR"/>
        </w:rPr>
        <w:t>-</w:t>
      </w:r>
      <w:r w:rsidRPr="00F00A7B">
        <w:rPr>
          <w:lang w:eastAsia="ko-KR"/>
        </w:rPr>
        <w:t>lived radionuclides. Disposal in deep, stable geological formations, usually several hundred metres or more below the surface, is the generally recognized option for disposal of HLW.</w:t>
      </w:r>
      <w:r>
        <w:rPr>
          <w:lang w:eastAsia="ko-KR"/>
        </w:rPr>
        <w:t xml:space="preserve"> </w:t>
      </w:r>
      <w:r w:rsidRPr="00F00A7B">
        <w:t>[1]</w:t>
      </w:r>
    </w:p>
    <w:p w14:paraId="2C7E8245" w14:textId="77777777" w:rsidR="004C4CEF" w:rsidRDefault="004C4CEF">
      <w:pPr>
        <w:overflowPunct/>
        <w:autoSpaceDE/>
        <w:autoSpaceDN/>
        <w:adjustRightInd/>
        <w:textAlignment w:val="auto"/>
        <w:rPr>
          <w:sz w:val="20"/>
        </w:rPr>
      </w:pPr>
      <w:r>
        <w:br w:type="page"/>
      </w:r>
    </w:p>
    <w:p w14:paraId="36F8FD1F" w14:textId="571A51CE" w:rsidR="0049632B" w:rsidRPr="004F5D5F" w:rsidRDefault="006A1C48" w:rsidP="0049632B">
      <w:pPr>
        <w:pStyle w:val="Heading4"/>
        <w:ind w:left="0"/>
      </w:pPr>
      <w:r>
        <w:lastRenderedPageBreak/>
        <w:t>Origin of the waste</w:t>
      </w:r>
    </w:p>
    <w:p w14:paraId="3C4F84EA" w14:textId="77777777" w:rsidR="009F1BBD" w:rsidRDefault="00B8265B" w:rsidP="00537496">
      <w:pPr>
        <w:pStyle w:val="BodyText"/>
      </w:pPr>
      <w:r w:rsidRPr="00F00A7B">
        <w:t>Radioactive waste is mainly produced through all stages of the nuclear fuel cycle</w:t>
      </w:r>
      <w:r>
        <w:t>. The fuel cycle</w:t>
      </w:r>
      <w:r w:rsidR="004F5D5F">
        <w:t xml:space="preserve"> </w:t>
      </w:r>
      <w:r>
        <w:t>includes the mining and milling of uranium ore, its conversion, enrichment and fabrication into nuclear fuel.</w:t>
      </w:r>
      <w:r w:rsidR="00447EDA">
        <w:t xml:space="preserve"> [2]</w:t>
      </w:r>
      <w:r>
        <w:t xml:space="preserve"> When it comes to the use in the reactor, two options </w:t>
      </w:r>
      <w:r w:rsidR="00322C9E">
        <w:t>are available</w:t>
      </w:r>
      <w:r>
        <w:t xml:space="preserve"> from the used fuel, reprocessing or disposal. According to the policy decision, if reprocessing is the next step, the treatment of the used fuel taken from the reactor and the disposal of the waste</w:t>
      </w:r>
      <w:r w:rsidR="00DB2985">
        <w:t xml:space="preserve"> are performed</w:t>
      </w:r>
      <w:r>
        <w:t xml:space="preserve"> or </w:t>
      </w:r>
      <w:r w:rsidR="00647AC1">
        <w:t>the used fuel</w:t>
      </w:r>
      <w:r>
        <w:t xml:space="preserve"> directly</w:t>
      </w:r>
      <w:r w:rsidR="00647AC1">
        <w:t xml:space="preserve"> are</w:t>
      </w:r>
      <w:r w:rsidR="00DB2985">
        <w:t xml:space="preserve"> moved</w:t>
      </w:r>
      <w:r>
        <w:t xml:space="preserve"> to the disposal</w:t>
      </w:r>
      <w:r w:rsidR="00DB2985">
        <w:t xml:space="preserve"> repositories</w:t>
      </w:r>
      <w:r>
        <w:t>.</w:t>
      </w:r>
      <w:r w:rsidR="009C3B17">
        <w:t xml:space="preserve"> </w:t>
      </w:r>
      <w:r>
        <w:t>While waste is also produced during mining and milling and fuel fabrication, the major part comes from the actual burning of the uranium to produce electricity which is also called as back-end fuel cycle; from interim storage of the used fuel to the disposal.</w:t>
      </w:r>
      <w:r w:rsidR="00706141">
        <w:t xml:space="preserve"> </w:t>
      </w:r>
    </w:p>
    <w:p w14:paraId="4AE17767" w14:textId="468D785E" w:rsidR="00C42079" w:rsidRDefault="009C3B17" w:rsidP="00537496">
      <w:pPr>
        <w:pStyle w:val="BodyText"/>
      </w:pPr>
      <w:r>
        <w:t>In this regard, n</w:t>
      </w:r>
      <w:r w:rsidR="007107FD">
        <w:rPr>
          <w:lang w:eastAsia="ko-KR"/>
        </w:rPr>
        <w:t>o matter which option did they choose</w:t>
      </w:r>
      <w:r>
        <w:rPr>
          <w:lang w:eastAsia="ko-KR"/>
        </w:rPr>
        <w:t xml:space="preserve"> </w:t>
      </w:r>
      <w:r>
        <w:t>c</w:t>
      </w:r>
      <w:r w:rsidR="003808FE" w:rsidRPr="009F2834">
        <w:t>hallenges to address these kinds of waste is the management of HLW, spent nuclear fuel</w:t>
      </w:r>
      <w:r>
        <w:t xml:space="preserve">, </w:t>
      </w:r>
      <w:r w:rsidR="003808FE" w:rsidRPr="009F2834">
        <w:t>which needs more technologies to make a distance from the public</w:t>
      </w:r>
      <w:r w:rsidR="00FD1DBC">
        <w:t>,</w:t>
      </w:r>
      <w:r w:rsidR="003808FE" w:rsidRPr="009F2834">
        <w:t xml:space="preserve"> and it needs a longer time than other types of wastes.</w:t>
      </w:r>
      <w:r w:rsidR="00732CE1">
        <w:t xml:space="preserve"> </w:t>
      </w:r>
    </w:p>
    <w:p w14:paraId="2D0AE021" w14:textId="24BABE09" w:rsidR="00EE0041" w:rsidRPr="00C42079" w:rsidRDefault="00EE0041" w:rsidP="00C42079">
      <w:pPr>
        <w:overflowPunct/>
        <w:autoSpaceDE/>
        <w:autoSpaceDN/>
        <w:adjustRightInd/>
        <w:textAlignment w:val="auto"/>
        <w:rPr>
          <w:sz w:val="20"/>
        </w:rPr>
      </w:pPr>
    </w:p>
    <w:p w14:paraId="3079EB41" w14:textId="77777777" w:rsidR="008B6BEE" w:rsidRDefault="0091186E" w:rsidP="008B6BEE">
      <w:pPr>
        <w:pStyle w:val="Heading2"/>
        <w:numPr>
          <w:ilvl w:val="1"/>
          <w:numId w:val="10"/>
        </w:numPr>
        <w:rPr>
          <w:lang w:eastAsia="ko-KR"/>
        </w:rPr>
      </w:pPr>
      <w:r>
        <w:rPr>
          <w:lang w:eastAsia="ko-KR"/>
        </w:rPr>
        <w:t>spent nuclear fuel storage options and technologies</w:t>
      </w:r>
    </w:p>
    <w:p w14:paraId="3138315F" w14:textId="1AE84D97" w:rsidR="008B6BEE" w:rsidRPr="008B6BEE" w:rsidRDefault="0019113F" w:rsidP="008B6BEE">
      <w:pPr>
        <w:pStyle w:val="BodyText"/>
        <w:rPr>
          <w:lang w:eastAsia="ko-KR"/>
        </w:rPr>
      </w:pPr>
      <w:r w:rsidRPr="0019113F">
        <w:rPr>
          <w:lang w:eastAsia="ko-KR"/>
        </w:rPr>
        <w:t>Spent nuclear fuel has been managed for many years in multiple countries, and the management process is generally divided as AR</w:t>
      </w:r>
      <w:r w:rsidR="009A7DE8">
        <w:rPr>
          <w:rFonts w:hint="eastAsia"/>
          <w:lang w:eastAsia="ko-KR"/>
        </w:rPr>
        <w:t xml:space="preserve"> </w:t>
      </w:r>
      <w:r w:rsidRPr="0019113F">
        <w:rPr>
          <w:lang w:eastAsia="ko-KR"/>
        </w:rPr>
        <w:t>(pool), interim storage</w:t>
      </w:r>
      <w:r w:rsidR="009A7DE8">
        <w:rPr>
          <w:rFonts w:hint="eastAsia"/>
          <w:lang w:eastAsia="ko-KR"/>
        </w:rPr>
        <w:t xml:space="preserve"> </w:t>
      </w:r>
      <w:r w:rsidRPr="0019113F">
        <w:rPr>
          <w:lang w:eastAsia="ko-KR"/>
        </w:rPr>
        <w:t>(various types of facilities), reprocessing</w:t>
      </w:r>
      <w:r w:rsidR="009A7DE8">
        <w:rPr>
          <w:rFonts w:hint="eastAsia"/>
          <w:lang w:eastAsia="ko-KR"/>
        </w:rPr>
        <w:t xml:space="preserve"> </w:t>
      </w:r>
      <w:r w:rsidRPr="0019113F">
        <w:rPr>
          <w:lang w:eastAsia="ko-KR"/>
        </w:rPr>
        <w:t>(ex. PUREX, etc.) or recycling</w:t>
      </w:r>
      <w:r w:rsidR="009A7DE8">
        <w:rPr>
          <w:rFonts w:hint="eastAsia"/>
          <w:lang w:eastAsia="ko-KR"/>
        </w:rPr>
        <w:t xml:space="preserve"> </w:t>
      </w:r>
      <w:r w:rsidRPr="0019113F">
        <w:rPr>
          <w:lang w:eastAsia="ko-KR"/>
        </w:rPr>
        <w:t xml:space="preserve">(ex. </w:t>
      </w:r>
      <w:r w:rsidR="009A7DE8" w:rsidRPr="0019113F">
        <w:rPr>
          <w:lang w:eastAsia="ko-KR"/>
        </w:rPr>
        <w:t>P</w:t>
      </w:r>
      <w:r w:rsidRPr="0019113F">
        <w:rPr>
          <w:lang w:eastAsia="ko-KR"/>
        </w:rPr>
        <w:t>yro</w:t>
      </w:r>
      <w:r w:rsidR="009A7DE8">
        <w:rPr>
          <w:rFonts w:hint="eastAsia"/>
          <w:lang w:eastAsia="ko-KR"/>
        </w:rPr>
        <w:t>-</w:t>
      </w:r>
      <w:r w:rsidRPr="0019113F">
        <w:rPr>
          <w:lang w:eastAsia="ko-KR"/>
        </w:rPr>
        <w:t xml:space="preserve">process, SFR, LBFR) pending its policy decision. Fig.2 describes this concept as a flow chart. </w:t>
      </w:r>
      <w:r w:rsidR="00567AC8">
        <w:rPr>
          <w:rFonts w:hint="eastAsia"/>
          <w:lang w:eastAsia="ko-KR"/>
        </w:rPr>
        <w:t xml:space="preserve"> </w:t>
      </w:r>
    </w:p>
    <w:p w14:paraId="6E34E034" w14:textId="5042E42B" w:rsidR="008B6BEE" w:rsidRDefault="008B6BEE" w:rsidP="00567AC8">
      <w:pPr>
        <w:pStyle w:val="Heading2"/>
        <w:numPr>
          <w:ilvl w:val="0"/>
          <w:numId w:val="0"/>
        </w:numPr>
        <w:jc w:val="center"/>
        <w:rPr>
          <w:lang w:eastAsia="ko-KR"/>
        </w:rPr>
      </w:pPr>
      <w:r w:rsidRPr="008B6BEE">
        <w:rPr>
          <w:noProof/>
          <w:lang w:val="en-US"/>
        </w:rPr>
        <w:drawing>
          <wp:inline distT="0" distB="0" distL="0" distR="0" wp14:anchorId="34782255" wp14:editId="639B2DA3">
            <wp:extent cx="5470023" cy="1957754"/>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0106" cy="1957784"/>
                    </a:xfrm>
                    <a:prstGeom prst="rect">
                      <a:avLst/>
                    </a:prstGeom>
                  </pic:spPr>
                </pic:pic>
              </a:graphicData>
            </a:graphic>
          </wp:inline>
        </w:drawing>
      </w:r>
    </w:p>
    <w:p w14:paraId="38373982" w14:textId="1FFC9F5C" w:rsidR="008B6BEE" w:rsidRPr="008B6BEE" w:rsidRDefault="008B6BEE" w:rsidP="00567AC8">
      <w:pPr>
        <w:pStyle w:val="Caption"/>
        <w:jc w:val="center"/>
        <w:rPr>
          <w:lang w:eastAsia="ko-KR"/>
        </w:rPr>
      </w:pPr>
      <w:r>
        <w:t xml:space="preserve">Figure </w:t>
      </w:r>
      <w:r>
        <w:fldChar w:fldCharType="begin"/>
      </w:r>
      <w:r>
        <w:instrText xml:space="preserve"> SEQ Figure \* ARABIC </w:instrText>
      </w:r>
      <w:r>
        <w:fldChar w:fldCharType="separate"/>
      </w:r>
      <w:r>
        <w:rPr>
          <w:noProof/>
        </w:rPr>
        <w:t>2</w:t>
      </w:r>
      <w:r>
        <w:fldChar w:fldCharType="end"/>
      </w:r>
      <w:r>
        <w:rPr>
          <w:rFonts w:hint="eastAsia"/>
          <w:lang w:eastAsia="ko-KR"/>
        </w:rPr>
        <w:t xml:space="preserve"> Spent Nuclear Fuel Management Flow Chart</w:t>
      </w:r>
    </w:p>
    <w:p w14:paraId="4194BDEF" w14:textId="1ADA8B8E" w:rsidR="00734498" w:rsidRPr="008B6BEE" w:rsidRDefault="00734498" w:rsidP="00796EAF">
      <w:pPr>
        <w:pStyle w:val="BodyText"/>
        <w:rPr>
          <w:lang w:eastAsia="ko-KR"/>
        </w:rPr>
      </w:pPr>
      <w:r>
        <w:rPr>
          <w:rFonts w:hint="eastAsia"/>
          <w:lang w:eastAsia="ko-KR"/>
        </w:rPr>
        <w:t xml:space="preserve">The first step of the management of all the spent fuel is the AR pool. Unloaded spent fuel is </w:t>
      </w:r>
      <w:r w:rsidR="007073D3">
        <w:rPr>
          <w:rFonts w:hint="eastAsia"/>
          <w:lang w:eastAsia="ko-KR"/>
        </w:rPr>
        <w:t xml:space="preserve">immediately </w:t>
      </w:r>
      <w:r>
        <w:rPr>
          <w:rFonts w:hint="eastAsia"/>
          <w:lang w:eastAsia="ko-KR"/>
        </w:rPr>
        <w:t xml:space="preserve">moved to the AR pool. </w:t>
      </w:r>
      <w:r w:rsidR="007073D3">
        <w:rPr>
          <w:lang w:eastAsia="ko-KR"/>
        </w:rPr>
        <w:t>F</w:t>
      </w:r>
      <w:r w:rsidR="007073D3">
        <w:rPr>
          <w:rFonts w:hint="eastAsia"/>
          <w:lang w:eastAsia="ko-KR"/>
        </w:rPr>
        <w:t xml:space="preserve">orced cooling method is the way how to cool and store the spent </w:t>
      </w:r>
      <w:r w:rsidR="007073D3">
        <w:rPr>
          <w:lang w:eastAsia="ko-KR"/>
        </w:rPr>
        <w:t>nuclear</w:t>
      </w:r>
      <w:r w:rsidR="007073D3">
        <w:rPr>
          <w:rFonts w:hint="eastAsia"/>
          <w:lang w:eastAsia="ko-KR"/>
        </w:rPr>
        <w:t xml:space="preserve"> fuel at reactor pool storage. </w:t>
      </w:r>
      <w:r w:rsidR="007073D3">
        <w:rPr>
          <w:lang w:eastAsia="ko-KR"/>
        </w:rPr>
        <w:t>W</w:t>
      </w:r>
      <w:r w:rsidR="007073D3">
        <w:rPr>
          <w:rFonts w:hint="eastAsia"/>
          <w:lang w:eastAsia="ko-KR"/>
        </w:rPr>
        <w:t xml:space="preserve">et storage of nuclear fuel is the essential facilities for the nuclear fuel replacement and cooling the highly radioactive and high-heated spent fuel. </w:t>
      </w:r>
      <w:r>
        <w:rPr>
          <w:lang w:eastAsia="ko-KR"/>
        </w:rPr>
        <w:t>A</w:t>
      </w:r>
      <w:r>
        <w:rPr>
          <w:rFonts w:hint="eastAsia"/>
          <w:lang w:eastAsia="ko-KR"/>
        </w:rPr>
        <w:t xml:space="preserve">fter cooling it for some years, this fuel </w:t>
      </w:r>
      <w:r w:rsidR="007073D3">
        <w:rPr>
          <w:rFonts w:hint="eastAsia"/>
          <w:lang w:eastAsia="ko-KR"/>
        </w:rPr>
        <w:t xml:space="preserve">is usually moved to </w:t>
      </w:r>
      <w:r>
        <w:rPr>
          <w:rFonts w:hint="eastAsia"/>
          <w:lang w:eastAsia="ko-KR"/>
        </w:rPr>
        <w:t xml:space="preserve">the interim storage facilities. The interim storage facilities are </w:t>
      </w:r>
      <w:r>
        <w:rPr>
          <w:lang w:eastAsia="ko-KR"/>
        </w:rPr>
        <w:t>classified</w:t>
      </w:r>
      <w:r>
        <w:rPr>
          <w:rFonts w:hint="eastAsia"/>
          <w:lang w:eastAsia="ko-KR"/>
        </w:rPr>
        <w:t xml:space="preserve"> as its configuration, technology. </w:t>
      </w:r>
      <w:r w:rsidR="00796EAF">
        <w:rPr>
          <w:rFonts w:hint="eastAsia"/>
          <w:lang w:eastAsia="ko-KR"/>
        </w:rPr>
        <w:t>A</w:t>
      </w:r>
      <w:r>
        <w:rPr>
          <w:rFonts w:hint="eastAsia"/>
          <w:lang w:eastAsia="ko-KR"/>
        </w:rPr>
        <w:t>ccording to the way how to cool the fuel</w:t>
      </w:r>
      <w:r w:rsidR="00796EAF">
        <w:rPr>
          <w:rFonts w:hint="eastAsia"/>
          <w:lang w:eastAsia="ko-KR"/>
        </w:rPr>
        <w:t>, two main technical options can be varied, d</w:t>
      </w:r>
      <w:r>
        <w:rPr>
          <w:rFonts w:hint="eastAsia"/>
          <w:lang w:eastAsia="ko-KR"/>
        </w:rPr>
        <w:t>ry storage and wet storage</w:t>
      </w:r>
      <w:r w:rsidR="00796EAF">
        <w:rPr>
          <w:rFonts w:hint="eastAsia"/>
          <w:lang w:eastAsia="ko-KR"/>
        </w:rPr>
        <w:t xml:space="preserve">. Configurations are At-Reactor (AR) or Away-from-Reactor (AFR) </w:t>
      </w:r>
      <w:r w:rsidR="00796EAF" w:rsidRPr="00495979">
        <w:t>―</w:t>
      </w:r>
      <w:r w:rsidR="00796EAF">
        <w:rPr>
          <w:rFonts w:hint="eastAsia"/>
          <w:lang w:eastAsia="ko-KR"/>
        </w:rPr>
        <w:t xml:space="preserve"> at Reactor-Site (AFR-RS) or Off-Site (AFR-OS)</w:t>
      </w:r>
      <w:r w:rsidR="00796EAF" w:rsidRPr="00FF3625">
        <w:t xml:space="preserve"> </w:t>
      </w:r>
      <w:r w:rsidR="00796EAF" w:rsidRPr="00495979">
        <w:t>―</w:t>
      </w:r>
      <w:r w:rsidR="00796EAF">
        <w:rPr>
          <w:rFonts w:hint="eastAsia"/>
          <w:lang w:eastAsia="ko-KR"/>
        </w:rPr>
        <w:t>.</w:t>
      </w:r>
    </w:p>
    <w:p w14:paraId="5C158B7A" w14:textId="77777777" w:rsidR="00734498" w:rsidRPr="00734498" w:rsidRDefault="00734498" w:rsidP="00734498">
      <w:pPr>
        <w:pStyle w:val="Heading3"/>
        <w:numPr>
          <w:ilvl w:val="0"/>
          <w:numId w:val="0"/>
        </w:numPr>
      </w:pPr>
    </w:p>
    <w:p w14:paraId="07704EAF" w14:textId="4E213FFD" w:rsidR="003569C6" w:rsidRDefault="003569C6" w:rsidP="003569C6">
      <w:pPr>
        <w:pStyle w:val="Heading3"/>
        <w:numPr>
          <w:ilvl w:val="2"/>
          <w:numId w:val="35"/>
        </w:numPr>
      </w:pPr>
      <w:r>
        <w:t>Dry storage</w:t>
      </w:r>
      <w:r w:rsidR="00695423">
        <w:t xml:space="preserve"> options</w:t>
      </w:r>
    </w:p>
    <w:p w14:paraId="5186AD9F" w14:textId="27138DF4" w:rsidR="00DB32AE" w:rsidRDefault="00DB32AE" w:rsidP="00DB32AE">
      <w:pPr>
        <w:pStyle w:val="ListEmdash"/>
      </w:pPr>
      <w:r>
        <w:t>Cask</w:t>
      </w:r>
    </w:p>
    <w:p w14:paraId="34399BFD" w14:textId="23CEE030" w:rsidR="00C42079" w:rsidRDefault="00C42079" w:rsidP="00C42079">
      <w:pPr>
        <w:pStyle w:val="ListEmdash"/>
        <w:numPr>
          <w:ilvl w:val="0"/>
          <w:numId w:val="0"/>
        </w:numPr>
        <w:ind w:left="709"/>
      </w:pPr>
      <w:r>
        <w:t>There are two major types of casks, which are metal casks and concrete</w:t>
      </w:r>
      <w:r w:rsidR="003868FA">
        <w:t xml:space="preserve"> casks. They look similar in sh</w:t>
      </w:r>
      <w:r>
        <w:t>a</w:t>
      </w:r>
      <w:r w:rsidR="003868FA">
        <w:rPr>
          <w:rFonts w:hint="eastAsia"/>
          <w:lang w:eastAsia="ko-KR"/>
        </w:rPr>
        <w:t>p</w:t>
      </w:r>
      <w:r>
        <w:t xml:space="preserve">e, but the differences are here: </w:t>
      </w:r>
    </w:p>
    <w:p w14:paraId="1C78D4CE" w14:textId="63434A2B" w:rsidR="00C42079" w:rsidRDefault="00C42079" w:rsidP="00C42079">
      <w:pPr>
        <w:pStyle w:val="BodyText"/>
        <w:numPr>
          <w:ilvl w:val="3"/>
          <w:numId w:val="20"/>
        </w:numPr>
        <w:ind w:left="709" w:firstLine="0"/>
      </w:pPr>
      <w:r>
        <w:lastRenderedPageBreak/>
        <w:t>Metal cask: conduction through cask wall, double lid metal gasket as a containment and s</w:t>
      </w:r>
      <w:r w:rsidR="0042165C">
        <w:t>hielding through metallic wall</w:t>
      </w:r>
    </w:p>
    <w:p w14:paraId="389E7A5E" w14:textId="4E156259" w:rsidR="00C42079" w:rsidRDefault="00C42079" w:rsidP="00C42079">
      <w:pPr>
        <w:pStyle w:val="BodyText"/>
        <w:numPr>
          <w:ilvl w:val="3"/>
          <w:numId w:val="20"/>
        </w:numPr>
        <w:ind w:left="709" w:firstLine="0"/>
        <w:rPr>
          <w:lang w:eastAsia="ko-KR"/>
        </w:rPr>
      </w:pPr>
      <w:r>
        <w:t xml:space="preserve">Concrete cask: air convection around canister, cavity lining/seal welding as a containment and shielding through concrete and steel </w:t>
      </w:r>
      <w:r w:rsidR="00934AFE">
        <w:t>over pack</w:t>
      </w:r>
    </w:p>
    <w:p w14:paraId="13394DB9" w14:textId="77777777" w:rsidR="0042165C" w:rsidRDefault="0042165C" w:rsidP="0042165C">
      <w:pPr>
        <w:pStyle w:val="BodyText"/>
        <w:ind w:left="709" w:firstLine="0"/>
        <w:rPr>
          <w:lang w:eastAsia="ko-KR"/>
        </w:rPr>
      </w:pPr>
    </w:p>
    <w:p w14:paraId="36BF8C12" w14:textId="21A8BD9C" w:rsidR="00DB32AE" w:rsidRDefault="00C42079" w:rsidP="00C42079">
      <w:pPr>
        <w:pStyle w:val="ListEmdash"/>
      </w:pPr>
      <w:r>
        <w:t>Concrete module</w:t>
      </w:r>
    </w:p>
    <w:p w14:paraId="5C340203" w14:textId="77777777" w:rsidR="00C42079" w:rsidRDefault="00C42079" w:rsidP="00DB32AE">
      <w:pPr>
        <w:pStyle w:val="BodyText"/>
        <w:numPr>
          <w:ilvl w:val="3"/>
          <w:numId w:val="20"/>
        </w:numPr>
        <w:ind w:left="709" w:firstLine="0"/>
      </w:pPr>
      <w:r>
        <w:t>Air convection around canister, canister sealing as a containment and shielding through concrete wall</w:t>
      </w:r>
    </w:p>
    <w:p w14:paraId="18677712" w14:textId="77777777" w:rsidR="0042165C" w:rsidRDefault="0042165C" w:rsidP="0042165C">
      <w:pPr>
        <w:pStyle w:val="BodyText"/>
        <w:ind w:left="709" w:firstLine="0"/>
      </w:pPr>
    </w:p>
    <w:p w14:paraId="22C40B90" w14:textId="33264CE8" w:rsidR="00DB32AE" w:rsidRDefault="00DB32AE" w:rsidP="00DB32AE">
      <w:pPr>
        <w:pStyle w:val="BodyText"/>
        <w:numPr>
          <w:ilvl w:val="0"/>
          <w:numId w:val="20"/>
        </w:numPr>
        <w:ind w:left="709"/>
      </w:pPr>
      <w:r>
        <w:t>Vault</w:t>
      </w:r>
    </w:p>
    <w:p w14:paraId="2466F567" w14:textId="1743CD45" w:rsidR="00DB32AE" w:rsidRPr="00C42079" w:rsidRDefault="00C42079" w:rsidP="00DB32AE">
      <w:pPr>
        <w:pStyle w:val="BodyText"/>
        <w:numPr>
          <w:ilvl w:val="3"/>
          <w:numId w:val="20"/>
        </w:numPr>
        <w:ind w:left="709" w:firstLine="0"/>
        <w:rPr>
          <w:lang w:val="en-US"/>
        </w:rPr>
      </w:pPr>
      <w:r>
        <w:t>Air convection around thimble tube, thimble tube as a containment and shielding through concrete wall</w:t>
      </w:r>
    </w:p>
    <w:p w14:paraId="685E936A" w14:textId="68E8A129" w:rsidR="003569C6" w:rsidRDefault="003569C6" w:rsidP="003569C6">
      <w:pPr>
        <w:pStyle w:val="Heading3"/>
        <w:numPr>
          <w:ilvl w:val="2"/>
          <w:numId w:val="10"/>
        </w:numPr>
      </w:pPr>
      <w:r>
        <w:t>Wet storage</w:t>
      </w:r>
      <w:r w:rsidR="007073D3">
        <w:t xml:space="preserve"> option</w:t>
      </w:r>
    </w:p>
    <w:p w14:paraId="6E2FA869" w14:textId="2FE19EFC" w:rsidR="008866D0" w:rsidRPr="001062A8" w:rsidRDefault="00EB5A10" w:rsidP="001062A8">
      <w:pPr>
        <w:pStyle w:val="BodyText"/>
        <w:rPr>
          <w:rFonts w:eastAsiaTheme="minorEastAsia"/>
          <w:szCs w:val="24"/>
          <w:lang w:eastAsia="ko-KR"/>
        </w:rPr>
      </w:pPr>
      <w:r w:rsidRPr="00EB5A10">
        <w:rPr>
          <w:rFonts w:eastAsia="Calibri"/>
          <w:szCs w:val="24"/>
        </w:rPr>
        <w:t xml:space="preserve">The most classic and widely used spent fuel storage method is water pool storage. Almost 90% of the worldwide spent nuclear fuel is currently stored and managed in the AR or AFR pool storage safely. Decay heat generated from the spent nuclear fuel is removed through the heat exchanger based on the forced air cooling system. Wet storage option has its advantage on that it has higher storage density than the dry storage options. Thanks to the properties of water for heat removal and shielding, wet storage has been selected for a long time. For the long history requires significant modifications to the internals of the pool. </w:t>
      </w:r>
      <w:r w:rsidR="002215D6">
        <w:rPr>
          <w:rFonts w:eastAsia="Calibri"/>
          <w:szCs w:val="24"/>
        </w:rPr>
        <w:t xml:space="preserve"> </w:t>
      </w:r>
    </w:p>
    <w:p w14:paraId="6A64D7C4" w14:textId="53920F78" w:rsidR="0042165C" w:rsidRDefault="0042165C">
      <w:pPr>
        <w:overflowPunct/>
        <w:autoSpaceDE/>
        <w:autoSpaceDN/>
        <w:adjustRightInd/>
        <w:textAlignment w:val="auto"/>
        <w:rPr>
          <w:sz w:val="20"/>
          <w:lang w:eastAsia="ko-KR"/>
        </w:rPr>
      </w:pPr>
    </w:p>
    <w:p w14:paraId="183B8D8C" w14:textId="17C924E8" w:rsidR="00EE0041" w:rsidRDefault="00BF1F44" w:rsidP="0026525A">
      <w:pPr>
        <w:pStyle w:val="Heading2"/>
        <w:numPr>
          <w:ilvl w:val="1"/>
          <w:numId w:val="10"/>
        </w:numPr>
      </w:pPr>
      <w:r>
        <w:t>a comprehensive list of key factors affecting costs</w:t>
      </w:r>
    </w:p>
    <w:p w14:paraId="45D9C5DB" w14:textId="7EBA54EA" w:rsidR="00EB5A10" w:rsidRDefault="00EB5A10" w:rsidP="00EB5A10">
      <w:pPr>
        <w:pStyle w:val="BodyText"/>
      </w:pPr>
      <w:r>
        <w:t xml:space="preserve">In this paper, three main considerations were applied to classify the costs for the spent fuel storage options: cost categories, configurations, technologies. Major cost categories are three steps, which are capital-related costs, Operation &amp; Maintenance (O&amp;M) costs, Decontamination and Decommissioning (D&amp;D) costs. Each cost category contains multiple project phases of the nuclear power plant. Capital costs contain project definitions, design engineering, regulatory approval, and construction. O&amp;M costs are from spent fuel loading to unloading including storage between those. D&amp;D is the step of the Decontamination and Decommissioning, literally. Configurations here it means the location of the storage site such as At-Reactor (AR) or Away-from-Reactor (AFR) ― at Reactor-Site (AFR-RS) or Off-Site (AFR-OS) ―. These options may involve wet (water pools) and dry storage technologies (casks, canister/basket, </w:t>
      </w:r>
      <w:r w:rsidR="00934AFE">
        <w:t>and vault</w:t>
      </w:r>
      <w:r>
        <w:t xml:space="preserve"> storage).</w:t>
      </w:r>
    </w:p>
    <w:p w14:paraId="6665DCF7" w14:textId="585BA1A4" w:rsidR="00D70B3B" w:rsidRDefault="00EB5A10" w:rsidP="00EB5A10">
      <w:pPr>
        <w:pStyle w:val="BodyText"/>
      </w:pPr>
      <w:r>
        <w:t xml:space="preserve">Cost categories here are classified by the technologies specific cost categories, the configurations specific cost categories, and the common items which are more or less independent from the technologies and configurations. For these technologies specific costs, pending on the technologies they applied to, wet storage or the dry storage, options for the spent fuel storage could come up also. Infrastructure, systems, transfer equipment, transport equipment, decontamination are those. Table 1 shows the list of the dry storage technologies specific costs regarding each option of the spent </w:t>
      </w:r>
      <w:r w:rsidR="00934AFE">
        <w:t>fuel;</w:t>
      </w:r>
      <w:r>
        <w:t xml:space="preserve"> here all the costs are related to the capital cost categories. Table 2 provides a list of the cost that is involved in the wet storage technologies for the two options of the spent fuel. For the common items, two major cost categories of the operating costs and the D&amp;D costs are shown in Table 3. [3], [4]</w:t>
      </w:r>
    </w:p>
    <w:p w14:paraId="12FC043E" w14:textId="5070AA9B" w:rsidR="00D70B3B" w:rsidRDefault="00D70B3B">
      <w:pPr>
        <w:overflowPunct/>
        <w:autoSpaceDE/>
        <w:autoSpaceDN/>
        <w:adjustRightInd/>
        <w:textAlignment w:val="auto"/>
        <w:rPr>
          <w:sz w:val="20"/>
        </w:rPr>
      </w:pPr>
    </w:p>
    <w:p w14:paraId="4F27C50C" w14:textId="77777777" w:rsidR="00D70B3B" w:rsidRDefault="00D70B3B" w:rsidP="003F7D36">
      <w:pPr>
        <w:pStyle w:val="BodyText"/>
        <w:ind w:firstLine="0"/>
        <w:sectPr w:rsidR="00D70B3B" w:rsidSect="00D70B3B">
          <w:headerReference w:type="even" r:id="rId11"/>
          <w:headerReference w:type="default" r:id="rId12"/>
          <w:footerReference w:type="default" r:id="rId13"/>
          <w:pgSz w:w="11907" w:h="16840" w:code="9"/>
          <w:pgMar w:top="1440" w:right="1440" w:bottom="1440" w:left="1440" w:header="539" w:footer="964" w:gutter="0"/>
          <w:pgNumType w:start="1"/>
          <w:cols w:space="720"/>
          <w:docGrid w:linePitch="299"/>
        </w:sectPr>
      </w:pPr>
    </w:p>
    <w:p w14:paraId="063C568B" w14:textId="3307D94A" w:rsidR="003F7D36" w:rsidRDefault="003F7D36" w:rsidP="003F7D36">
      <w:pPr>
        <w:pStyle w:val="BodyText"/>
        <w:ind w:firstLine="0"/>
      </w:pPr>
      <w:r>
        <w:lastRenderedPageBreak/>
        <w:t>TABLE 1.</w:t>
      </w:r>
      <w:r>
        <w:tab/>
      </w:r>
      <w:r w:rsidR="00E965EC">
        <w:t>Technology specific</w:t>
      </w:r>
      <w:r w:rsidRPr="003F7D36">
        <w:t xml:space="preserve"> costs</w:t>
      </w:r>
      <w:r>
        <w:t xml:space="preserve"> </w:t>
      </w:r>
      <w:r w:rsidRPr="003F7D36">
        <w:t>(</w:t>
      </w:r>
      <w:r w:rsidR="00E965EC">
        <w:t>dry storage</w:t>
      </w:r>
      <w:r w:rsidRPr="003F7D36">
        <w:t>)</w:t>
      </w:r>
    </w:p>
    <w:p w14:paraId="53D0C17A" w14:textId="77777777" w:rsidR="003F7D36" w:rsidRPr="003F7D36" w:rsidRDefault="003F7D36" w:rsidP="003F7D36">
      <w:pPr>
        <w:pStyle w:val="Caption"/>
        <w:keepNext/>
        <w:ind w:left="567"/>
        <w:rPr>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439"/>
        <w:gridCol w:w="2440"/>
        <w:gridCol w:w="2440"/>
        <w:gridCol w:w="2440"/>
      </w:tblGrid>
      <w:tr w:rsidR="0082614B" w14:paraId="7EE4062E" w14:textId="34245BBE" w:rsidTr="005812DD">
        <w:trPr>
          <w:trHeight w:val="263"/>
          <w:jc w:val="center"/>
        </w:trPr>
        <w:tc>
          <w:tcPr>
            <w:tcW w:w="1977" w:type="dxa"/>
            <w:tcBorders>
              <w:top w:val="single" w:sz="4" w:space="0" w:color="auto"/>
            </w:tcBorders>
          </w:tcPr>
          <w:p w14:paraId="6BB88B76" w14:textId="13C4AD0E" w:rsidR="0082614B" w:rsidRPr="00B42E7C" w:rsidRDefault="0082614B" w:rsidP="009D1AD0">
            <w:pPr>
              <w:pStyle w:val="BodyText"/>
              <w:ind w:firstLine="0"/>
            </w:pPr>
            <w:r>
              <w:t>Options</w:t>
            </w:r>
          </w:p>
        </w:tc>
        <w:tc>
          <w:tcPr>
            <w:tcW w:w="2439" w:type="dxa"/>
            <w:tcBorders>
              <w:top w:val="single" w:sz="4" w:space="0" w:color="auto"/>
            </w:tcBorders>
          </w:tcPr>
          <w:p w14:paraId="3896C56E" w14:textId="5C680AF3" w:rsidR="0082614B" w:rsidRPr="00E965EC" w:rsidRDefault="0082614B" w:rsidP="00E965EC">
            <w:pPr>
              <w:pStyle w:val="BodyText"/>
              <w:jc w:val="center"/>
              <w:rPr>
                <w:lang w:val="en-US"/>
              </w:rPr>
            </w:pPr>
            <w:r w:rsidRPr="00E965EC">
              <w:t>Infrastructure</w:t>
            </w:r>
          </w:p>
        </w:tc>
        <w:tc>
          <w:tcPr>
            <w:tcW w:w="2440" w:type="dxa"/>
            <w:tcBorders>
              <w:top w:val="single" w:sz="4" w:space="0" w:color="auto"/>
            </w:tcBorders>
          </w:tcPr>
          <w:p w14:paraId="50E867D4" w14:textId="7B5D5702" w:rsidR="0082614B" w:rsidRPr="00E965EC" w:rsidRDefault="0082614B" w:rsidP="00E965EC">
            <w:pPr>
              <w:pStyle w:val="BodyText"/>
              <w:jc w:val="center"/>
            </w:pPr>
            <w:r w:rsidRPr="00E965EC">
              <w:t>Systems</w:t>
            </w:r>
          </w:p>
        </w:tc>
        <w:tc>
          <w:tcPr>
            <w:tcW w:w="2440" w:type="dxa"/>
            <w:tcBorders>
              <w:top w:val="single" w:sz="4" w:space="0" w:color="auto"/>
            </w:tcBorders>
          </w:tcPr>
          <w:p w14:paraId="02C6F030" w14:textId="62C821D6" w:rsidR="0082614B" w:rsidRPr="00E965EC" w:rsidRDefault="0082614B" w:rsidP="00E965EC">
            <w:pPr>
              <w:jc w:val="center"/>
              <w:rPr>
                <w:sz w:val="20"/>
                <w:lang w:val="en-US"/>
              </w:rPr>
            </w:pPr>
            <w:r w:rsidRPr="00E965EC">
              <w:rPr>
                <w:sz w:val="20"/>
              </w:rPr>
              <w:t>Transfer equipment</w:t>
            </w:r>
          </w:p>
        </w:tc>
        <w:tc>
          <w:tcPr>
            <w:tcW w:w="2440" w:type="dxa"/>
            <w:tcBorders>
              <w:top w:val="single" w:sz="4" w:space="0" w:color="auto"/>
            </w:tcBorders>
          </w:tcPr>
          <w:p w14:paraId="24F922DA" w14:textId="587D12E8" w:rsidR="0082614B" w:rsidRPr="00E965EC" w:rsidRDefault="0082614B" w:rsidP="00E965EC">
            <w:pPr>
              <w:jc w:val="center"/>
              <w:rPr>
                <w:sz w:val="20"/>
                <w:lang w:val="en-US"/>
              </w:rPr>
            </w:pPr>
            <w:r w:rsidRPr="00E965EC">
              <w:rPr>
                <w:sz w:val="20"/>
              </w:rPr>
              <w:t>Transport equipment</w:t>
            </w:r>
          </w:p>
        </w:tc>
      </w:tr>
      <w:tr w:rsidR="0082614B" w14:paraId="4DB7DD7F" w14:textId="46FD79A1" w:rsidTr="00E965EC">
        <w:trPr>
          <w:trHeight w:val="1136"/>
          <w:jc w:val="center"/>
        </w:trPr>
        <w:tc>
          <w:tcPr>
            <w:tcW w:w="1977" w:type="dxa"/>
            <w:tcBorders>
              <w:top w:val="single" w:sz="4" w:space="0" w:color="auto"/>
            </w:tcBorders>
          </w:tcPr>
          <w:p w14:paraId="61356AC0" w14:textId="3C88190D" w:rsidR="0082614B" w:rsidRDefault="0082614B" w:rsidP="009D1AD0">
            <w:pPr>
              <w:pStyle w:val="BodyText"/>
              <w:ind w:firstLine="0"/>
              <w:rPr>
                <w:rStyle w:val="TabletextChar"/>
              </w:rPr>
            </w:pPr>
            <w:r w:rsidRPr="00285625">
              <w:rPr>
                <w:lang w:val="en-US"/>
              </w:rPr>
              <w:t>Cask</w:t>
            </w:r>
          </w:p>
        </w:tc>
        <w:tc>
          <w:tcPr>
            <w:tcW w:w="2439" w:type="dxa"/>
            <w:tcBorders>
              <w:top w:val="single" w:sz="4" w:space="0" w:color="auto"/>
            </w:tcBorders>
          </w:tcPr>
          <w:p w14:paraId="0EA4FD63" w14:textId="77777777" w:rsidR="0082614B" w:rsidRPr="00E965EC" w:rsidRDefault="0082614B" w:rsidP="00E965EC">
            <w:pPr>
              <w:pStyle w:val="BodyText"/>
              <w:ind w:firstLine="0"/>
              <w:jc w:val="center"/>
            </w:pPr>
            <w:r w:rsidRPr="00E965EC">
              <w:t>land</w:t>
            </w:r>
          </w:p>
          <w:p w14:paraId="6A997523" w14:textId="77777777" w:rsidR="0082614B" w:rsidRPr="00E965EC" w:rsidRDefault="0082614B" w:rsidP="00E965EC">
            <w:pPr>
              <w:pStyle w:val="BodyText"/>
              <w:ind w:firstLine="0"/>
              <w:jc w:val="center"/>
            </w:pPr>
            <w:r w:rsidRPr="00E965EC">
              <w:t>site preparation</w:t>
            </w:r>
          </w:p>
          <w:p w14:paraId="44F1FF3B" w14:textId="12D9570C" w:rsidR="0082614B" w:rsidRDefault="0082614B" w:rsidP="00E965EC">
            <w:pPr>
              <w:pStyle w:val="BodyText"/>
              <w:ind w:firstLine="0"/>
              <w:jc w:val="center"/>
            </w:pPr>
            <w:r w:rsidRPr="00E965EC">
              <w:t>bridge</w:t>
            </w:r>
          </w:p>
          <w:p w14:paraId="5573933F" w14:textId="406384FF" w:rsidR="0082614B" w:rsidRDefault="0082614B" w:rsidP="00E965EC">
            <w:pPr>
              <w:pStyle w:val="BodyText"/>
              <w:ind w:firstLine="0"/>
              <w:jc w:val="center"/>
            </w:pPr>
            <w:r w:rsidRPr="00E965EC">
              <w:t>roadways</w:t>
            </w:r>
          </w:p>
          <w:p w14:paraId="594D3BE3" w14:textId="4DE4C9ED" w:rsidR="0082614B" w:rsidRDefault="0082614B" w:rsidP="00E965EC">
            <w:pPr>
              <w:pStyle w:val="BodyText"/>
              <w:ind w:firstLine="0"/>
              <w:jc w:val="center"/>
            </w:pPr>
            <w:r w:rsidRPr="00E965EC">
              <w:t>site access</w:t>
            </w:r>
          </w:p>
        </w:tc>
        <w:tc>
          <w:tcPr>
            <w:tcW w:w="2440" w:type="dxa"/>
            <w:tcBorders>
              <w:top w:val="single" w:sz="4" w:space="0" w:color="auto"/>
            </w:tcBorders>
          </w:tcPr>
          <w:p w14:paraId="558B6F85" w14:textId="77777777" w:rsidR="0082614B" w:rsidRPr="00E965EC" w:rsidRDefault="0082614B" w:rsidP="00E965EC">
            <w:pPr>
              <w:ind w:left="360"/>
              <w:jc w:val="center"/>
              <w:rPr>
                <w:sz w:val="20"/>
              </w:rPr>
            </w:pPr>
            <w:r w:rsidRPr="00E965EC">
              <w:rPr>
                <w:sz w:val="20"/>
              </w:rPr>
              <w:t>Storage cask</w:t>
            </w:r>
          </w:p>
          <w:p w14:paraId="6142256B" w14:textId="77777777" w:rsidR="0082614B" w:rsidRPr="00E965EC" w:rsidRDefault="0082614B" w:rsidP="00E965EC">
            <w:pPr>
              <w:ind w:left="360"/>
              <w:jc w:val="center"/>
              <w:rPr>
                <w:sz w:val="20"/>
              </w:rPr>
            </w:pPr>
            <w:r w:rsidRPr="00E965EC">
              <w:rPr>
                <w:sz w:val="20"/>
              </w:rPr>
              <w:t>cask handling</w:t>
            </w:r>
          </w:p>
          <w:p w14:paraId="41A26D7C" w14:textId="77777777" w:rsidR="0082614B" w:rsidRPr="00E965EC" w:rsidRDefault="0082614B" w:rsidP="00E965EC">
            <w:pPr>
              <w:ind w:left="360"/>
              <w:jc w:val="center"/>
              <w:rPr>
                <w:sz w:val="20"/>
              </w:rPr>
            </w:pPr>
            <w:r w:rsidRPr="00E965EC">
              <w:rPr>
                <w:sz w:val="20"/>
              </w:rPr>
              <w:t>cask loading and unloading</w:t>
            </w:r>
          </w:p>
          <w:p w14:paraId="0F4F124E" w14:textId="77777777" w:rsidR="0082614B" w:rsidRPr="00E965EC" w:rsidRDefault="0082614B" w:rsidP="00E965EC">
            <w:pPr>
              <w:ind w:left="360"/>
              <w:jc w:val="center"/>
              <w:rPr>
                <w:sz w:val="20"/>
              </w:rPr>
            </w:pPr>
            <w:r w:rsidRPr="00E965EC">
              <w:rPr>
                <w:sz w:val="20"/>
              </w:rPr>
              <w:t>cask sealing</w:t>
            </w:r>
          </w:p>
          <w:p w14:paraId="02FF6223" w14:textId="3B5E2360" w:rsidR="0082614B" w:rsidRPr="00C94764" w:rsidRDefault="0082614B" w:rsidP="00C94764">
            <w:pPr>
              <w:ind w:left="360"/>
              <w:jc w:val="center"/>
              <w:rPr>
                <w:sz w:val="20"/>
              </w:rPr>
            </w:pPr>
            <w:r w:rsidRPr="00E965EC">
              <w:rPr>
                <w:sz w:val="20"/>
              </w:rPr>
              <w:t>cask operating</w:t>
            </w:r>
          </w:p>
        </w:tc>
        <w:tc>
          <w:tcPr>
            <w:tcW w:w="2440" w:type="dxa"/>
            <w:tcBorders>
              <w:top w:val="single" w:sz="4" w:space="0" w:color="auto"/>
            </w:tcBorders>
          </w:tcPr>
          <w:p w14:paraId="0CDDC457" w14:textId="77777777" w:rsidR="0082614B" w:rsidRPr="00E965EC" w:rsidRDefault="0082614B" w:rsidP="00E965EC">
            <w:pPr>
              <w:ind w:left="360"/>
              <w:jc w:val="center"/>
              <w:rPr>
                <w:sz w:val="20"/>
              </w:rPr>
            </w:pPr>
            <w:r w:rsidRPr="00E965EC">
              <w:rPr>
                <w:sz w:val="20"/>
              </w:rPr>
              <w:t>transfer cask</w:t>
            </w:r>
          </w:p>
          <w:p w14:paraId="32C20816" w14:textId="77777777" w:rsidR="0082614B" w:rsidRPr="00E965EC" w:rsidRDefault="0082614B" w:rsidP="00E965EC">
            <w:pPr>
              <w:ind w:left="360"/>
              <w:jc w:val="center"/>
              <w:rPr>
                <w:sz w:val="20"/>
              </w:rPr>
            </w:pPr>
            <w:r w:rsidRPr="00E965EC">
              <w:rPr>
                <w:sz w:val="20"/>
              </w:rPr>
              <w:t>transfer cask handling</w:t>
            </w:r>
          </w:p>
          <w:p w14:paraId="1A64970F" w14:textId="58BCFC99" w:rsidR="0082614B" w:rsidRPr="00E965EC" w:rsidRDefault="0082614B" w:rsidP="00E965EC">
            <w:pPr>
              <w:pStyle w:val="BodyText"/>
              <w:ind w:firstLine="0"/>
              <w:jc w:val="center"/>
            </w:pPr>
            <w:r w:rsidRPr="00AE6E71">
              <w:t>transfer loading and unloading</w:t>
            </w:r>
          </w:p>
        </w:tc>
        <w:tc>
          <w:tcPr>
            <w:tcW w:w="2440" w:type="dxa"/>
            <w:tcBorders>
              <w:top w:val="single" w:sz="4" w:space="0" w:color="auto"/>
            </w:tcBorders>
          </w:tcPr>
          <w:p w14:paraId="16BA4EF9" w14:textId="77777777" w:rsidR="0082614B" w:rsidRPr="00E965EC" w:rsidRDefault="0082614B" w:rsidP="00E965EC">
            <w:pPr>
              <w:ind w:left="360"/>
              <w:jc w:val="center"/>
              <w:rPr>
                <w:sz w:val="20"/>
              </w:rPr>
            </w:pPr>
            <w:r w:rsidRPr="00E965EC">
              <w:rPr>
                <w:sz w:val="20"/>
              </w:rPr>
              <w:t>transport cask</w:t>
            </w:r>
          </w:p>
          <w:p w14:paraId="0474689F" w14:textId="77777777" w:rsidR="0082614B" w:rsidRPr="00E965EC" w:rsidRDefault="0082614B" w:rsidP="00E965EC">
            <w:pPr>
              <w:ind w:left="360"/>
              <w:jc w:val="center"/>
              <w:rPr>
                <w:sz w:val="20"/>
              </w:rPr>
            </w:pPr>
            <w:r w:rsidRPr="00E965EC">
              <w:rPr>
                <w:sz w:val="20"/>
              </w:rPr>
              <w:t>transport cask handling</w:t>
            </w:r>
          </w:p>
          <w:p w14:paraId="00DE5E27" w14:textId="77777777" w:rsidR="0082614B" w:rsidRPr="00E965EC" w:rsidRDefault="0082614B" w:rsidP="00E965EC">
            <w:pPr>
              <w:ind w:left="360"/>
              <w:jc w:val="center"/>
              <w:rPr>
                <w:sz w:val="20"/>
              </w:rPr>
            </w:pPr>
            <w:r w:rsidRPr="00E965EC">
              <w:rPr>
                <w:sz w:val="20"/>
              </w:rPr>
              <w:t>transport cask loading (and unloading)</w:t>
            </w:r>
          </w:p>
          <w:p w14:paraId="2003D2BA" w14:textId="77777777" w:rsidR="0082614B" w:rsidRPr="00E965EC" w:rsidRDefault="0082614B" w:rsidP="00E965EC">
            <w:pPr>
              <w:pStyle w:val="BodyText"/>
              <w:ind w:firstLine="0"/>
              <w:jc w:val="center"/>
            </w:pPr>
          </w:p>
        </w:tc>
      </w:tr>
      <w:tr w:rsidR="0082614B" w14:paraId="2691B4AA" w14:textId="77777777" w:rsidTr="00E965EC">
        <w:trPr>
          <w:trHeight w:val="1136"/>
          <w:jc w:val="center"/>
        </w:trPr>
        <w:tc>
          <w:tcPr>
            <w:tcW w:w="1977" w:type="dxa"/>
            <w:tcBorders>
              <w:top w:val="single" w:sz="4" w:space="0" w:color="auto"/>
            </w:tcBorders>
          </w:tcPr>
          <w:p w14:paraId="2CD415C6" w14:textId="3F62FE24" w:rsidR="0082614B" w:rsidRDefault="0082614B" w:rsidP="009D1AD0">
            <w:pPr>
              <w:pStyle w:val="BodyText"/>
              <w:ind w:firstLine="0"/>
              <w:rPr>
                <w:rStyle w:val="TabletextChar"/>
              </w:rPr>
            </w:pPr>
            <w:r w:rsidRPr="00285625">
              <w:rPr>
                <w:lang w:val="en-US"/>
              </w:rPr>
              <w:t>Canister/Basket</w:t>
            </w:r>
          </w:p>
        </w:tc>
        <w:tc>
          <w:tcPr>
            <w:tcW w:w="2439" w:type="dxa"/>
            <w:tcBorders>
              <w:top w:val="single" w:sz="4" w:space="0" w:color="auto"/>
            </w:tcBorders>
          </w:tcPr>
          <w:p w14:paraId="5F54142F" w14:textId="77777777" w:rsidR="0082614B" w:rsidRDefault="0082614B" w:rsidP="00E965EC">
            <w:pPr>
              <w:pStyle w:val="BodyText"/>
              <w:ind w:firstLine="0"/>
              <w:jc w:val="center"/>
            </w:pPr>
          </w:p>
        </w:tc>
        <w:tc>
          <w:tcPr>
            <w:tcW w:w="2440" w:type="dxa"/>
            <w:tcBorders>
              <w:top w:val="single" w:sz="4" w:space="0" w:color="auto"/>
            </w:tcBorders>
          </w:tcPr>
          <w:p w14:paraId="100CAA06" w14:textId="77777777" w:rsidR="0082614B" w:rsidRPr="00E965EC" w:rsidRDefault="0082614B" w:rsidP="00E965EC">
            <w:pPr>
              <w:ind w:left="360"/>
              <w:jc w:val="center"/>
              <w:rPr>
                <w:sz w:val="20"/>
              </w:rPr>
            </w:pPr>
            <w:r w:rsidRPr="00E965EC">
              <w:rPr>
                <w:sz w:val="20"/>
              </w:rPr>
              <w:t>canister or basket</w:t>
            </w:r>
          </w:p>
          <w:p w14:paraId="50E362B3" w14:textId="77777777" w:rsidR="0082614B" w:rsidRPr="00E965EC" w:rsidRDefault="0082614B" w:rsidP="00E965EC">
            <w:pPr>
              <w:ind w:left="360"/>
              <w:jc w:val="center"/>
              <w:rPr>
                <w:sz w:val="20"/>
              </w:rPr>
            </w:pPr>
            <w:r w:rsidRPr="00E965EC">
              <w:rPr>
                <w:sz w:val="20"/>
              </w:rPr>
              <w:t>canister handling</w:t>
            </w:r>
          </w:p>
          <w:p w14:paraId="3E4E418C" w14:textId="77777777" w:rsidR="0082614B" w:rsidRPr="00E965EC" w:rsidRDefault="0082614B" w:rsidP="00E965EC">
            <w:pPr>
              <w:ind w:left="360"/>
              <w:jc w:val="center"/>
              <w:rPr>
                <w:sz w:val="20"/>
              </w:rPr>
            </w:pPr>
            <w:r w:rsidRPr="00E965EC">
              <w:rPr>
                <w:sz w:val="20"/>
              </w:rPr>
              <w:t>canister loading and unloading</w:t>
            </w:r>
          </w:p>
          <w:p w14:paraId="5B356D80" w14:textId="77777777" w:rsidR="0082614B" w:rsidRPr="00E965EC" w:rsidRDefault="0082614B" w:rsidP="00E965EC">
            <w:pPr>
              <w:ind w:left="360"/>
              <w:jc w:val="center"/>
              <w:rPr>
                <w:sz w:val="20"/>
              </w:rPr>
            </w:pPr>
            <w:r w:rsidRPr="00E965EC">
              <w:rPr>
                <w:sz w:val="20"/>
              </w:rPr>
              <w:t>canister welding</w:t>
            </w:r>
          </w:p>
          <w:p w14:paraId="37974550" w14:textId="0691E4C4" w:rsidR="0082614B" w:rsidRPr="00C94764" w:rsidRDefault="0082614B" w:rsidP="00C94764">
            <w:pPr>
              <w:ind w:left="360"/>
              <w:jc w:val="center"/>
              <w:rPr>
                <w:sz w:val="20"/>
              </w:rPr>
            </w:pPr>
            <w:r w:rsidRPr="00E965EC">
              <w:rPr>
                <w:sz w:val="20"/>
              </w:rPr>
              <w:t>canister operating</w:t>
            </w:r>
          </w:p>
        </w:tc>
        <w:tc>
          <w:tcPr>
            <w:tcW w:w="2440" w:type="dxa"/>
            <w:tcBorders>
              <w:top w:val="single" w:sz="4" w:space="0" w:color="auto"/>
            </w:tcBorders>
          </w:tcPr>
          <w:p w14:paraId="6C80AA36" w14:textId="77777777" w:rsidR="0082614B" w:rsidRPr="00E965EC" w:rsidRDefault="0082614B" w:rsidP="00E965EC">
            <w:pPr>
              <w:ind w:left="360"/>
              <w:jc w:val="center"/>
              <w:rPr>
                <w:sz w:val="20"/>
              </w:rPr>
            </w:pPr>
            <w:r w:rsidRPr="00E965EC">
              <w:rPr>
                <w:sz w:val="20"/>
              </w:rPr>
              <w:t>transfer cask</w:t>
            </w:r>
          </w:p>
          <w:p w14:paraId="1F0EBCF9" w14:textId="77777777" w:rsidR="0082614B" w:rsidRPr="00E965EC" w:rsidRDefault="0082614B" w:rsidP="00E965EC">
            <w:pPr>
              <w:ind w:left="360"/>
              <w:jc w:val="center"/>
              <w:rPr>
                <w:sz w:val="20"/>
              </w:rPr>
            </w:pPr>
            <w:r w:rsidRPr="00E965EC">
              <w:rPr>
                <w:sz w:val="20"/>
              </w:rPr>
              <w:t>transfer cask handling</w:t>
            </w:r>
          </w:p>
          <w:p w14:paraId="137470E7" w14:textId="77777777" w:rsidR="0082614B" w:rsidRPr="00E965EC" w:rsidRDefault="0082614B" w:rsidP="00E965EC">
            <w:pPr>
              <w:ind w:left="360"/>
              <w:jc w:val="center"/>
              <w:rPr>
                <w:sz w:val="20"/>
              </w:rPr>
            </w:pPr>
            <w:r w:rsidRPr="00E965EC">
              <w:rPr>
                <w:sz w:val="20"/>
              </w:rPr>
              <w:t>transfer loading and unloading</w:t>
            </w:r>
          </w:p>
          <w:p w14:paraId="414AD9AA" w14:textId="77777777" w:rsidR="0082614B" w:rsidRPr="00E965EC" w:rsidRDefault="0082614B" w:rsidP="00E965EC">
            <w:pPr>
              <w:pStyle w:val="BodyText"/>
              <w:jc w:val="center"/>
            </w:pPr>
          </w:p>
        </w:tc>
        <w:tc>
          <w:tcPr>
            <w:tcW w:w="2440" w:type="dxa"/>
            <w:tcBorders>
              <w:top w:val="single" w:sz="4" w:space="0" w:color="auto"/>
            </w:tcBorders>
          </w:tcPr>
          <w:p w14:paraId="1D429AC0" w14:textId="77777777" w:rsidR="0082614B" w:rsidRPr="00E965EC" w:rsidRDefault="0082614B" w:rsidP="00E965EC">
            <w:pPr>
              <w:ind w:left="360"/>
              <w:jc w:val="center"/>
              <w:rPr>
                <w:sz w:val="20"/>
              </w:rPr>
            </w:pPr>
            <w:r w:rsidRPr="00E965EC">
              <w:rPr>
                <w:sz w:val="20"/>
              </w:rPr>
              <w:t>transport cask</w:t>
            </w:r>
          </w:p>
          <w:p w14:paraId="1F378A8C" w14:textId="77777777" w:rsidR="0082614B" w:rsidRPr="00E965EC" w:rsidRDefault="0082614B" w:rsidP="00E965EC">
            <w:pPr>
              <w:ind w:left="360"/>
              <w:jc w:val="center"/>
              <w:rPr>
                <w:sz w:val="20"/>
              </w:rPr>
            </w:pPr>
            <w:r w:rsidRPr="00E965EC">
              <w:rPr>
                <w:sz w:val="20"/>
              </w:rPr>
              <w:t>transport cask handling</w:t>
            </w:r>
          </w:p>
          <w:p w14:paraId="30CAEBAF" w14:textId="77777777" w:rsidR="0082614B" w:rsidRPr="00E965EC" w:rsidRDefault="0082614B" w:rsidP="00E965EC">
            <w:pPr>
              <w:ind w:left="360"/>
              <w:jc w:val="center"/>
              <w:rPr>
                <w:sz w:val="20"/>
              </w:rPr>
            </w:pPr>
            <w:r w:rsidRPr="00E965EC">
              <w:rPr>
                <w:sz w:val="20"/>
              </w:rPr>
              <w:t>transport cask loading (and unloading)</w:t>
            </w:r>
          </w:p>
          <w:p w14:paraId="6F8D3329" w14:textId="77777777" w:rsidR="0082614B" w:rsidRPr="00E965EC" w:rsidRDefault="0082614B" w:rsidP="00E965EC">
            <w:pPr>
              <w:pStyle w:val="BodyText"/>
              <w:jc w:val="center"/>
            </w:pPr>
          </w:p>
        </w:tc>
      </w:tr>
      <w:tr w:rsidR="0082614B" w14:paraId="43984B6A" w14:textId="77777777" w:rsidTr="00E965EC">
        <w:trPr>
          <w:trHeight w:val="1136"/>
          <w:jc w:val="center"/>
        </w:trPr>
        <w:tc>
          <w:tcPr>
            <w:tcW w:w="1977" w:type="dxa"/>
            <w:tcBorders>
              <w:top w:val="single" w:sz="4" w:space="0" w:color="auto"/>
            </w:tcBorders>
          </w:tcPr>
          <w:p w14:paraId="3ECC9B0D" w14:textId="735F8E38" w:rsidR="0082614B" w:rsidRDefault="0082614B" w:rsidP="009D1AD0">
            <w:pPr>
              <w:pStyle w:val="BodyText"/>
              <w:ind w:firstLine="0"/>
              <w:rPr>
                <w:rStyle w:val="TabletextChar"/>
              </w:rPr>
            </w:pPr>
            <w:r w:rsidRPr="00285625">
              <w:rPr>
                <w:lang w:val="en-US"/>
              </w:rPr>
              <w:t>Vault</w:t>
            </w:r>
          </w:p>
        </w:tc>
        <w:tc>
          <w:tcPr>
            <w:tcW w:w="2439" w:type="dxa"/>
            <w:tcBorders>
              <w:top w:val="single" w:sz="4" w:space="0" w:color="auto"/>
            </w:tcBorders>
          </w:tcPr>
          <w:p w14:paraId="4A650B87" w14:textId="77777777" w:rsidR="0082614B" w:rsidRDefault="0082614B" w:rsidP="00E965EC">
            <w:pPr>
              <w:pStyle w:val="BodyText"/>
              <w:ind w:firstLine="0"/>
              <w:jc w:val="center"/>
            </w:pPr>
          </w:p>
        </w:tc>
        <w:tc>
          <w:tcPr>
            <w:tcW w:w="2440" w:type="dxa"/>
            <w:tcBorders>
              <w:top w:val="single" w:sz="4" w:space="0" w:color="auto"/>
            </w:tcBorders>
          </w:tcPr>
          <w:p w14:paraId="44180D6F" w14:textId="77777777" w:rsidR="0082614B" w:rsidRPr="00E965EC" w:rsidRDefault="0082614B" w:rsidP="00E965EC">
            <w:pPr>
              <w:ind w:left="360"/>
              <w:jc w:val="center"/>
              <w:rPr>
                <w:sz w:val="20"/>
              </w:rPr>
            </w:pPr>
            <w:r w:rsidRPr="00E965EC">
              <w:rPr>
                <w:sz w:val="20"/>
              </w:rPr>
              <w:t>vault building</w:t>
            </w:r>
          </w:p>
          <w:p w14:paraId="69C832D7" w14:textId="77777777" w:rsidR="0082614B" w:rsidRPr="00E965EC" w:rsidRDefault="0082614B" w:rsidP="00E965EC">
            <w:pPr>
              <w:ind w:left="360"/>
              <w:jc w:val="center"/>
              <w:rPr>
                <w:sz w:val="20"/>
              </w:rPr>
            </w:pPr>
            <w:r w:rsidRPr="00E965EC">
              <w:rPr>
                <w:sz w:val="20"/>
              </w:rPr>
              <w:t>storage vault</w:t>
            </w:r>
          </w:p>
          <w:p w14:paraId="405341F0" w14:textId="77777777" w:rsidR="0082614B" w:rsidRPr="00E965EC" w:rsidRDefault="0082614B" w:rsidP="00E965EC">
            <w:pPr>
              <w:ind w:left="360"/>
              <w:jc w:val="center"/>
              <w:rPr>
                <w:sz w:val="20"/>
              </w:rPr>
            </w:pPr>
            <w:r w:rsidRPr="00E965EC">
              <w:rPr>
                <w:sz w:val="20"/>
              </w:rPr>
              <w:t>canister handling</w:t>
            </w:r>
          </w:p>
          <w:p w14:paraId="55157A3D" w14:textId="77777777" w:rsidR="0082614B" w:rsidRPr="00E965EC" w:rsidRDefault="0082614B" w:rsidP="00E965EC">
            <w:pPr>
              <w:ind w:left="360"/>
              <w:jc w:val="center"/>
              <w:rPr>
                <w:sz w:val="20"/>
              </w:rPr>
            </w:pPr>
            <w:r w:rsidRPr="00E965EC">
              <w:rPr>
                <w:sz w:val="20"/>
              </w:rPr>
              <w:t>canister welding</w:t>
            </w:r>
          </w:p>
          <w:p w14:paraId="217810AA" w14:textId="0662353C" w:rsidR="0082614B" w:rsidRPr="00C94764" w:rsidRDefault="0082614B" w:rsidP="00C94764">
            <w:pPr>
              <w:ind w:left="360"/>
              <w:jc w:val="center"/>
              <w:rPr>
                <w:sz w:val="20"/>
              </w:rPr>
            </w:pPr>
            <w:r w:rsidRPr="00E965EC">
              <w:rPr>
                <w:sz w:val="20"/>
              </w:rPr>
              <w:t>air filtering</w:t>
            </w:r>
          </w:p>
        </w:tc>
        <w:tc>
          <w:tcPr>
            <w:tcW w:w="2440" w:type="dxa"/>
            <w:tcBorders>
              <w:top w:val="single" w:sz="4" w:space="0" w:color="auto"/>
            </w:tcBorders>
          </w:tcPr>
          <w:p w14:paraId="5F217772" w14:textId="77777777" w:rsidR="0082614B" w:rsidRPr="00E965EC" w:rsidRDefault="0082614B" w:rsidP="00E965EC">
            <w:pPr>
              <w:ind w:left="360"/>
              <w:jc w:val="center"/>
              <w:rPr>
                <w:sz w:val="20"/>
              </w:rPr>
            </w:pPr>
            <w:r w:rsidRPr="00E965EC">
              <w:rPr>
                <w:sz w:val="20"/>
              </w:rPr>
              <w:t>transfer cask</w:t>
            </w:r>
          </w:p>
          <w:p w14:paraId="21F02FE0" w14:textId="77777777" w:rsidR="0082614B" w:rsidRPr="00E965EC" w:rsidRDefault="0082614B" w:rsidP="00E965EC">
            <w:pPr>
              <w:ind w:left="360"/>
              <w:jc w:val="center"/>
              <w:rPr>
                <w:sz w:val="20"/>
              </w:rPr>
            </w:pPr>
            <w:r w:rsidRPr="00E965EC">
              <w:rPr>
                <w:sz w:val="20"/>
              </w:rPr>
              <w:t>transfer cask handling</w:t>
            </w:r>
          </w:p>
          <w:p w14:paraId="1623FC56" w14:textId="166975FA" w:rsidR="0082614B" w:rsidRPr="00E965EC" w:rsidRDefault="0082614B" w:rsidP="00E965EC">
            <w:pPr>
              <w:pStyle w:val="BodyText"/>
              <w:jc w:val="center"/>
            </w:pPr>
            <w:r w:rsidRPr="00D049A0">
              <w:t>transfer loading and unloading</w:t>
            </w:r>
          </w:p>
        </w:tc>
        <w:tc>
          <w:tcPr>
            <w:tcW w:w="2440" w:type="dxa"/>
            <w:tcBorders>
              <w:top w:val="single" w:sz="4" w:space="0" w:color="auto"/>
            </w:tcBorders>
          </w:tcPr>
          <w:p w14:paraId="684E3360" w14:textId="77777777" w:rsidR="0082614B" w:rsidRPr="00E965EC" w:rsidRDefault="0082614B" w:rsidP="00E965EC">
            <w:pPr>
              <w:ind w:left="360"/>
              <w:jc w:val="center"/>
              <w:rPr>
                <w:sz w:val="20"/>
              </w:rPr>
            </w:pPr>
            <w:r w:rsidRPr="00E965EC">
              <w:rPr>
                <w:sz w:val="20"/>
              </w:rPr>
              <w:t>transport cask</w:t>
            </w:r>
          </w:p>
          <w:p w14:paraId="1B15CF41" w14:textId="77777777" w:rsidR="0082614B" w:rsidRPr="00E965EC" w:rsidRDefault="0082614B" w:rsidP="00E965EC">
            <w:pPr>
              <w:ind w:left="360"/>
              <w:jc w:val="center"/>
              <w:rPr>
                <w:sz w:val="20"/>
              </w:rPr>
            </w:pPr>
            <w:r w:rsidRPr="00E965EC">
              <w:rPr>
                <w:sz w:val="20"/>
              </w:rPr>
              <w:t>transport cask handling</w:t>
            </w:r>
          </w:p>
          <w:p w14:paraId="7D943A04" w14:textId="00A0FEDD" w:rsidR="0082614B" w:rsidRPr="00C94764" w:rsidRDefault="0082614B" w:rsidP="00C94764">
            <w:pPr>
              <w:ind w:left="360"/>
              <w:jc w:val="center"/>
              <w:rPr>
                <w:sz w:val="20"/>
              </w:rPr>
            </w:pPr>
            <w:r w:rsidRPr="00E965EC">
              <w:rPr>
                <w:sz w:val="20"/>
              </w:rPr>
              <w:t>transport cask loading (and unloading)</w:t>
            </w:r>
          </w:p>
        </w:tc>
      </w:tr>
    </w:tbl>
    <w:p w14:paraId="67EA00E7" w14:textId="77777777" w:rsidR="003F7D36" w:rsidRDefault="003F7D36" w:rsidP="003F7D36">
      <w:pPr>
        <w:pStyle w:val="BodyText"/>
        <w:ind w:firstLine="0"/>
      </w:pPr>
    </w:p>
    <w:p w14:paraId="60225B44" w14:textId="77777777" w:rsidR="003F7D36" w:rsidRDefault="003F7D36" w:rsidP="003F7D36">
      <w:pPr>
        <w:pStyle w:val="BodyText"/>
        <w:ind w:firstLine="0"/>
      </w:pPr>
    </w:p>
    <w:p w14:paraId="20ED84A1" w14:textId="1C4F431E" w:rsidR="00E965EC" w:rsidRDefault="00E965EC" w:rsidP="00E965EC">
      <w:pPr>
        <w:pStyle w:val="BodyText"/>
        <w:ind w:firstLine="0"/>
      </w:pPr>
      <w:r>
        <w:t>TABLE 2.</w:t>
      </w:r>
      <w:r>
        <w:tab/>
        <w:t>Technology specific</w:t>
      </w:r>
      <w:r w:rsidRPr="003F7D36">
        <w:t xml:space="preserve"> costs</w:t>
      </w:r>
      <w:r>
        <w:t xml:space="preserve"> </w:t>
      </w:r>
      <w:r w:rsidRPr="003F7D36">
        <w:t>(</w:t>
      </w:r>
      <w:r>
        <w:t>wet storage</w:t>
      </w:r>
      <w:r w:rsidRPr="003F7D36">
        <w:t>)</w:t>
      </w:r>
    </w:p>
    <w:p w14:paraId="5305DEBE" w14:textId="77777777" w:rsidR="00E965EC" w:rsidRPr="003F7D36" w:rsidRDefault="00E965EC" w:rsidP="00E965EC">
      <w:pPr>
        <w:pStyle w:val="Caption"/>
        <w:keepNext/>
        <w:ind w:left="567"/>
        <w:rPr>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6113"/>
        <w:gridCol w:w="4465"/>
      </w:tblGrid>
      <w:tr w:rsidR="000A2E5D" w14:paraId="3CE0B086" w14:textId="77777777" w:rsidTr="003B3DAD">
        <w:trPr>
          <w:trHeight w:val="342"/>
          <w:jc w:val="center"/>
        </w:trPr>
        <w:tc>
          <w:tcPr>
            <w:tcW w:w="2812" w:type="dxa"/>
            <w:tcBorders>
              <w:top w:val="single" w:sz="4" w:space="0" w:color="auto"/>
              <w:bottom w:val="single" w:sz="4" w:space="0" w:color="auto"/>
            </w:tcBorders>
          </w:tcPr>
          <w:p w14:paraId="233EF917" w14:textId="77777777" w:rsidR="000A2E5D" w:rsidRDefault="000A2E5D" w:rsidP="00E965EC">
            <w:pPr>
              <w:pStyle w:val="BodyText"/>
              <w:ind w:firstLine="0"/>
            </w:pPr>
            <w:r>
              <w:t>Cost categories</w:t>
            </w:r>
          </w:p>
        </w:tc>
        <w:tc>
          <w:tcPr>
            <w:tcW w:w="10578" w:type="dxa"/>
            <w:gridSpan w:val="2"/>
            <w:tcBorders>
              <w:top w:val="single" w:sz="4" w:space="0" w:color="auto"/>
              <w:bottom w:val="single" w:sz="4" w:space="0" w:color="auto"/>
            </w:tcBorders>
          </w:tcPr>
          <w:p w14:paraId="48B75911" w14:textId="6709FC75" w:rsidR="000A2E5D" w:rsidRDefault="00C94764" w:rsidP="00E965EC">
            <w:pPr>
              <w:pStyle w:val="BodyText"/>
              <w:ind w:firstLine="0"/>
              <w:jc w:val="center"/>
              <w:rPr>
                <w:lang w:eastAsia="ko-KR"/>
              </w:rPr>
            </w:pPr>
            <w:r>
              <w:rPr>
                <w:rFonts w:hint="eastAsia"/>
                <w:lang w:eastAsia="ko-KR"/>
              </w:rPr>
              <w:t>C</w:t>
            </w:r>
            <w:r>
              <w:rPr>
                <w:lang w:eastAsia="ko-KR"/>
              </w:rPr>
              <w:t>apital related costs</w:t>
            </w:r>
          </w:p>
        </w:tc>
      </w:tr>
      <w:tr w:rsidR="00E965EC" w14:paraId="361354ED" w14:textId="77777777" w:rsidTr="00E965EC">
        <w:trPr>
          <w:trHeight w:val="342"/>
          <w:jc w:val="center"/>
        </w:trPr>
        <w:tc>
          <w:tcPr>
            <w:tcW w:w="2812" w:type="dxa"/>
            <w:tcBorders>
              <w:top w:val="single" w:sz="4" w:space="0" w:color="auto"/>
              <w:bottom w:val="single" w:sz="4" w:space="0" w:color="auto"/>
            </w:tcBorders>
          </w:tcPr>
          <w:p w14:paraId="17EEEAC9" w14:textId="31B1CF99" w:rsidR="00E965EC" w:rsidRDefault="000A2E5D" w:rsidP="00E965EC">
            <w:pPr>
              <w:pStyle w:val="BodyText"/>
              <w:ind w:firstLine="0"/>
            </w:pPr>
            <w:r>
              <w:t>Options</w:t>
            </w:r>
          </w:p>
        </w:tc>
        <w:tc>
          <w:tcPr>
            <w:tcW w:w="6113" w:type="dxa"/>
            <w:tcBorders>
              <w:top w:val="single" w:sz="4" w:space="0" w:color="auto"/>
              <w:bottom w:val="single" w:sz="4" w:space="0" w:color="auto"/>
            </w:tcBorders>
          </w:tcPr>
          <w:p w14:paraId="43B1E2A8" w14:textId="1E50A57C" w:rsidR="00E965EC" w:rsidRPr="000A2E5D" w:rsidRDefault="000A2E5D" w:rsidP="000A2E5D">
            <w:pPr>
              <w:pStyle w:val="BodyText"/>
              <w:ind w:left="360" w:firstLine="0"/>
              <w:jc w:val="center"/>
              <w:rPr>
                <w:lang w:val="en-US"/>
              </w:rPr>
            </w:pPr>
            <w:r w:rsidRPr="000A2E5D">
              <w:rPr>
                <w:lang w:val="en-US"/>
              </w:rPr>
              <w:t>Systems</w:t>
            </w:r>
          </w:p>
        </w:tc>
        <w:tc>
          <w:tcPr>
            <w:tcW w:w="4465" w:type="dxa"/>
            <w:tcBorders>
              <w:top w:val="single" w:sz="4" w:space="0" w:color="auto"/>
              <w:bottom w:val="single" w:sz="4" w:space="0" w:color="auto"/>
            </w:tcBorders>
          </w:tcPr>
          <w:p w14:paraId="1A51255E" w14:textId="15F6F12F" w:rsidR="00E965EC" w:rsidRPr="000A2E5D" w:rsidRDefault="000A2E5D" w:rsidP="000A2E5D">
            <w:pPr>
              <w:pStyle w:val="BodyText"/>
              <w:ind w:left="360" w:firstLine="0"/>
              <w:jc w:val="center"/>
              <w:rPr>
                <w:lang w:val="en-US"/>
              </w:rPr>
            </w:pPr>
            <w:r w:rsidRPr="000A2E5D">
              <w:rPr>
                <w:lang w:val="en-US"/>
              </w:rPr>
              <w:t xml:space="preserve">Transfer equipment </w:t>
            </w:r>
          </w:p>
        </w:tc>
      </w:tr>
      <w:tr w:rsidR="00E965EC" w14:paraId="4BA5A8DD" w14:textId="77777777" w:rsidTr="00E965EC">
        <w:trPr>
          <w:trHeight w:val="1136"/>
          <w:jc w:val="center"/>
        </w:trPr>
        <w:tc>
          <w:tcPr>
            <w:tcW w:w="2812" w:type="dxa"/>
            <w:tcBorders>
              <w:top w:val="single" w:sz="4" w:space="0" w:color="auto"/>
            </w:tcBorders>
          </w:tcPr>
          <w:p w14:paraId="59D36E52" w14:textId="0CE1DDBD" w:rsidR="00E965EC" w:rsidRPr="00B42E7C" w:rsidRDefault="000A2E5D" w:rsidP="00E965EC">
            <w:pPr>
              <w:pStyle w:val="BodyText"/>
              <w:ind w:firstLine="0"/>
            </w:pPr>
            <w:r>
              <w:t>Technology specific costs</w:t>
            </w:r>
          </w:p>
        </w:tc>
        <w:tc>
          <w:tcPr>
            <w:tcW w:w="6113" w:type="dxa"/>
            <w:tcBorders>
              <w:top w:val="single" w:sz="4" w:space="0" w:color="auto"/>
            </w:tcBorders>
          </w:tcPr>
          <w:p w14:paraId="745AC0B8" w14:textId="77777777" w:rsidR="000A2E5D" w:rsidRDefault="000A2E5D" w:rsidP="000A2E5D">
            <w:pPr>
              <w:pStyle w:val="BodyText"/>
              <w:ind w:firstLine="0"/>
              <w:jc w:val="center"/>
              <w:rPr>
                <w:lang w:val="en-US"/>
              </w:rPr>
            </w:pPr>
            <w:r w:rsidRPr="00DC74D3">
              <w:rPr>
                <w:lang w:val="en-US"/>
              </w:rPr>
              <w:t>Pool building</w:t>
            </w:r>
          </w:p>
          <w:p w14:paraId="58A05990" w14:textId="77777777" w:rsidR="000A2E5D" w:rsidRDefault="000A2E5D" w:rsidP="000A2E5D">
            <w:pPr>
              <w:pStyle w:val="BodyText"/>
              <w:ind w:firstLine="0"/>
              <w:jc w:val="center"/>
              <w:rPr>
                <w:lang w:val="en-US"/>
              </w:rPr>
            </w:pPr>
            <w:r w:rsidRPr="00DC74D3">
              <w:rPr>
                <w:lang w:val="en-US"/>
              </w:rPr>
              <w:t xml:space="preserve"> Pool structure</w:t>
            </w:r>
          </w:p>
          <w:p w14:paraId="1A98D9EF" w14:textId="77777777" w:rsidR="000A2E5D" w:rsidRDefault="000A2E5D" w:rsidP="000A2E5D">
            <w:pPr>
              <w:pStyle w:val="BodyText"/>
              <w:ind w:firstLine="0"/>
              <w:jc w:val="center"/>
              <w:rPr>
                <w:lang w:val="en-US"/>
              </w:rPr>
            </w:pPr>
            <w:r w:rsidRPr="00DC74D3">
              <w:rPr>
                <w:lang w:val="en-US"/>
              </w:rPr>
              <w:t xml:space="preserve"> Water Cooling</w:t>
            </w:r>
          </w:p>
          <w:p w14:paraId="74ED5986" w14:textId="77777777" w:rsidR="000A2E5D" w:rsidRDefault="000A2E5D" w:rsidP="000A2E5D">
            <w:pPr>
              <w:pStyle w:val="BodyText"/>
              <w:ind w:firstLine="0"/>
              <w:jc w:val="center"/>
              <w:rPr>
                <w:lang w:val="en-US"/>
              </w:rPr>
            </w:pPr>
            <w:r w:rsidRPr="00DC74D3">
              <w:rPr>
                <w:lang w:val="en-US"/>
              </w:rPr>
              <w:t xml:space="preserve"> Water purification</w:t>
            </w:r>
          </w:p>
          <w:p w14:paraId="02C2163F" w14:textId="50905041" w:rsidR="00E965EC" w:rsidRDefault="000A2E5D" w:rsidP="000A2E5D">
            <w:pPr>
              <w:pStyle w:val="BodyText"/>
              <w:ind w:firstLine="0"/>
              <w:jc w:val="center"/>
            </w:pPr>
            <w:r w:rsidRPr="00DC74D3">
              <w:rPr>
                <w:lang w:val="en-US"/>
              </w:rPr>
              <w:t>Air filtering</w:t>
            </w:r>
          </w:p>
        </w:tc>
        <w:tc>
          <w:tcPr>
            <w:tcW w:w="4465" w:type="dxa"/>
            <w:tcBorders>
              <w:top w:val="single" w:sz="4" w:space="0" w:color="auto"/>
            </w:tcBorders>
          </w:tcPr>
          <w:p w14:paraId="6AEAC572" w14:textId="3FD1AB7E" w:rsidR="00E965EC" w:rsidRDefault="000A2E5D" w:rsidP="00E965EC">
            <w:pPr>
              <w:pStyle w:val="BodyText"/>
              <w:ind w:firstLine="0"/>
              <w:jc w:val="center"/>
            </w:pPr>
            <w:r w:rsidRPr="000A2E5D">
              <w:rPr>
                <w:lang w:val="en-US"/>
              </w:rPr>
              <w:t>Fuel (basket) handling</w:t>
            </w:r>
          </w:p>
        </w:tc>
      </w:tr>
    </w:tbl>
    <w:p w14:paraId="6C13EBD7" w14:textId="77777777" w:rsidR="00E965EC" w:rsidRDefault="00E965EC" w:rsidP="00E965EC">
      <w:pPr>
        <w:pStyle w:val="BodyText"/>
      </w:pPr>
    </w:p>
    <w:p w14:paraId="76929C2B" w14:textId="64FB9A0D" w:rsidR="003F7D36" w:rsidRDefault="003F7D36" w:rsidP="003F7D36">
      <w:pPr>
        <w:pStyle w:val="BodyText"/>
        <w:ind w:firstLine="0"/>
      </w:pPr>
    </w:p>
    <w:p w14:paraId="2351D9B0" w14:textId="161908A3" w:rsidR="00C94764" w:rsidRDefault="00C94764" w:rsidP="003F7D36">
      <w:pPr>
        <w:pStyle w:val="BodyText"/>
        <w:ind w:firstLine="0"/>
      </w:pPr>
    </w:p>
    <w:p w14:paraId="596D0491" w14:textId="77777777" w:rsidR="00C94764" w:rsidRDefault="00C94764" w:rsidP="003F7D36">
      <w:pPr>
        <w:pStyle w:val="BodyText"/>
        <w:ind w:firstLine="0"/>
      </w:pPr>
    </w:p>
    <w:p w14:paraId="4F561CA2" w14:textId="3CF6F154" w:rsidR="0062417B" w:rsidRDefault="00472C43" w:rsidP="003F7D36">
      <w:pPr>
        <w:pStyle w:val="BodyText"/>
        <w:ind w:firstLine="0"/>
      </w:pPr>
      <w:r>
        <w:lastRenderedPageBreak/>
        <w:t xml:space="preserve">TABLE </w:t>
      </w:r>
      <w:r w:rsidR="00E965EC">
        <w:t>3</w:t>
      </w:r>
      <w:r>
        <w:t>.</w:t>
      </w:r>
      <w:r>
        <w:tab/>
      </w:r>
      <w:r w:rsidR="003F7D36" w:rsidRPr="003F7D36">
        <w:t>Common costs</w:t>
      </w:r>
      <w:r w:rsidR="003F7D36">
        <w:t xml:space="preserve"> </w:t>
      </w:r>
      <w:r w:rsidR="003F7D36" w:rsidRPr="003F7D36">
        <w:t>(more or less independent from technologies &amp; configurations)</w:t>
      </w:r>
    </w:p>
    <w:p w14:paraId="0A43461B" w14:textId="0932F071" w:rsidR="0062417B" w:rsidRPr="003F7D36" w:rsidRDefault="0062417B" w:rsidP="003F7D36">
      <w:pPr>
        <w:pStyle w:val="Caption"/>
        <w:keepNext/>
        <w:ind w:left="567"/>
        <w:rPr>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3922"/>
        <w:gridCol w:w="3057"/>
        <w:gridCol w:w="5018"/>
      </w:tblGrid>
      <w:tr w:rsidR="004721C4" w14:paraId="4B6BDF25" w14:textId="2A9C1094" w:rsidTr="00745C44">
        <w:trPr>
          <w:trHeight w:val="342"/>
          <w:jc w:val="center"/>
        </w:trPr>
        <w:tc>
          <w:tcPr>
            <w:tcW w:w="2179" w:type="dxa"/>
            <w:tcBorders>
              <w:top w:val="single" w:sz="4" w:space="0" w:color="auto"/>
              <w:bottom w:val="single" w:sz="4" w:space="0" w:color="auto"/>
            </w:tcBorders>
          </w:tcPr>
          <w:p w14:paraId="056D10B2" w14:textId="6EE9F2D0" w:rsidR="004721C4" w:rsidRDefault="004721C4" w:rsidP="004721C4">
            <w:pPr>
              <w:pStyle w:val="BodyText"/>
              <w:ind w:firstLine="0"/>
            </w:pPr>
            <w:r>
              <w:t>Cost categories</w:t>
            </w:r>
          </w:p>
        </w:tc>
        <w:tc>
          <w:tcPr>
            <w:tcW w:w="3922" w:type="dxa"/>
            <w:tcBorders>
              <w:top w:val="single" w:sz="4" w:space="0" w:color="auto"/>
              <w:bottom w:val="single" w:sz="4" w:space="0" w:color="auto"/>
            </w:tcBorders>
          </w:tcPr>
          <w:p w14:paraId="442639BB" w14:textId="5507339E" w:rsidR="004721C4" w:rsidRDefault="004721C4" w:rsidP="004721C4">
            <w:pPr>
              <w:pStyle w:val="BodyText"/>
              <w:ind w:firstLine="0"/>
              <w:jc w:val="center"/>
            </w:pPr>
            <w:r>
              <w:t>Capital related costs</w:t>
            </w:r>
          </w:p>
        </w:tc>
        <w:tc>
          <w:tcPr>
            <w:tcW w:w="3057" w:type="dxa"/>
            <w:tcBorders>
              <w:top w:val="single" w:sz="4" w:space="0" w:color="auto"/>
              <w:bottom w:val="single" w:sz="4" w:space="0" w:color="auto"/>
            </w:tcBorders>
          </w:tcPr>
          <w:p w14:paraId="09819633" w14:textId="7837ED19" w:rsidR="004721C4" w:rsidRDefault="004721C4" w:rsidP="004721C4">
            <w:pPr>
              <w:pStyle w:val="BodyText"/>
              <w:ind w:firstLine="0"/>
              <w:jc w:val="center"/>
            </w:pPr>
            <w:r>
              <w:t>Operating costs</w:t>
            </w:r>
          </w:p>
        </w:tc>
        <w:tc>
          <w:tcPr>
            <w:tcW w:w="5018" w:type="dxa"/>
            <w:tcBorders>
              <w:top w:val="single" w:sz="4" w:space="0" w:color="auto"/>
              <w:bottom w:val="single" w:sz="4" w:space="0" w:color="auto"/>
            </w:tcBorders>
          </w:tcPr>
          <w:p w14:paraId="44CD57AA" w14:textId="62B682B7" w:rsidR="004721C4" w:rsidRDefault="004721C4" w:rsidP="004721C4">
            <w:pPr>
              <w:pStyle w:val="BodyText"/>
              <w:ind w:firstLine="0"/>
              <w:jc w:val="center"/>
            </w:pPr>
            <w:r>
              <w:t>D&amp;D* costs</w:t>
            </w:r>
          </w:p>
        </w:tc>
      </w:tr>
      <w:tr w:rsidR="004721C4" w14:paraId="17BF0F89" w14:textId="14A8E8AE" w:rsidTr="00745C44">
        <w:trPr>
          <w:trHeight w:val="1136"/>
          <w:jc w:val="center"/>
        </w:trPr>
        <w:tc>
          <w:tcPr>
            <w:tcW w:w="2179" w:type="dxa"/>
            <w:tcBorders>
              <w:top w:val="single" w:sz="4" w:space="0" w:color="auto"/>
            </w:tcBorders>
          </w:tcPr>
          <w:p w14:paraId="62522CDA" w14:textId="4DF8F392" w:rsidR="004721C4" w:rsidRDefault="004721C4" w:rsidP="004721C4">
            <w:pPr>
              <w:pStyle w:val="BodyText"/>
              <w:ind w:firstLine="0"/>
              <w:rPr>
                <w:rStyle w:val="TabletextChar"/>
              </w:rPr>
            </w:pPr>
            <w:r>
              <w:rPr>
                <w:rStyle w:val="TabletextChar"/>
              </w:rPr>
              <w:t>Common costs</w:t>
            </w:r>
          </w:p>
          <w:p w14:paraId="045C6643" w14:textId="058F8F0D" w:rsidR="004721C4" w:rsidRPr="00B42E7C" w:rsidRDefault="004721C4" w:rsidP="004721C4">
            <w:pPr>
              <w:pStyle w:val="BodyText"/>
              <w:ind w:firstLine="0"/>
            </w:pPr>
            <w:r>
              <w:rPr>
                <w:rStyle w:val="TabletextChar"/>
              </w:rPr>
              <w:t>(more or less independent from technologies &amp; configurations)</w:t>
            </w:r>
          </w:p>
        </w:tc>
        <w:tc>
          <w:tcPr>
            <w:tcW w:w="3922" w:type="dxa"/>
            <w:tcBorders>
              <w:top w:val="single" w:sz="4" w:space="0" w:color="auto"/>
            </w:tcBorders>
          </w:tcPr>
          <w:p w14:paraId="17ABDAD8" w14:textId="77777777" w:rsidR="004721C4" w:rsidRPr="00285625" w:rsidRDefault="004721C4" w:rsidP="004721C4">
            <w:pPr>
              <w:pStyle w:val="BodyText"/>
              <w:jc w:val="center"/>
              <w:rPr>
                <w:lang w:val="en-US"/>
              </w:rPr>
            </w:pPr>
            <w:r w:rsidRPr="00285625">
              <w:rPr>
                <w:lang w:val="en-US"/>
              </w:rPr>
              <w:t>airborne particulate monitors</w:t>
            </w:r>
          </w:p>
          <w:p w14:paraId="36F752EE" w14:textId="77777777" w:rsidR="004721C4" w:rsidRPr="00285625" w:rsidRDefault="004721C4" w:rsidP="004721C4">
            <w:pPr>
              <w:pStyle w:val="BodyText"/>
              <w:jc w:val="center"/>
              <w:rPr>
                <w:lang w:val="en-US"/>
              </w:rPr>
            </w:pPr>
            <w:r w:rsidRPr="00285625">
              <w:rPr>
                <w:lang w:val="en-US"/>
              </w:rPr>
              <w:t>radiation monitor</w:t>
            </w:r>
          </w:p>
          <w:p w14:paraId="493552B8" w14:textId="77777777" w:rsidR="004721C4" w:rsidRPr="00285625" w:rsidRDefault="004721C4" w:rsidP="004721C4">
            <w:pPr>
              <w:pStyle w:val="BodyText"/>
              <w:jc w:val="center"/>
              <w:rPr>
                <w:lang w:val="en-US"/>
              </w:rPr>
            </w:pPr>
            <w:r w:rsidRPr="00285625">
              <w:rPr>
                <w:lang w:val="en-US"/>
              </w:rPr>
              <w:t>security fencing</w:t>
            </w:r>
          </w:p>
          <w:p w14:paraId="1DB34A04" w14:textId="77777777" w:rsidR="004721C4" w:rsidRPr="00285625" w:rsidRDefault="004721C4" w:rsidP="004721C4">
            <w:pPr>
              <w:pStyle w:val="BodyText"/>
              <w:jc w:val="center"/>
              <w:rPr>
                <w:lang w:val="en-US"/>
              </w:rPr>
            </w:pPr>
            <w:r w:rsidRPr="00285625">
              <w:rPr>
                <w:lang w:val="en-US"/>
              </w:rPr>
              <w:t>intrusion alarm system</w:t>
            </w:r>
          </w:p>
          <w:p w14:paraId="022B47E2" w14:textId="77777777" w:rsidR="004721C4" w:rsidRPr="00285625" w:rsidRDefault="004721C4" w:rsidP="004721C4">
            <w:pPr>
              <w:pStyle w:val="BodyText"/>
              <w:jc w:val="center"/>
              <w:rPr>
                <w:lang w:val="en-US"/>
              </w:rPr>
            </w:pPr>
            <w:r w:rsidRPr="00285625">
              <w:rPr>
                <w:lang w:val="en-US"/>
              </w:rPr>
              <w:t>access control system</w:t>
            </w:r>
          </w:p>
          <w:p w14:paraId="51716711" w14:textId="77777777" w:rsidR="004721C4" w:rsidRPr="00285625" w:rsidRDefault="004721C4" w:rsidP="004721C4">
            <w:pPr>
              <w:pStyle w:val="BodyText"/>
              <w:jc w:val="center"/>
              <w:rPr>
                <w:lang w:val="en-US"/>
              </w:rPr>
            </w:pPr>
            <w:r w:rsidRPr="00285625">
              <w:rPr>
                <w:lang w:val="en-US"/>
              </w:rPr>
              <w:t>CCTV monitoring system</w:t>
            </w:r>
          </w:p>
          <w:p w14:paraId="068BD957" w14:textId="77777777" w:rsidR="004721C4" w:rsidRPr="00285625" w:rsidRDefault="004721C4" w:rsidP="004721C4">
            <w:pPr>
              <w:pStyle w:val="BodyText"/>
              <w:jc w:val="center"/>
              <w:rPr>
                <w:lang w:val="en-US"/>
              </w:rPr>
            </w:pPr>
            <w:r w:rsidRPr="00285625">
              <w:rPr>
                <w:lang w:val="en-US"/>
              </w:rPr>
              <w:t>guard house/stations</w:t>
            </w:r>
          </w:p>
          <w:p w14:paraId="67CBC751" w14:textId="5034083C" w:rsidR="004721C4" w:rsidRDefault="004721C4" w:rsidP="004721C4">
            <w:pPr>
              <w:pStyle w:val="BodyText"/>
              <w:ind w:firstLine="0"/>
              <w:jc w:val="center"/>
            </w:pPr>
          </w:p>
        </w:tc>
        <w:tc>
          <w:tcPr>
            <w:tcW w:w="3057" w:type="dxa"/>
            <w:tcBorders>
              <w:top w:val="single" w:sz="4" w:space="0" w:color="auto"/>
            </w:tcBorders>
          </w:tcPr>
          <w:p w14:paraId="772CB96A" w14:textId="77777777" w:rsidR="004721C4" w:rsidRDefault="004721C4" w:rsidP="004721C4">
            <w:pPr>
              <w:pStyle w:val="BodyText"/>
              <w:ind w:firstLine="0"/>
              <w:jc w:val="center"/>
            </w:pPr>
            <w:r>
              <w:t>Staff costs (i.e. salaries, wages, benefits, etc.)</w:t>
            </w:r>
          </w:p>
          <w:p w14:paraId="09D20CA0" w14:textId="77777777" w:rsidR="004721C4" w:rsidRDefault="004721C4" w:rsidP="004721C4">
            <w:pPr>
              <w:pStyle w:val="BodyText"/>
              <w:ind w:firstLine="0"/>
              <w:jc w:val="center"/>
            </w:pPr>
            <w:r>
              <w:t>Materials and supplies</w:t>
            </w:r>
          </w:p>
          <w:p w14:paraId="5A3B0601" w14:textId="77777777" w:rsidR="004721C4" w:rsidRDefault="004721C4" w:rsidP="004721C4">
            <w:pPr>
              <w:pStyle w:val="BodyText"/>
              <w:ind w:firstLine="0"/>
              <w:jc w:val="center"/>
            </w:pPr>
            <w:r>
              <w:t>Utilities</w:t>
            </w:r>
          </w:p>
          <w:p w14:paraId="256230D4" w14:textId="77777777" w:rsidR="004721C4" w:rsidRPr="00B42E7C" w:rsidRDefault="004721C4" w:rsidP="004721C4">
            <w:pPr>
              <w:pStyle w:val="BodyText"/>
              <w:jc w:val="center"/>
              <w:rPr>
                <w:lang w:val="en-US"/>
              </w:rPr>
            </w:pPr>
            <w:r w:rsidRPr="00B42E7C">
              <w:rPr>
                <w:lang w:val="en-US"/>
              </w:rPr>
              <w:t>Annual license charges</w:t>
            </w:r>
          </w:p>
          <w:p w14:paraId="42F7EE09" w14:textId="77777777" w:rsidR="004721C4" w:rsidRPr="00B42E7C" w:rsidRDefault="004721C4" w:rsidP="004721C4">
            <w:pPr>
              <w:pStyle w:val="BodyText"/>
              <w:jc w:val="center"/>
              <w:rPr>
                <w:lang w:val="en-US"/>
              </w:rPr>
            </w:pPr>
            <w:r w:rsidRPr="00B42E7C">
              <w:rPr>
                <w:lang w:val="en-US"/>
              </w:rPr>
              <w:t>Overhead (including property taxes, insurance)</w:t>
            </w:r>
          </w:p>
          <w:p w14:paraId="0FAA6A5C" w14:textId="3C73B1E0" w:rsidR="004721C4" w:rsidRDefault="004721C4" w:rsidP="004721C4">
            <w:pPr>
              <w:pStyle w:val="BodyText"/>
              <w:ind w:firstLine="0"/>
              <w:jc w:val="center"/>
            </w:pPr>
            <w:r w:rsidRPr="00B42E7C">
              <w:rPr>
                <w:lang w:val="en-US"/>
              </w:rPr>
              <w:t>General and administrative expenses</w:t>
            </w:r>
          </w:p>
        </w:tc>
        <w:tc>
          <w:tcPr>
            <w:tcW w:w="5018" w:type="dxa"/>
            <w:tcBorders>
              <w:top w:val="single" w:sz="4" w:space="0" w:color="auto"/>
            </w:tcBorders>
          </w:tcPr>
          <w:p w14:paraId="2CB5A5DA" w14:textId="77777777" w:rsidR="004721C4" w:rsidRPr="00B42E7C" w:rsidRDefault="004721C4" w:rsidP="004721C4">
            <w:pPr>
              <w:pStyle w:val="BodyText"/>
              <w:jc w:val="center"/>
              <w:rPr>
                <w:lang w:val="en-US"/>
              </w:rPr>
            </w:pPr>
            <w:r w:rsidRPr="00B42E7C">
              <w:rPr>
                <w:lang w:val="en-US"/>
              </w:rPr>
              <w:t>Rental of D&amp;D equipment</w:t>
            </w:r>
          </w:p>
          <w:p w14:paraId="4FA86673" w14:textId="77777777" w:rsidR="004721C4" w:rsidRPr="00B42E7C" w:rsidRDefault="004721C4" w:rsidP="004721C4">
            <w:pPr>
              <w:pStyle w:val="BodyText"/>
              <w:jc w:val="center"/>
              <w:rPr>
                <w:lang w:val="en-US"/>
              </w:rPr>
            </w:pPr>
            <w:r w:rsidRPr="00B42E7C">
              <w:rPr>
                <w:lang w:val="en-US"/>
              </w:rPr>
              <w:t>Staff costs (salaries, wages, benefits, etc.)</w:t>
            </w:r>
          </w:p>
          <w:p w14:paraId="0A6F23D8" w14:textId="77777777" w:rsidR="004721C4" w:rsidRPr="00B42E7C" w:rsidRDefault="004721C4" w:rsidP="004721C4">
            <w:pPr>
              <w:pStyle w:val="BodyText"/>
              <w:jc w:val="center"/>
              <w:rPr>
                <w:lang w:val="en-US"/>
              </w:rPr>
            </w:pPr>
            <w:r w:rsidRPr="00B42E7C">
              <w:rPr>
                <w:lang w:val="en-US"/>
              </w:rPr>
              <w:t>Materials and supplies</w:t>
            </w:r>
          </w:p>
          <w:p w14:paraId="64BED5AE" w14:textId="77777777" w:rsidR="004721C4" w:rsidRPr="00B42E7C" w:rsidRDefault="004721C4" w:rsidP="004721C4">
            <w:pPr>
              <w:pStyle w:val="BodyText"/>
              <w:jc w:val="center"/>
              <w:rPr>
                <w:lang w:val="en-US"/>
              </w:rPr>
            </w:pPr>
            <w:r w:rsidRPr="00B42E7C">
              <w:rPr>
                <w:lang w:val="en-US"/>
              </w:rPr>
              <w:t>Utilities</w:t>
            </w:r>
          </w:p>
          <w:p w14:paraId="0818679B" w14:textId="77777777" w:rsidR="004721C4" w:rsidRPr="00B42E7C" w:rsidRDefault="004721C4" w:rsidP="004721C4">
            <w:pPr>
              <w:pStyle w:val="BodyText"/>
              <w:jc w:val="center"/>
              <w:rPr>
                <w:lang w:val="en-US"/>
              </w:rPr>
            </w:pPr>
            <w:r w:rsidRPr="00B42E7C">
              <w:rPr>
                <w:lang w:val="en-US"/>
              </w:rPr>
              <w:t>Subcontractor charges (for export advice, special services, independent audits and measurements, etc.)</w:t>
            </w:r>
          </w:p>
          <w:p w14:paraId="2B4B4E4C" w14:textId="77777777" w:rsidR="004721C4" w:rsidRPr="00B42E7C" w:rsidRDefault="004721C4" w:rsidP="004721C4">
            <w:pPr>
              <w:pStyle w:val="BodyText"/>
              <w:jc w:val="center"/>
              <w:rPr>
                <w:lang w:val="en-US"/>
              </w:rPr>
            </w:pPr>
            <w:r w:rsidRPr="00B42E7C">
              <w:rPr>
                <w:lang w:val="en-US"/>
              </w:rPr>
              <w:t>Waste transport and disposal charges</w:t>
            </w:r>
          </w:p>
          <w:p w14:paraId="1474A47C" w14:textId="77777777" w:rsidR="004721C4" w:rsidRPr="00B42E7C" w:rsidRDefault="004721C4" w:rsidP="004721C4">
            <w:pPr>
              <w:pStyle w:val="BodyText"/>
              <w:jc w:val="center"/>
              <w:rPr>
                <w:lang w:val="en-US"/>
              </w:rPr>
            </w:pPr>
            <w:r w:rsidRPr="00B42E7C">
              <w:rPr>
                <w:lang w:val="en-US"/>
              </w:rPr>
              <w:t>Licensing expenses</w:t>
            </w:r>
          </w:p>
          <w:p w14:paraId="59D6EAC2" w14:textId="77777777" w:rsidR="004721C4" w:rsidRPr="00B42E7C" w:rsidRDefault="004721C4" w:rsidP="004721C4">
            <w:pPr>
              <w:pStyle w:val="BodyText"/>
              <w:jc w:val="center"/>
              <w:rPr>
                <w:lang w:val="en-US"/>
              </w:rPr>
            </w:pPr>
            <w:r w:rsidRPr="00B42E7C">
              <w:rPr>
                <w:lang w:val="en-US"/>
              </w:rPr>
              <w:t>Overhead</w:t>
            </w:r>
          </w:p>
          <w:p w14:paraId="400B2AA4" w14:textId="24F8F9C8" w:rsidR="004721C4" w:rsidRPr="00B42E7C" w:rsidRDefault="004721C4" w:rsidP="004721C4">
            <w:pPr>
              <w:pStyle w:val="BodyText"/>
              <w:jc w:val="center"/>
              <w:rPr>
                <w:lang w:val="en-US"/>
              </w:rPr>
            </w:pPr>
            <w:r w:rsidRPr="00B42E7C">
              <w:rPr>
                <w:lang w:val="en-US"/>
              </w:rPr>
              <w:t>General and administrative expenses</w:t>
            </w:r>
          </w:p>
        </w:tc>
      </w:tr>
    </w:tbl>
    <w:p w14:paraId="7044FDAB" w14:textId="44C74A40" w:rsidR="00E54DEF" w:rsidRDefault="00E54DEF" w:rsidP="003F7D36">
      <w:pPr>
        <w:pStyle w:val="BodyText"/>
      </w:pPr>
    </w:p>
    <w:p w14:paraId="6249344D" w14:textId="77777777" w:rsidR="003F7D36" w:rsidRDefault="003F7D36" w:rsidP="003F7D36">
      <w:pPr>
        <w:pStyle w:val="BodyText"/>
        <w:ind w:firstLine="0"/>
      </w:pPr>
    </w:p>
    <w:p w14:paraId="0C57082A" w14:textId="77777777" w:rsidR="00E54DEF" w:rsidRDefault="00E54DEF">
      <w:pPr>
        <w:overflowPunct/>
        <w:autoSpaceDE/>
        <w:autoSpaceDN/>
        <w:adjustRightInd/>
        <w:textAlignment w:val="auto"/>
        <w:sectPr w:rsidR="00E54DEF" w:rsidSect="00D70B3B">
          <w:pgSz w:w="16840" w:h="11907" w:orient="landscape" w:code="9"/>
          <w:pgMar w:top="1440" w:right="1440" w:bottom="1440" w:left="1440" w:header="539" w:footer="964" w:gutter="0"/>
          <w:pgNumType w:start="1"/>
          <w:cols w:space="720"/>
          <w:docGrid w:linePitch="299"/>
        </w:sectPr>
      </w:pPr>
    </w:p>
    <w:p w14:paraId="08684E6C" w14:textId="01E0D953" w:rsidR="00E54DEF" w:rsidRDefault="00E54DEF">
      <w:pPr>
        <w:overflowPunct/>
        <w:autoSpaceDE/>
        <w:autoSpaceDN/>
        <w:adjustRightInd/>
        <w:textAlignment w:val="auto"/>
        <w:rPr>
          <w:caps/>
          <w:sz w:val="20"/>
        </w:rPr>
      </w:pPr>
    </w:p>
    <w:p w14:paraId="505D7316" w14:textId="77777777" w:rsidR="009750E5" w:rsidRPr="009750E5" w:rsidRDefault="009750E5" w:rsidP="009750E5">
      <w:pPr>
        <w:pStyle w:val="Heading2"/>
      </w:pPr>
      <w:bookmarkStart w:id="1" w:name="_Toc533178824"/>
      <w:r w:rsidRPr="009750E5">
        <w:t>Lessons Learnt and Conclusions</w:t>
      </w:r>
      <w:bookmarkEnd w:id="1"/>
    </w:p>
    <w:p w14:paraId="3C488FD0" w14:textId="1194B480" w:rsidR="0041000A" w:rsidRPr="0041000A" w:rsidRDefault="0041000A" w:rsidP="0041000A">
      <w:pPr>
        <w:ind w:firstLine="567"/>
        <w:jc w:val="both"/>
        <w:rPr>
          <w:sz w:val="20"/>
          <w:lang w:val="en-US" w:eastAsia="ko-KR"/>
        </w:rPr>
      </w:pPr>
      <w:r w:rsidRPr="0041000A">
        <w:rPr>
          <w:sz w:val="20"/>
          <w:lang w:val="en-US" w:eastAsia="ko-KR"/>
        </w:rPr>
        <w:t xml:space="preserve">As the nuclear industry grows gradually, people who have been developed its technologies focused on the early stage of the nuclear power plant are turning their attention to its post stage, and radioactive waste management is one of the challenges in this stage. As spent fuel has its special properties of high radioactivity and decay heat, to manage it safely and efficiently needs special effort. The management process of spent fuel may vary according to the spent fuel </w:t>
      </w:r>
      <w:r w:rsidR="008C2736" w:rsidRPr="0041000A">
        <w:rPr>
          <w:sz w:val="20"/>
          <w:lang w:val="en-US" w:eastAsia="ko-KR"/>
        </w:rPr>
        <w:t>policy;</w:t>
      </w:r>
      <w:r w:rsidRPr="0041000A">
        <w:rPr>
          <w:sz w:val="20"/>
          <w:lang w:val="en-US" w:eastAsia="ko-KR"/>
        </w:rPr>
        <w:t xml:space="preserve"> to store it well is essential under any circumstances.</w:t>
      </w:r>
    </w:p>
    <w:p w14:paraId="6B378E24" w14:textId="369C94C4" w:rsidR="00745C44" w:rsidRDefault="0041000A" w:rsidP="0041000A">
      <w:pPr>
        <w:ind w:firstLine="567"/>
        <w:jc w:val="both"/>
        <w:rPr>
          <w:sz w:val="20"/>
          <w:lang w:eastAsia="ko-KR"/>
        </w:rPr>
      </w:pPr>
      <w:r w:rsidRPr="0041000A">
        <w:rPr>
          <w:sz w:val="20"/>
          <w:lang w:val="en-US" w:eastAsia="ko-KR"/>
        </w:rPr>
        <w:t xml:space="preserve">Along with the purpose of the NCB projects, the work in this paper was conducted targeting nuclear newcomer countries </w:t>
      </w:r>
      <w:r w:rsidR="008C2736" w:rsidRPr="0041000A">
        <w:rPr>
          <w:sz w:val="20"/>
          <w:lang w:val="en-US" w:eastAsia="ko-KR"/>
        </w:rPr>
        <w:t>that</w:t>
      </w:r>
      <w:r w:rsidRPr="0041000A">
        <w:rPr>
          <w:sz w:val="20"/>
          <w:lang w:val="en-US" w:eastAsia="ko-KR"/>
        </w:rPr>
        <w:t xml:space="preserve"> need a comprehensive, clear idea. Beginning with an overview of radioactive waste management solutions including the basis to the waste classification and the origin of the waste, this paper narrows down the scope to the high-level waste (HLW), spent fuel. In this regard, the work more focus on the spent fuel management and another overview dealing with spent nuclear fuel storage options were done. Cost categories information regarding spent fuel</w:t>
      </w:r>
      <w:r w:rsidR="0075258C">
        <w:rPr>
          <w:sz w:val="20"/>
          <w:lang w:val="en-US" w:eastAsia="ko-KR"/>
        </w:rPr>
        <w:t xml:space="preserve"> storage technology options w</w:t>
      </w:r>
      <w:r w:rsidR="0075258C">
        <w:rPr>
          <w:rFonts w:hint="eastAsia"/>
          <w:sz w:val="20"/>
          <w:lang w:val="en-US" w:eastAsia="ko-KR"/>
        </w:rPr>
        <w:t>as</w:t>
      </w:r>
      <w:r w:rsidRPr="0041000A">
        <w:rPr>
          <w:sz w:val="20"/>
          <w:lang w:val="en-US" w:eastAsia="ko-KR"/>
        </w:rPr>
        <w:t xml:space="preserve"> described. For each of these technologies and options, an effort was made to synthesize existing literature and compile a comprehensive list of key factors affecting costs. This list will be used as a basis for developing standard cost categories and cost breakdown structures for costing purposes. For the perspectives, the gaps for the configurations specific that is except off-site reactor cost categories should be developed. </w:t>
      </w:r>
      <w:r w:rsidR="00A9332E">
        <w:rPr>
          <w:rFonts w:hint="eastAsia"/>
          <w:sz w:val="20"/>
          <w:lang w:eastAsia="ko-KR"/>
        </w:rPr>
        <w:t xml:space="preserve"> </w:t>
      </w:r>
    </w:p>
    <w:p w14:paraId="186872E0" w14:textId="2496D167" w:rsidR="00D26ADA" w:rsidRPr="00285755" w:rsidRDefault="00D26ADA" w:rsidP="00537496">
      <w:pPr>
        <w:pStyle w:val="Otherunnumberedheadings"/>
      </w:pPr>
      <w:r>
        <w:t>References</w:t>
      </w:r>
    </w:p>
    <w:p w14:paraId="2E3407E0" w14:textId="441C8C53" w:rsidR="009E0D5B" w:rsidRPr="009E0D5B" w:rsidRDefault="00170D1B" w:rsidP="00537496">
      <w:pPr>
        <w:pStyle w:val="Referencelist"/>
      </w:pPr>
      <w:r w:rsidRPr="00170D1B">
        <w:t xml:space="preserve">INTERNATIONAL ATOMIC ENERGY AGENCY, Classification of Radioactive Waste, IAEA Safety Standards Series No. GSG-1, IAEA, Vienna (2009). </w:t>
      </w:r>
    </w:p>
    <w:p w14:paraId="470976F7" w14:textId="26AF3BF0" w:rsidR="009E0D5B" w:rsidRDefault="00447EDA" w:rsidP="00537496">
      <w:pPr>
        <w:pStyle w:val="Referencelist"/>
      </w:pPr>
      <w:r w:rsidRPr="00447EDA">
        <w:rPr>
          <w:i/>
          <w:iCs/>
        </w:rPr>
        <w:t>ORGANIZATION FOR ECONOMIC CO-OPERATION AND DEVELOPMENT NUCLEAR ENERGY AGENCY, Advanced Nuclear Fuel Cycles and Radioactive Waste Management, OECD NEA Nuclear Development, (2006).</w:t>
      </w:r>
    </w:p>
    <w:p w14:paraId="037578AA" w14:textId="018C779A" w:rsidR="00911543" w:rsidRDefault="00FE4199" w:rsidP="00FE4199">
      <w:pPr>
        <w:pStyle w:val="Referencelist"/>
      </w:pPr>
      <w:r w:rsidRPr="00FE4199">
        <w:rPr>
          <w:i/>
          <w:iCs/>
        </w:rPr>
        <w:t>INTERNATIONAL ATOMIC ENERGY AGENCY, Cost Analysis Methodology of Spent Fuel Storage, TECHNICAL REPORTS SERIES No.361 (1994).</w:t>
      </w:r>
    </w:p>
    <w:p w14:paraId="198CB675" w14:textId="14919FE2" w:rsidR="003728E6" w:rsidRPr="00FE4199" w:rsidRDefault="00FE4199" w:rsidP="00537496">
      <w:pPr>
        <w:pStyle w:val="Referencelist"/>
      </w:pPr>
      <w:r w:rsidRPr="00FE4199">
        <w:rPr>
          <w:i/>
          <w:iCs/>
        </w:rPr>
        <w:t>INTERNATIONAL ATOMIC ENERGY AGENCY, Costing of Spent Nuclear Fuel Storage, IAEA Nuclear Energy Series No. NF-T-3.5 (2009).</w:t>
      </w:r>
    </w:p>
    <w:p w14:paraId="607F8A5C" w14:textId="77777777" w:rsidR="00FE4199" w:rsidRPr="00662532" w:rsidRDefault="00FE4199" w:rsidP="00FE4199">
      <w:pPr>
        <w:pStyle w:val="Referencelist"/>
      </w:pPr>
      <w:r w:rsidRPr="00FE4199">
        <w:t>ORGANIZATION FOR ECONOMIC CO-OPERATION AND DEVELOPMENT NUCLEAR ENERGY AGENCY, The Economics of the Back End of the Nuclear Fuel Cycle, NEA No. 7061 (2013).</w:t>
      </w:r>
    </w:p>
    <w:p w14:paraId="31AF5481" w14:textId="44F6365A" w:rsidR="00FE4199" w:rsidRDefault="00FE4199" w:rsidP="00FE4199">
      <w:pPr>
        <w:pStyle w:val="Referencelist"/>
      </w:pPr>
      <w:r w:rsidRPr="00FE4199">
        <w:rPr>
          <w:i/>
          <w:iCs/>
        </w:rPr>
        <w:t>IDAHO NATIONAL LABORATORY, Advanced Fuel Cycle Cost Basis, INL/EX</w:t>
      </w:r>
      <w:r w:rsidR="009115FF">
        <w:rPr>
          <w:rFonts w:hint="eastAsia"/>
          <w:i/>
          <w:iCs/>
          <w:lang w:eastAsia="ko-KR"/>
        </w:rPr>
        <w:t>`</w:t>
      </w:r>
      <w:r w:rsidRPr="00FE4199">
        <w:rPr>
          <w:i/>
          <w:iCs/>
        </w:rPr>
        <w:t>T-07-12107 Rev.2 (2009).</w:t>
      </w:r>
    </w:p>
    <w:sectPr w:rsidR="00FE4199" w:rsidSect="00E54DEF">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08B8C" w14:textId="77777777" w:rsidR="00BA1400" w:rsidRDefault="00BA1400">
      <w:r>
        <w:separator/>
      </w:r>
    </w:p>
  </w:endnote>
  <w:endnote w:type="continuationSeparator" w:id="0">
    <w:p w14:paraId="3B36019D" w14:textId="77777777" w:rsidR="00BA1400" w:rsidRDefault="00BA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540E" w14:textId="77777777" w:rsidR="00745C44" w:rsidRDefault="00745C44">
    <w:pPr>
      <w:pStyle w:val="zyxClassification1"/>
    </w:pPr>
    <w:r>
      <w:fldChar w:fldCharType="begin"/>
    </w:r>
    <w:r>
      <w:instrText xml:space="preserve"> DOCPROPERTY "IaeaClassification"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8F0F" w14:textId="77777777" w:rsidR="00BA1400" w:rsidRDefault="00BA1400">
      <w:r>
        <w:t>___________________________________________________________________________</w:t>
      </w:r>
    </w:p>
  </w:footnote>
  <w:footnote w:type="continuationSeparator" w:id="0">
    <w:p w14:paraId="6BA80114" w14:textId="77777777" w:rsidR="00BA1400" w:rsidRDefault="00BA1400">
      <w:r>
        <w:t>___________________________________________________________________________</w:t>
      </w:r>
    </w:p>
  </w:footnote>
  <w:footnote w:type="continuationNotice" w:id="1">
    <w:p w14:paraId="1DA22273" w14:textId="77777777" w:rsidR="00BA1400" w:rsidRDefault="00BA14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68EC" w14:textId="6D1CB06A" w:rsidR="00745C44" w:rsidRDefault="00745C44" w:rsidP="007076EF">
    <w:pPr>
      <w:pStyle w:val="Runninghead"/>
    </w:pPr>
    <w:r>
      <w:t>IAEA-CN-</w:t>
    </w:r>
    <w:r w:rsidR="00423CEE">
      <w:rPr>
        <w:lang w:eastAsia="ko-KR"/>
      </w:rPr>
      <w:t>272/129</w:t>
    </w:r>
  </w:p>
  <w:p w14:paraId="1E96ADE7" w14:textId="77777777" w:rsidR="00745C44" w:rsidRDefault="00745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9BB3" w14:textId="5FFAABFF" w:rsidR="00745C44" w:rsidRDefault="00745C44" w:rsidP="007076EF">
    <w:pPr>
      <w:pStyle w:val="Runninghead"/>
      <w:rPr>
        <w:lang w:eastAsia="ko-KR"/>
      </w:rPr>
    </w:pPr>
    <w:r>
      <w:rPr>
        <w:rFonts w:hint="eastAsia"/>
        <w:lang w:eastAsia="ko-KR"/>
      </w:rPr>
      <w:t>Y.AHN</w:t>
    </w:r>
    <w:r>
      <w:t xml:space="preserve"> </w:t>
    </w:r>
    <w:r>
      <w:rPr>
        <w:rFonts w:hint="eastAsia"/>
        <w:lang w:eastAsia="ko-KR"/>
      </w:rPr>
      <w:t>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8D902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83D3A"/>
    <w:multiLevelType w:val="multilevel"/>
    <w:tmpl w:val="50A8D410"/>
    <w:lvl w:ilvl="0">
      <w:start w:val="2"/>
      <w:numFmt w:val="decimal"/>
      <w:lvlText w:val="%1."/>
      <w:lvlJc w:val="left"/>
      <w:pPr>
        <w:ind w:left="450" w:hanging="450"/>
      </w:pPr>
      <w:rPr>
        <w:rFonts w:hint="default"/>
      </w:rPr>
    </w:lvl>
    <w:lvl w:ilvl="1">
      <w:start w:val="1"/>
      <w:numFmt w:val="decimal"/>
      <w:lvlText w:val="%1.%2."/>
      <w:lvlJc w:val="left"/>
      <w:pPr>
        <w:ind w:left="1442" w:hanging="45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34D63AC0"/>
    <w:multiLevelType w:val="hybridMultilevel"/>
    <w:tmpl w:val="2078126A"/>
    <w:lvl w:ilvl="0" w:tplc="1BB2E1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C3D72"/>
    <w:multiLevelType w:val="hybridMultilevel"/>
    <w:tmpl w:val="868E9A4C"/>
    <w:lvl w:ilvl="0" w:tplc="1A407A76">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984"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5"/>
  </w:num>
  <w:num w:numId="3">
    <w:abstractNumId w:val="14"/>
  </w:num>
  <w:num w:numId="4">
    <w:abstractNumId w:val="14"/>
  </w:num>
  <w:num w:numId="5">
    <w:abstractNumId w:val="14"/>
  </w:num>
  <w:num w:numId="6">
    <w:abstractNumId w:val="7"/>
  </w:num>
  <w:num w:numId="7">
    <w:abstractNumId w:val="12"/>
  </w:num>
  <w:num w:numId="8">
    <w:abstractNumId w:val="15"/>
  </w:num>
  <w:num w:numId="9">
    <w:abstractNumId w:val="1"/>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4"/>
  </w:num>
  <w:num w:numId="22">
    <w:abstractNumId w:val="4"/>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14"/>
  </w:num>
  <w:num w:numId="33">
    <w:abstractNumId w:val="3"/>
  </w:num>
  <w:num w:numId="34">
    <w:abstractNumId w:val="8"/>
  </w:num>
  <w:num w:numId="35">
    <w:abstractNumId w:val="14"/>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Heading2"/>
        <w:lvlText w:val="%1%2."/>
        <w:lvlJc w:val="left"/>
        <w:pPr>
          <w:ind w:left="0" w:firstLine="0"/>
        </w:pPr>
        <w:rPr>
          <w:rFonts w:hint="default"/>
          <w:color w:val="auto"/>
        </w:rPr>
      </w:lvl>
    </w:lvlOverride>
    <w:lvlOverride w:ilvl="2">
      <w:startOverride w:val="1"/>
      <w:lvl w:ilvl="2">
        <w:start w:val="1"/>
        <w:numFmt w:val="decimal"/>
        <w:lvlRestart w:val="0"/>
        <w:pStyle w:val="Heading3"/>
        <w:lvlText w:val="%1%2.%3."/>
        <w:lvlJc w:val="left"/>
        <w:pPr>
          <w:ind w:left="0" w:firstLine="0"/>
        </w:pPr>
        <w:rPr>
          <w:rFonts w:hint="default"/>
        </w:rPr>
      </w:lvl>
    </w:lvlOverride>
    <w:lvlOverride w:ilvl="3">
      <w:startOverride w:val="1"/>
      <w:lvl w:ilvl="3">
        <w:start w:val="1"/>
        <w:numFmt w:val="none"/>
        <w:lvlRestart w:val="0"/>
        <w:pStyle w:val="Heading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ko-K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57C0"/>
    <w:rsid w:val="0001665A"/>
    <w:rsid w:val="000229AB"/>
    <w:rsid w:val="0002569A"/>
    <w:rsid w:val="00034457"/>
    <w:rsid w:val="00037321"/>
    <w:rsid w:val="00042EBF"/>
    <w:rsid w:val="00045A13"/>
    <w:rsid w:val="0004709D"/>
    <w:rsid w:val="00047A3D"/>
    <w:rsid w:val="000A0299"/>
    <w:rsid w:val="000A2E5D"/>
    <w:rsid w:val="000A6500"/>
    <w:rsid w:val="000B6A26"/>
    <w:rsid w:val="000C6CC4"/>
    <w:rsid w:val="000E2694"/>
    <w:rsid w:val="000F7E94"/>
    <w:rsid w:val="001062A8"/>
    <w:rsid w:val="001119D6"/>
    <w:rsid w:val="001308F2"/>
    <w:rsid w:val="001313E8"/>
    <w:rsid w:val="00170D1B"/>
    <w:rsid w:val="00187C5C"/>
    <w:rsid w:val="0019113F"/>
    <w:rsid w:val="001C58F5"/>
    <w:rsid w:val="001D5CEE"/>
    <w:rsid w:val="002071D9"/>
    <w:rsid w:val="002215D6"/>
    <w:rsid w:val="00250BC8"/>
    <w:rsid w:val="00256822"/>
    <w:rsid w:val="0026525A"/>
    <w:rsid w:val="00266B6F"/>
    <w:rsid w:val="00274790"/>
    <w:rsid w:val="00285625"/>
    <w:rsid w:val="00285755"/>
    <w:rsid w:val="002A1F9C"/>
    <w:rsid w:val="002A24B9"/>
    <w:rsid w:val="002B29C2"/>
    <w:rsid w:val="002B56FB"/>
    <w:rsid w:val="002C20E6"/>
    <w:rsid w:val="002C4208"/>
    <w:rsid w:val="00322C9E"/>
    <w:rsid w:val="00347032"/>
    <w:rsid w:val="00352DE1"/>
    <w:rsid w:val="00355A76"/>
    <w:rsid w:val="003569C6"/>
    <w:rsid w:val="003728E6"/>
    <w:rsid w:val="00376A0F"/>
    <w:rsid w:val="003808FE"/>
    <w:rsid w:val="003868FA"/>
    <w:rsid w:val="003A51B1"/>
    <w:rsid w:val="003B3DAD"/>
    <w:rsid w:val="003B5E0E"/>
    <w:rsid w:val="003D255A"/>
    <w:rsid w:val="003D760B"/>
    <w:rsid w:val="003F67DA"/>
    <w:rsid w:val="003F7D36"/>
    <w:rsid w:val="00403911"/>
    <w:rsid w:val="0041000A"/>
    <w:rsid w:val="00416949"/>
    <w:rsid w:val="0042165C"/>
    <w:rsid w:val="00423CEE"/>
    <w:rsid w:val="004370D8"/>
    <w:rsid w:val="00447EDA"/>
    <w:rsid w:val="00463596"/>
    <w:rsid w:val="00471641"/>
    <w:rsid w:val="004721C4"/>
    <w:rsid w:val="00472C43"/>
    <w:rsid w:val="00474BC6"/>
    <w:rsid w:val="00495979"/>
    <w:rsid w:val="0049632B"/>
    <w:rsid w:val="00497BCF"/>
    <w:rsid w:val="004A4BD9"/>
    <w:rsid w:val="004C4CEF"/>
    <w:rsid w:val="004C6117"/>
    <w:rsid w:val="004D59C7"/>
    <w:rsid w:val="004D6496"/>
    <w:rsid w:val="004E211A"/>
    <w:rsid w:val="004E4949"/>
    <w:rsid w:val="004F5D5F"/>
    <w:rsid w:val="00522C61"/>
    <w:rsid w:val="00537496"/>
    <w:rsid w:val="00544ED3"/>
    <w:rsid w:val="00567AC8"/>
    <w:rsid w:val="00577B05"/>
    <w:rsid w:val="005812DD"/>
    <w:rsid w:val="00583513"/>
    <w:rsid w:val="0058477B"/>
    <w:rsid w:val="00585535"/>
    <w:rsid w:val="0058654F"/>
    <w:rsid w:val="00596ACA"/>
    <w:rsid w:val="005A642D"/>
    <w:rsid w:val="005E39BC"/>
    <w:rsid w:val="005F00A0"/>
    <w:rsid w:val="005F071B"/>
    <w:rsid w:val="0062417B"/>
    <w:rsid w:val="00647AC1"/>
    <w:rsid w:val="00647F33"/>
    <w:rsid w:val="00662532"/>
    <w:rsid w:val="00692B13"/>
    <w:rsid w:val="00695423"/>
    <w:rsid w:val="006A1C48"/>
    <w:rsid w:val="006B2274"/>
    <w:rsid w:val="006D2F02"/>
    <w:rsid w:val="006D52DC"/>
    <w:rsid w:val="00706141"/>
    <w:rsid w:val="007073D3"/>
    <w:rsid w:val="007076EF"/>
    <w:rsid w:val="007107FD"/>
    <w:rsid w:val="00711A0E"/>
    <w:rsid w:val="00717C6F"/>
    <w:rsid w:val="00717FF7"/>
    <w:rsid w:val="00732CE1"/>
    <w:rsid w:val="00734498"/>
    <w:rsid w:val="007445DA"/>
    <w:rsid w:val="00745C44"/>
    <w:rsid w:val="0075258C"/>
    <w:rsid w:val="0076793B"/>
    <w:rsid w:val="00775700"/>
    <w:rsid w:val="00796EAF"/>
    <w:rsid w:val="007B4FD1"/>
    <w:rsid w:val="007B74A7"/>
    <w:rsid w:val="007C5BD1"/>
    <w:rsid w:val="007E2E33"/>
    <w:rsid w:val="00802381"/>
    <w:rsid w:val="0080510E"/>
    <w:rsid w:val="0080648D"/>
    <w:rsid w:val="00807F63"/>
    <w:rsid w:val="0082289F"/>
    <w:rsid w:val="0082614B"/>
    <w:rsid w:val="00857697"/>
    <w:rsid w:val="00883848"/>
    <w:rsid w:val="008866D0"/>
    <w:rsid w:val="00896FC2"/>
    <w:rsid w:val="00897ED5"/>
    <w:rsid w:val="008B6BB9"/>
    <w:rsid w:val="008B6BEE"/>
    <w:rsid w:val="008C2736"/>
    <w:rsid w:val="00911543"/>
    <w:rsid w:val="009115FF"/>
    <w:rsid w:val="0091186E"/>
    <w:rsid w:val="00917D4E"/>
    <w:rsid w:val="00934AFE"/>
    <w:rsid w:val="00941871"/>
    <w:rsid w:val="00950D7A"/>
    <w:rsid w:val="009519C9"/>
    <w:rsid w:val="00954144"/>
    <w:rsid w:val="0096035E"/>
    <w:rsid w:val="009750E5"/>
    <w:rsid w:val="0097727B"/>
    <w:rsid w:val="009956AD"/>
    <w:rsid w:val="009A7A36"/>
    <w:rsid w:val="009A7DE8"/>
    <w:rsid w:val="009B5FDC"/>
    <w:rsid w:val="009C3B17"/>
    <w:rsid w:val="009D0B86"/>
    <w:rsid w:val="009D1AD0"/>
    <w:rsid w:val="009E0D5B"/>
    <w:rsid w:val="009E1558"/>
    <w:rsid w:val="009F1BBD"/>
    <w:rsid w:val="009F2834"/>
    <w:rsid w:val="00A42898"/>
    <w:rsid w:val="00A718BF"/>
    <w:rsid w:val="00A753CD"/>
    <w:rsid w:val="00A9332E"/>
    <w:rsid w:val="00AA5A9F"/>
    <w:rsid w:val="00AB1D49"/>
    <w:rsid w:val="00AB6ACE"/>
    <w:rsid w:val="00AC5A3A"/>
    <w:rsid w:val="00AE47B3"/>
    <w:rsid w:val="00AF2E2B"/>
    <w:rsid w:val="00B15F7A"/>
    <w:rsid w:val="00B36695"/>
    <w:rsid w:val="00B36B7B"/>
    <w:rsid w:val="00B373E4"/>
    <w:rsid w:val="00B42E7C"/>
    <w:rsid w:val="00B62F9C"/>
    <w:rsid w:val="00B66B27"/>
    <w:rsid w:val="00B671C7"/>
    <w:rsid w:val="00B8265B"/>
    <w:rsid w:val="00B82FA5"/>
    <w:rsid w:val="00B96D59"/>
    <w:rsid w:val="00BA1400"/>
    <w:rsid w:val="00BB3E73"/>
    <w:rsid w:val="00BD1400"/>
    <w:rsid w:val="00BD300B"/>
    <w:rsid w:val="00BD605C"/>
    <w:rsid w:val="00BE2A76"/>
    <w:rsid w:val="00BF1F44"/>
    <w:rsid w:val="00BF2916"/>
    <w:rsid w:val="00C006AB"/>
    <w:rsid w:val="00C07F27"/>
    <w:rsid w:val="00C276C1"/>
    <w:rsid w:val="00C42079"/>
    <w:rsid w:val="00C65E60"/>
    <w:rsid w:val="00C86764"/>
    <w:rsid w:val="00C94764"/>
    <w:rsid w:val="00CE5A52"/>
    <w:rsid w:val="00CF7AF3"/>
    <w:rsid w:val="00D22A84"/>
    <w:rsid w:val="00D244F6"/>
    <w:rsid w:val="00D26ADA"/>
    <w:rsid w:val="00D26D9C"/>
    <w:rsid w:val="00D35A78"/>
    <w:rsid w:val="00D555A1"/>
    <w:rsid w:val="00D64DC2"/>
    <w:rsid w:val="00D70B3B"/>
    <w:rsid w:val="00D77F3C"/>
    <w:rsid w:val="00DA46CA"/>
    <w:rsid w:val="00DB067B"/>
    <w:rsid w:val="00DB0A1B"/>
    <w:rsid w:val="00DB2985"/>
    <w:rsid w:val="00DB32AE"/>
    <w:rsid w:val="00DC58B8"/>
    <w:rsid w:val="00DC74D3"/>
    <w:rsid w:val="00DE4401"/>
    <w:rsid w:val="00DF21EB"/>
    <w:rsid w:val="00E1589C"/>
    <w:rsid w:val="00E20E70"/>
    <w:rsid w:val="00E25B68"/>
    <w:rsid w:val="00E54DEF"/>
    <w:rsid w:val="00E55E2C"/>
    <w:rsid w:val="00E84003"/>
    <w:rsid w:val="00E9494A"/>
    <w:rsid w:val="00E965EC"/>
    <w:rsid w:val="00EB5A10"/>
    <w:rsid w:val="00EC10FC"/>
    <w:rsid w:val="00EE0041"/>
    <w:rsid w:val="00EE29B9"/>
    <w:rsid w:val="00F004EE"/>
    <w:rsid w:val="00F033A3"/>
    <w:rsid w:val="00F42E23"/>
    <w:rsid w:val="00F45EEE"/>
    <w:rsid w:val="00F51E9C"/>
    <w:rsid w:val="00F523CA"/>
    <w:rsid w:val="00F577AC"/>
    <w:rsid w:val="00F713D5"/>
    <w:rsid w:val="00F73CA5"/>
    <w:rsid w:val="00F74A9D"/>
    <w:rsid w:val="00F90EF2"/>
    <w:rsid w:val="00FC330C"/>
    <w:rsid w:val="00FD1DBC"/>
    <w:rsid w:val="00FE4199"/>
    <w:rsid w:val="00FF3625"/>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59"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59"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1F2408F-FC4C-4979-9B09-E33F4CCF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3017</TotalTime>
  <Pages>7</Pages>
  <Words>2325</Words>
  <Characters>13258</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Alina</cp:lastModifiedBy>
  <cp:revision>58</cp:revision>
  <cp:lastPrinted>2015-12-01T10:27:00Z</cp:lastPrinted>
  <dcterms:created xsi:type="dcterms:W3CDTF">2019-04-17T15:16:00Z</dcterms:created>
  <dcterms:modified xsi:type="dcterms:W3CDTF">2019-04-30T21:11:00Z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