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D9F4" w14:textId="70DEFC6F" w:rsidR="003B5E0E" w:rsidRPr="003B5E0E" w:rsidRDefault="00B54DD6" w:rsidP="00B153F2">
      <w:pPr>
        <w:pStyle w:val="Podnaslov"/>
      </w:pPr>
      <w:r>
        <w:rPr>
          <w:rFonts w:ascii="Times New Roman Bold" w:hAnsi="Times New Roman Bold" w:cs="Times New Roman"/>
          <w:i w:val="0"/>
          <w:caps/>
          <w:szCs w:val="20"/>
        </w:rPr>
        <w:t xml:space="preserve">The </w:t>
      </w:r>
      <w:r w:rsidR="00B153F2" w:rsidRPr="00B153F2">
        <w:rPr>
          <w:rFonts w:ascii="Times New Roman Bold" w:hAnsi="Times New Roman Bold" w:cs="Times New Roman"/>
          <w:i w:val="0"/>
          <w:caps/>
          <w:szCs w:val="20"/>
        </w:rPr>
        <w:t>Requirements for Construction of New Spent Fuel Dry Storage – Design Extension Conditions Approach</w:t>
      </w:r>
    </w:p>
    <w:p w14:paraId="121C31D9" w14:textId="77777777" w:rsidR="00802381" w:rsidRDefault="00802381" w:rsidP="00537496">
      <w:pPr>
        <w:pStyle w:val="Authornameandaffiliation"/>
      </w:pPr>
    </w:p>
    <w:p w14:paraId="3D8CE44E" w14:textId="77777777" w:rsidR="00B153F2" w:rsidRDefault="00B153F2" w:rsidP="00B153F2">
      <w:pPr>
        <w:pStyle w:val="Authornameandaffiliation"/>
      </w:pPr>
      <w:r>
        <w:t>Andreja Peršič</w:t>
      </w:r>
    </w:p>
    <w:p w14:paraId="611F491E" w14:textId="77777777" w:rsidR="00B153F2" w:rsidRDefault="00B153F2" w:rsidP="00B153F2">
      <w:pPr>
        <w:pStyle w:val="Authornameandaffiliation"/>
      </w:pPr>
      <w:r>
        <w:t>Slovenian Nuclear Safety Administration</w:t>
      </w:r>
    </w:p>
    <w:p w14:paraId="0844FA5D" w14:textId="77777777" w:rsidR="00B153F2" w:rsidRDefault="00B153F2" w:rsidP="00B153F2">
      <w:pPr>
        <w:pStyle w:val="Authornameandaffiliation"/>
      </w:pPr>
      <w:proofErr w:type="spellStart"/>
      <w:r>
        <w:t>Litostrojska</w:t>
      </w:r>
      <w:proofErr w:type="spellEnd"/>
      <w:r>
        <w:t xml:space="preserve"> 54</w:t>
      </w:r>
    </w:p>
    <w:p w14:paraId="59457BEE" w14:textId="77777777" w:rsidR="00B153F2" w:rsidRDefault="00B153F2" w:rsidP="00B153F2">
      <w:pPr>
        <w:pStyle w:val="Authornameandaffiliation"/>
      </w:pPr>
      <w:r>
        <w:t>1000 Ljubljana, Slovenia</w:t>
      </w:r>
    </w:p>
    <w:p w14:paraId="48077CE8" w14:textId="567EDE3C" w:rsidR="00FF386F" w:rsidRDefault="00431ECE" w:rsidP="00B153F2">
      <w:pPr>
        <w:pStyle w:val="Authornameandaffiliation"/>
      </w:pPr>
      <w:hyperlink r:id="rId8" w:history="1">
        <w:r w:rsidR="00B153F2" w:rsidRPr="004903E1">
          <w:rPr>
            <w:rStyle w:val="Hiperpovezava"/>
          </w:rPr>
          <w:t>andreja.persic@gov.si</w:t>
        </w:r>
      </w:hyperlink>
    </w:p>
    <w:p w14:paraId="47E5BFF4" w14:textId="77777777" w:rsidR="00B153F2" w:rsidRDefault="00B153F2" w:rsidP="00B153F2">
      <w:pPr>
        <w:pStyle w:val="Authornameandaffiliation"/>
      </w:pPr>
    </w:p>
    <w:p w14:paraId="3AA501C8" w14:textId="77777777" w:rsidR="00B153F2" w:rsidRDefault="00B153F2" w:rsidP="00B153F2">
      <w:pPr>
        <w:pStyle w:val="Authornameandaffiliation"/>
      </w:pPr>
      <w:r>
        <w:t>Tomaž Nemec, Tom Bajcar</w:t>
      </w:r>
    </w:p>
    <w:p w14:paraId="6742278D" w14:textId="77777777" w:rsidR="00B153F2" w:rsidRDefault="00B153F2" w:rsidP="00B153F2">
      <w:pPr>
        <w:pStyle w:val="Authornameandaffiliation"/>
      </w:pPr>
      <w:r>
        <w:t>Slovenian Nuclear Safety Administration</w:t>
      </w:r>
    </w:p>
    <w:p w14:paraId="6FF43A84" w14:textId="77777777" w:rsidR="00B153F2" w:rsidRDefault="00B153F2" w:rsidP="00B153F2">
      <w:pPr>
        <w:pStyle w:val="Authornameandaffiliation"/>
      </w:pPr>
      <w:proofErr w:type="spellStart"/>
      <w:r>
        <w:t>Litostrojska</w:t>
      </w:r>
      <w:proofErr w:type="spellEnd"/>
      <w:r>
        <w:t xml:space="preserve"> 54</w:t>
      </w:r>
    </w:p>
    <w:p w14:paraId="0775C22F" w14:textId="77777777" w:rsidR="00B153F2" w:rsidRDefault="00B153F2" w:rsidP="00B153F2">
      <w:pPr>
        <w:pStyle w:val="Authornameandaffiliation"/>
      </w:pPr>
      <w:r>
        <w:t>1000 Ljubljana, Slovenia</w:t>
      </w:r>
    </w:p>
    <w:p w14:paraId="7F7BEC3B" w14:textId="031FBB6F" w:rsidR="00FF386F" w:rsidRDefault="00B153F2" w:rsidP="00B153F2">
      <w:pPr>
        <w:pStyle w:val="Authornameandaffiliation"/>
      </w:pPr>
      <w:r>
        <w:t xml:space="preserve">tomaz.nemec@gov.si, </w:t>
      </w:r>
      <w:r w:rsidR="007F783D" w:rsidRPr="007F783D">
        <w:t>tom.bajcar@gov.si</w:t>
      </w:r>
    </w:p>
    <w:p w14:paraId="419AFACF" w14:textId="2E2AA333" w:rsidR="007F783D" w:rsidRDefault="007F783D" w:rsidP="00B153F2">
      <w:pPr>
        <w:pStyle w:val="Authornameandaffiliation"/>
      </w:pPr>
    </w:p>
    <w:p w14:paraId="34C3B42B" w14:textId="6E22E74D" w:rsidR="007F783D" w:rsidRDefault="007F783D" w:rsidP="00B153F2">
      <w:pPr>
        <w:pStyle w:val="Authornameandaffiliation"/>
      </w:pPr>
    </w:p>
    <w:p w14:paraId="39450C4F" w14:textId="77777777" w:rsidR="00111957" w:rsidRPr="00406FC6" w:rsidRDefault="00111957" w:rsidP="00111957">
      <w:pPr>
        <w:pStyle w:val="Authornameandaffiliation"/>
        <w:rPr>
          <w:sz w:val="18"/>
        </w:rPr>
      </w:pPr>
      <w:r w:rsidRPr="00406FC6">
        <w:rPr>
          <w:sz w:val="18"/>
        </w:rPr>
        <w:t>Abstract</w:t>
      </w:r>
    </w:p>
    <w:p w14:paraId="28F60B1E" w14:textId="77777777" w:rsidR="00111957" w:rsidRPr="00406FC6" w:rsidRDefault="00111957" w:rsidP="00111957">
      <w:pPr>
        <w:pStyle w:val="Authornameandaffiliation"/>
        <w:rPr>
          <w:sz w:val="18"/>
        </w:rPr>
      </w:pPr>
    </w:p>
    <w:p w14:paraId="02153E44" w14:textId="18B87D3E" w:rsidR="00111957" w:rsidRPr="00BD605C" w:rsidRDefault="00111957" w:rsidP="00214286">
      <w:pPr>
        <w:pStyle w:val="Abstracttext"/>
        <w:jc w:val="both"/>
      </w:pPr>
      <w:r w:rsidRPr="00111957">
        <w:t xml:space="preserve">Due to the stringent requirements after the Fukushima accident and due to stricter requirements arising from the new design extension conditions (DEC) requirements which have been adopted into new Slovenian nuclear legislation, the Krško NPP decided to implement the safety upgrade project (SUP). SUP also envisages the safety upgrade </w:t>
      </w:r>
      <w:r w:rsidR="00FE5BBF">
        <w:t>of spent fuel storage. The NPP</w:t>
      </w:r>
      <w:r w:rsidRPr="00111957">
        <w:t xml:space="preserve"> decided to construct a new spent fuel dry storage (SFDS) system as this is much safer and reliable as</w:t>
      </w:r>
      <w:r w:rsidR="00FE5BBF">
        <w:t xml:space="preserve"> a passive system compared to the</w:t>
      </w:r>
      <w:r w:rsidR="000E4D89">
        <w:t xml:space="preserve"> existing</w:t>
      </w:r>
      <w:r w:rsidRPr="00111957">
        <w:t xml:space="preserve"> spent fuel</w:t>
      </w:r>
      <w:r w:rsidR="000E4D89">
        <w:t xml:space="preserve"> pool. The new SFDS is designed to</w:t>
      </w:r>
      <w:r w:rsidRPr="00111957">
        <w:t xml:space="preserve"> DEC conditions in accordance with the </w:t>
      </w:r>
      <w:r w:rsidR="00C90863">
        <w:t>West European Nuclear Regulators Association (</w:t>
      </w:r>
      <w:r w:rsidRPr="00111957">
        <w:t>WENRA</w:t>
      </w:r>
      <w:r w:rsidR="00C90863">
        <w:t>)</w:t>
      </w:r>
      <w:r w:rsidRPr="00111957">
        <w:t xml:space="preserve"> requirements from 2014. </w:t>
      </w:r>
      <w:bookmarkStart w:id="0" w:name="_Hlk1648151"/>
      <w:r w:rsidRPr="00111957">
        <w:t xml:space="preserve">Some of design basis conditions are defined even stricter by the operator. </w:t>
      </w:r>
      <w:bookmarkEnd w:id="0"/>
      <w:r w:rsidRPr="00111957">
        <w:t>The design and construction of the new SFDS, which will meet all specified design basis conditions, are a challenge for both; the manu</w:t>
      </w:r>
      <w:r w:rsidR="00413246">
        <w:t>facturer and the operator, who</w:t>
      </w:r>
      <w:r w:rsidRPr="00111957">
        <w:t xml:space="preserve"> will manage the SFDS. The important upgrade of the Krško NPP’s safety of spent fuel storage will be achieved with SFDS successful operation. The licensing process for SFDS started </w:t>
      </w:r>
      <w:r w:rsidR="00B458A4">
        <w:t>in</w:t>
      </w:r>
      <w:r w:rsidRPr="00111957">
        <w:t xml:space="preserve"> year</w:t>
      </w:r>
      <w:r w:rsidR="00B458A4">
        <w:t xml:space="preserve"> 2017</w:t>
      </w:r>
      <w:r w:rsidRPr="00111957">
        <w:t>. The desig</w:t>
      </w:r>
      <w:r w:rsidR="000E4D89">
        <w:t>n conditions for SFDS were defined</w:t>
      </w:r>
      <w:r w:rsidRPr="00111957">
        <w:t xml:space="preserve"> by </w:t>
      </w:r>
      <w:r w:rsidR="00981254">
        <w:t>Slovenian Nuclear S</w:t>
      </w:r>
      <w:r w:rsidR="000E4D89">
        <w:t>afety Administration (</w:t>
      </w:r>
      <w:r w:rsidRPr="00111957">
        <w:t>SNSA</w:t>
      </w:r>
      <w:r w:rsidR="000E4D89">
        <w:t>)</w:t>
      </w:r>
      <w:r w:rsidRPr="00111957">
        <w:t xml:space="preserve">. After the redesign of the original project, the positive opinion for the construction </w:t>
      </w:r>
      <w:r w:rsidR="002E3395" w:rsidRPr="00111957">
        <w:t>license</w:t>
      </w:r>
      <w:r w:rsidRPr="00111957">
        <w:t xml:space="preserve"> was issued by SNSA in January 2019. T</w:t>
      </w:r>
      <w:r w:rsidR="000E4D89">
        <w:t>he operation of SFDS should begin</w:t>
      </w:r>
      <w:r w:rsidRPr="00111957">
        <w:t xml:space="preserve"> in 2021.The paper describes an outline of new DEC requirements for spent fuel dry storages, along with the example to articulate some of the Slovenian DEC requirements and how these are applied to the Krško NPP spent fuel storage.</w:t>
      </w:r>
    </w:p>
    <w:p w14:paraId="54CBDFDE" w14:textId="77777777" w:rsidR="00647F33" w:rsidRDefault="00F523CA" w:rsidP="004D0F7E">
      <w:pPr>
        <w:pStyle w:val="Naslov2"/>
        <w:numPr>
          <w:ilvl w:val="1"/>
          <w:numId w:val="5"/>
        </w:numPr>
      </w:pPr>
      <w:r>
        <w:t>INTRODUCTION</w:t>
      </w:r>
    </w:p>
    <w:p w14:paraId="1B5E0C39" w14:textId="0EA2D524" w:rsidR="004D4316" w:rsidRPr="00234756" w:rsidRDefault="003F4E59" w:rsidP="00673F1B">
      <w:pPr>
        <w:pStyle w:val="Telobesedila"/>
        <w:rPr>
          <w:lang w:val="en-US"/>
        </w:rPr>
      </w:pPr>
      <w:r w:rsidRPr="00234756">
        <w:rPr>
          <w:lang w:val="en-US"/>
        </w:rPr>
        <w:t xml:space="preserve">The experience </w:t>
      </w:r>
      <w:r w:rsidR="00C15A88" w:rsidRPr="00234756">
        <w:rPr>
          <w:lang w:val="en-US"/>
        </w:rPr>
        <w:t>from</w:t>
      </w:r>
      <w:r w:rsidRPr="00234756">
        <w:rPr>
          <w:lang w:val="en-US"/>
        </w:rPr>
        <w:t xml:space="preserve"> the Fukushima </w:t>
      </w:r>
      <w:r w:rsidR="00C15A88" w:rsidRPr="00234756">
        <w:rPr>
          <w:lang w:val="en-US"/>
        </w:rPr>
        <w:t xml:space="preserve">Daiichi </w:t>
      </w:r>
      <w:r w:rsidRPr="00234756">
        <w:rPr>
          <w:lang w:val="en-US"/>
        </w:rPr>
        <w:t>accident was the main reason for introducing a new</w:t>
      </w:r>
      <w:r w:rsidR="00DB5550" w:rsidRPr="00234756">
        <w:rPr>
          <w:lang w:val="en-US"/>
        </w:rPr>
        <w:t xml:space="preserve"> DEC</w:t>
      </w:r>
      <w:r w:rsidRPr="00234756">
        <w:rPr>
          <w:lang w:val="en-US"/>
        </w:rPr>
        <w:t xml:space="preserve"> approach</w:t>
      </w:r>
      <w:r w:rsidR="00720341" w:rsidRPr="00234756">
        <w:rPr>
          <w:lang w:val="en-US"/>
        </w:rPr>
        <w:t>. The DEC is</w:t>
      </w:r>
      <w:r w:rsidRPr="00234756">
        <w:rPr>
          <w:lang w:val="en-US"/>
        </w:rPr>
        <w:t xml:space="preserve"> dealing with </w:t>
      </w:r>
      <w:r w:rsidR="00C15A88" w:rsidRPr="00234756">
        <w:rPr>
          <w:lang w:val="en-US"/>
        </w:rPr>
        <w:t xml:space="preserve">the </w:t>
      </w:r>
      <w:r w:rsidR="00DB5550" w:rsidRPr="00234756">
        <w:rPr>
          <w:lang w:val="en-US"/>
        </w:rPr>
        <w:t>conditions more complex than those that would occur during postulated design basis accidents (DBA)</w:t>
      </w:r>
      <w:r w:rsidR="00E005AE" w:rsidRPr="00234756">
        <w:rPr>
          <w:lang w:val="en-US"/>
        </w:rPr>
        <w:t>.</w:t>
      </w:r>
      <w:r w:rsidR="00DB5550" w:rsidRPr="00234756">
        <w:rPr>
          <w:lang w:val="en-US"/>
        </w:rPr>
        <w:t xml:space="preserve"> </w:t>
      </w:r>
      <w:r w:rsidR="00E005AE" w:rsidRPr="00234756">
        <w:rPr>
          <w:lang w:val="en-US"/>
        </w:rPr>
        <w:t xml:space="preserve">The basic aim of DEC is </w:t>
      </w:r>
      <w:r w:rsidR="00DB5550" w:rsidRPr="00234756">
        <w:rPr>
          <w:lang w:val="en-US"/>
        </w:rPr>
        <w:t>to implement measures that are still reasonably practicable</w:t>
      </w:r>
      <w:r w:rsidR="00E005AE" w:rsidRPr="00234756">
        <w:rPr>
          <w:lang w:val="en-US"/>
        </w:rPr>
        <w:t xml:space="preserve"> </w:t>
      </w:r>
      <w:r w:rsidR="00DB5550" w:rsidRPr="00234756">
        <w:rPr>
          <w:lang w:val="en-US"/>
        </w:rPr>
        <w:t>to improve the level of plant's safety [1].</w:t>
      </w:r>
      <w:r w:rsidRPr="00234756">
        <w:rPr>
          <w:lang w:val="en-US"/>
        </w:rPr>
        <w:t xml:space="preserve"> It is necessary to define additional accident scenarios that are less likely than </w:t>
      </w:r>
      <w:r w:rsidR="00DB5550" w:rsidRPr="00234756">
        <w:rPr>
          <w:lang w:val="en-US"/>
        </w:rPr>
        <w:t xml:space="preserve">design basis </w:t>
      </w:r>
      <w:r w:rsidRPr="00234756">
        <w:rPr>
          <w:lang w:val="en-US"/>
        </w:rPr>
        <w:t xml:space="preserve">accidents </w:t>
      </w:r>
      <w:r w:rsidR="00C15A88" w:rsidRPr="00234756">
        <w:rPr>
          <w:lang w:val="en-US"/>
        </w:rPr>
        <w:t xml:space="preserve">but </w:t>
      </w:r>
      <w:r w:rsidRPr="00234756">
        <w:rPr>
          <w:lang w:val="en-US"/>
        </w:rPr>
        <w:t xml:space="preserve">to have major consequences. </w:t>
      </w:r>
      <w:r w:rsidR="00E005AE" w:rsidRPr="00234756">
        <w:rPr>
          <w:lang w:val="en-US"/>
        </w:rPr>
        <w:t>All the necessary</w:t>
      </w:r>
      <w:r w:rsidRPr="00234756">
        <w:rPr>
          <w:lang w:val="en-US"/>
        </w:rPr>
        <w:t xml:space="preserve"> </w:t>
      </w:r>
      <w:r w:rsidR="00C90863" w:rsidRPr="00234756">
        <w:rPr>
          <w:lang w:val="en-US"/>
        </w:rPr>
        <w:t>modifications</w:t>
      </w:r>
      <w:r w:rsidRPr="00234756">
        <w:rPr>
          <w:lang w:val="en-US"/>
        </w:rPr>
        <w:t xml:space="preserve"> </w:t>
      </w:r>
      <w:r w:rsidR="00C90863" w:rsidRPr="00234756">
        <w:rPr>
          <w:lang w:val="en-US"/>
        </w:rPr>
        <w:t>of</w:t>
      </w:r>
      <w:r w:rsidRPr="00234756">
        <w:rPr>
          <w:lang w:val="en-US"/>
        </w:rPr>
        <w:t xml:space="preserve"> the </w:t>
      </w:r>
      <w:r w:rsidR="00C90863" w:rsidRPr="00234756">
        <w:rPr>
          <w:lang w:val="en-US"/>
        </w:rPr>
        <w:t>original</w:t>
      </w:r>
      <w:r w:rsidRPr="00234756">
        <w:rPr>
          <w:lang w:val="en-US"/>
        </w:rPr>
        <w:t xml:space="preserve"> </w:t>
      </w:r>
      <w:r w:rsidR="00C15A88" w:rsidRPr="00234756">
        <w:rPr>
          <w:lang w:val="en-US"/>
        </w:rPr>
        <w:t>design</w:t>
      </w:r>
      <w:r w:rsidR="00C56EC2" w:rsidRPr="00234756">
        <w:rPr>
          <w:lang w:val="en-US"/>
        </w:rPr>
        <w:t xml:space="preserve"> (safety upgrade)</w:t>
      </w:r>
      <w:r w:rsidRPr="00234756">
        <w:rPr>
          <w:lang w:val="en-US"/>
        </w:rPr>
        <w:t xml:space="preserve"> must be introduced</w:t>
      </w:r>
      <w:r w:rsidR="00E005AE" w:rsidRPr="00234756">
        <w:rPr>
          <w:lang w:val="en-US"/>
        </w:rPr>
        <w:t xml:space="preserve"> </w:t>
      </w:r>
      <w:r w:rsidR="00673F1B" w:rsidRPr="00234756">
        <w:rPr>
          <w:lang w:val="en-US"/>
        </w:rPr>
        <w:t xml:space="preserve">to enhance the plant’s capability to withstand more challenging conditions than those considered in the design basis. </w:t>
      </w:r>
      <w:r w:rsidR="00E005AE" w:rsidRPr="00234756">
        <w:rPr>
          <w:lang w:val="en-US"/>
        </w:rPr>
        <w:t>Additionally, a</w:t>
      </w:r>
      <w:r w:rsidR="00C90863" w:rsidRPr="00234756">
        <w:rPr>
          <w:lang w:val="en-US"/>
        </w:rPr>
        <w:t xml:space="preserve">n </w:t>
      </w:r>
      <w:r w:rsidRPr="00234756">
        <w:rPr>
          <w:lang w:val="en-US"/>
        </w:rPr>
        <w:t>appropriate measures</w:t>
      </w:r>
      <w:r w:rsidR="00C90863" w:rsidRPr="00234756">
        <w:rPr>
          <w:lang w:val="en-US"/>
        </w:rPr>
        <w:t xml:space="preserve"> must be </w:t>
      </w:r>
      <w:r w:rsidRPr="00234756">
        <w:rPr>
          <w:lang w:val="en-US"/>
        </w:rPr>
        <w:t xml:space="preserve">taken to ensure that the </w:t>
      </w:r>
      <w:r w:rsidR="00C15A88" w:rsidRPr="00234756">
        <w:rPr>
          <w:lang w:val="en-US"/>
        </w:rPr>
        <w:t>accident</w:t>
      </w:r>
      <w:r w:rsidRPr="00234756">
        <w:rPr>
          <w:lang w:val="en-US"/>
        </w:rPr>
        <w:t xml:space="preserve"> does not develop </w:t>
      </w:r>
      <w:r w:rsidR="00C15A88" w:rsidRPr="00234756">
        <w:rPr>
          <w:lang w:val="en-US"/>
        </w:rPr>
        <w:t>or</w:t>
      </w:r>
      <w:r w:rsidRPr="00234756">
        <w:rPr>
          <w:lang w:val="en-US"/>
        </w:rPr>
        <w:t xml:space="preserve"> to </w:t>
      </w:r>
      <w:r w:rsidR="00C15A88" w:rsidRPr="00234756">
        <w:rPr>
          <w:lang w:val="en-US"/>
        </w:rPr>
        <w:t>mitigate</w:t>
      </w:r>
      <w:r w:rsidRPr="00234756">
        <w:rPr>
          <w:lang w:val="en-US"/>
        </w:rPr>
        <w:t xml:space="preserve"> its</w:t>
      </w:r>
      <w:r w:rsidR="00C15A88" w:rsidRPr="00234756">
        <w:rPr>
          <w:lang w:val="en-US"/>
        </w:rPr>
        <w:t xml:space="preserve"> consequences.</w:t>
      </w:r>
      <w:r w:rsidR="00673F1B" w:rsidRPr="00234756">
        <w:rPr>
          <w:rFonts w:ascii="Calibri" w:eastAsia="Calibri" w:hAnsi="Calibri"/>
          <w:sz w:val="22"/>
          <w:szCs w:val="22"/>
          <w:lang w:val="en-US" w:eastAsia="sl-SI"/>
        </w:rPr>
        <w:t xml:space="preserve"> </w:t>
      </w:r>
    </w:p>
    <w:p w14:paraId="41BAA77C" w14:textId="5D4197CA" w:rsidR="00B54DD6" w:rsidRPr="00234756" w:rsidRDefault="00B54DD6" w:rsidP="00B54DD6">
      <w:pPr>
        <w:pStyle w:val="Telobesedila"/>
        <w:rPr>
          <w:lang w:val="en-US"/>
        </w:rPr>
      </w:pPr>
      <w:r w:rsidRPr="00234756">
        <w:rPr>
          <w:lang w:val="en-US"/>
        </w:rPr>
        <w:t>The DEC</w:t>
      </w:r>
      <w:r w:rsidR="00EF448E" w:rsidRPr="00234756">
        <w:rPr>
          <w:lang w:val="en-US"/>
        </w:rPr>
        <w:t xml:space="preserve"> </w:t>
      </w:r>
      <w:r w:rsidRPr="00234756">
        <w:rPr>
          <w:lang w:val="en-US"/>
        </w:rPr>
        <w:t>was fist time introduced i</w:t>
      </w:r>
      <w:r w:rsidR="004D4316" w:rsidRPr="00234756">
        <w:rPr>
          <w:lang w:val="en-US"/>
        </w:rPr>
        <w:t>n 2008,</w:t>
      </w:r>
      <w:r w:rsidRPr="00234756">
        <w:rPr>
          <w:lang w:val="en-US"/>
        </w:rPr>
        <w:t xml:space="preserve"> when</w:t>
      </w:r>
      <w:r w:rsidR="004D4316" w:rsidRPr="00234756">
        <w:rPr>
          <w:lang w:val="en-US"/>
        </w:rPr>
        <w:t xml:space="preserve"> WENRA published the document “Reactor Safety Reference Levels” [2, 3]. In 2014, </w:t>
      </w:r>
      <w:r w:rsidR="00C90863" w:rsidRPr="00234756">
        <w:rPr>
          <w:lang w:val="en-US"/>
        </w:rPr>
        <w:t>f</w:t>
      </w:r>
      <w:r w:rsidR="004D4316" w:rsidRPr="00234756">
        <w:rPr>
          <w:lang w:val="en-US"/>
        </w:rPr>
        <w:t xml:space="preserve">ollowing the Fukushima Daiichi accident, WENRA updated the safety reference levels to integrate the lessons learned from the </w:t>
      </w:r>
      <w:r w:rsidR="00EF448E" w:rsidRPr="00234756">
        <w:rPr>
          <w:lang w:val="en-US"/>
        </w:rPr>
        <w:t xml:space="preserve">Fukushima Daiichi </w:t>
      </w:r>
      <w:r w:rsidR="004D4316" w:rsidRPr="00234756">
        <w:rPr>
          <w:lang w:val="en-US"/>
        </w:rPr>
        <w:t>accident [</w:t>
      </w:r>
      <w:r w:rsidR="00957FFE">
        <w:rPr>
          <w:lang w:val="en-US"/>
        </w:rPr>
        <w:t>4</w:t>
      </w:r>
      <w:r w:rsidR="004D4316" w:rsidRPr="00234756">
        <w:rPr>
          <w:lang w:val="en-US"/>
        </w:rPr>
        <w:t>]. Two categories of DEC</w:t>
      </w:r>
      <w:r w:rsidR="00875913" w:rsidRPr="00234756">
        <w:rPr>
          <w:lang w:val="en-US"/>
        </w:rPr>
        <w:t>, namely DEC</w:t>
      </w:r>
      <w:r w:rsidR="0032790C">
        <w:rPr>
          <w:lang w:val="en-US"/>
        </w:rPr>
        <w:t xml:space="preserve"> </w:t>
      </w:r>
      <w:r w:rsidR="00875913" w:rsidRPr="00234756">
        <w:rPr>
          <w:lang w:val="en-US"/>
        </w:rPr>
        <w:t>A and DEC</w:t>
      </w:r>
      <w:r w:rsidR="0032790C">
        <w:rPr>
          <w:lang w:val="en-US"/>
        </w:rPr>
        <w:t xml:space="preserve"> </w:t>
      </w:r>
      <w:r w:rsidR="00875913" w:rsidRPr="00234756">
        <w:rPr>
          <w:lang w:val="en-US"/>
        </w:rPr>
        <w:t>B</w:t>
      </w:r>
      <w:r w:rsidR="004D4316" w:rsidRPr="00234756">
        <w:rPr>
          <w:lang w:val="en-US"/>
        </w:rPr>
        <w:t xml:space="preserve"> have been </w:t>
      </w:r>
      <w:r w:rsidR="00875913" w:rsidRPr="00234756">
        <w:rPr>
          <w:lang w:val="en-US"/>
        </w:rPr>
        <w:t>introduced</w:t>
      </w:r>
      <w:r w:rsidR="006A395A" w:rsidRPr="00234756">
        <w:rPr>
          <w:lang w:val="en-US"/>
        </w:rPr>
        <w:t xml:space="preserve"> that time</w:t>
      </w:r>
      <w:r w:rsidR="00EF448E" w:rsidRPr="00234756">
        <w:rPr>
          <w:lang w:val="en-US"/>
        </w:rPr>
        <w:t>.</w:t>
      </w:r>
      <w:r w:rsidR="004D4316" w:rsidRPr="00234756">
        <w:rPr>
          <w:lang w:val="en-US"/>
        </w:rPr>
        <w:t xml:space="preserve"> DEC</w:t>
      </w:r>
      <w:r w:rsidR="0032790C">
        <w:rPr>
          <w:lang w:val="en-US"/>
        </w:rPr>
        <w:t xml:space="preserve"> </w:t>
      </w:r>
      <w:r w:rsidR="004D4316" w:rsidRPr="00234756">
        <w:rPr>
          <w:lang w:val="en-US"/>
        </w:rPr>
        <w:t xml:space="preserve">A </w:t>
      </w:r>
      <w:r w:rsidR="00875913" w:rsidRPr="00234756">
        <w:rPr>
          <w:lang w:val="en-US"/>
        </w:rPr>
        <w:t xml:space="preserve">is defined </w:t>
      </w:r>
      <w:r w:rsidR="004D4316" w:rsidRPr="00234756">
        <w:rPr>
          <w:lang w:val="en-US"/>
        </w:rPr>
        <w:t xml:space="preserve">for the events for which the prevention of severe fuel damage in the </w:t>
      </w:r>
      <w:r w:rsidR="006A395A" w:rsidRPr="00234756">
        <w:rPr>
          <w:lang w:val="en-US"/>
        </w:rPr>
        <w:t xml:space="preserve">reactor </w:t>
      </w:r>
      <w:r w:rsidR="004D4316" w:rsidRPr="00234756">
        <w:rPr>
          <w:lang w:val="en-US"/>
        </w:rPr>
        <w:t>core or in the spent fuel storage can be achieved</w:t>
      </w:r>
      <w:r w:rsidR="006A395A" w:rsidRPr="00234756">
        <w:rPr>
          <w:lang w:val="en-US"/>
        </w:rPr>
        <w:t>.</w:t>
      </w:r>
      <w:r w:rsidR="004D4316" w:rsidRPr="00234756">
        <w:rPr>
          <w:lang w:val="en-US"/>
        </w:rPr>
        <w:t xml:space="preserve"> DEC</w:t>
      </w:r>
      <w:r w:rsidR="0032790C">
        <w:rPr>
          <w:lang w:val="en-US"/>
        </w:rPr>
        <w:t xml:space="preserve"> </w:t>
      </w:r>
      <w:r w:rsidR="004D4316" w:rsidRPr="00234756">
        <w:rPr>
          <w:lang w:val="en-US"/>
        </w:rPr>
        <w:t>B</w:t>
      </w:r>
      <w:r w:rsidR="00875913" w:rsidRPr="00234756">
        <w:rPr>
          <w:lang w:val="en-US"/>
        </w:rPr>
        <w:t xml:space="preserve"> is defined</w:t>
      </w:r>
      <w:r w:rsidR="004D4316" w:rsidRPr="00234756">
        <w:rPr>
          <w:lang w:val="en-US"/>
        </w:rPr>
        <w:t xml:space="preserve"> for conditions with severe fuel damage</w:t>
      </w:r>
      <w:r w:rsidRPr="00234756">
        <w:rPr>
          <w:lang w:val="en-US"/>
        </w:rPr>
        <w:t xml:space="preserve"> [1]</w:t>
      </w:r>
      <w:r w:rsidR="004D4316" w:rsidRPr="00234756">
        <w:rPr>
          <w:lang w:val="en-US"/>
        </w:rPr>
        <w:t xml:space="preserve">. </w:t>
      </w:r>
      <w:r w:rsidR="004C7339" w:rsidRPr="00234756">
        <w:rPr>
          <w:lang w:val="en-US"/>
        </w:rPr>
        <w:t>“</w:t>
      </w:r>
      <w:r w:rsidR="00E964A2" w:rsidRPr="00234756">
        <w:rPr>
          <w:lang w:val="en-US"/>
        </w:rPr>
        <w:t>A DEC event means an event or combination of events with extremely low probability and more severe consequences than design basis events. It can also include multiple failures of structures, systems and components (SSCs) in contrast to single failure postulated in the design basis</w:t>
      </w:r>
      <w:r w:rsidR="004C7339" w:rsidRPr="00234756">
        <w:rPr>
          <w:lang w:val="en-US"/>
        </w:rPr>
        <w:t>”</w:t>
      </w:r>
      <w:r w:rsidR="00E964A2" w:rsidRPr="00234756">
        <w:rPr>
          <w:lang w:val="en-US"/>
        </w:rPr>
        <w:t xml:space="preserve"> [1].</w:t>
      </w:r>
      <w:r w:rsidR="004C7339" w:rsidRPr="00234756">
        <w:rPr>
          <w:lang w:val="en-US"/>
        </w:rPr>
        <w:t>More</w:t>
      </w:r>
      <w:r w:rsidR="00E964A2" w:rsidRPr="00234756">
        <w:rPr>
          <w:lang w:val="en-US"/>
        </w:rPr>
        <w:t xml:space="preserve"> </w:t>
      </w:r>
      <w:r w:rsidR="004C7339" w:rsidRPr="00234756">
        <w:rPr>
          <w:lang w:val="en-US"/>
        </w:rPr>
        <w:t>d</w:t>
      </w:r>
      <w:r w:rsidRPr="00234756">
        <w:rPr>
          <w:lang w:val="en-US"/>
        </w:rPr>
        <w:t xml:space="preserve">etailed explanation of the DEC is provided in the WENRA Guidance Document </w:t>
      </w:r>
      <w:r w:rsidR="004C7339" w:rsidRPr="00234756">
        <w:rPr>
          <w:lang w:val="en-US"/>
        </w:rPr>
        <w:t>“</w:t>
      </w:r>
      <w:r w:rsidRPr="00234756">
        <w:rPr>
          <w:lang w:val="en-US"/>
        </w:rPr>
        <w:t>Issue F: Design Extension of Existing Reactors</w:t>
      </w:r>
      <w:r w:rsidR="004C7339" w:rsidRPr="00234756">
        <w:rPr>
          <w:lang w:val="en-US"/>
        </w:rPr>
        <w:t>”</w:t>
      </w:r>
      <w:r w:rsidRPr="00234756">
        <w:rPr>
          <w:lang w:val="en-US"/>
        </w:rPr>
        <w:t xml:space="preserve"> [</w:t>
      </w:r>
      <w:r w:rsidR="00957FFE">
        <w:rPr>
          <w:lang w:val="en-US"/>
        </w:rPr>
        <w:t>5</w:t>
      </w:r>
      <w:r w:rsidRPr="00234756">
        <w:rPr>
          <w:lang w:val="en-US"/>
        </w:rPr>
        <w:t xml:space="preserve">] where WENRA </w:t>
      </w:r>
      <w:r w:rsidR="004C7339" w:rsidRPr="00234756">
        <w:rPr>
          <w:lang w:val="en-US"/>
        </w:rPr>
        <w:t>defined</w:t>
      </w:r>
      <w:r w:rsidRPr="00234756">
        <w:rPr>
          <w:lang w:val="en-US"/>
        </w:rPr>
        <w:t xml:space="preserve"> a list of DEC initiating events. </w:t>
      </w:r>
    </w:p>
    <w:p w14:paraId="3BF0327E" w14:textId="57CDA5CE" w:rsidR="004D4316" w:rsidRPr="00234756" w:rsidRDefault="004D4316" w:rsidP="004D4316">
      <w:pPr>
        <w:pStyle w:val="Telobesedila"/>
        <w:rPr>
          <w:lang w:val="en-US"/>
        </w:rPr>
      </w:pPr>
    </w:p>
    <w:p w14:paraId="075EB9DD" w14:textId="77777777" w:rsidR="00C56EC2" w:rsidRPr="00CF11D2" w:rsidRDefault="00C56EC2" w:rsidP="004D4316">
      <w:pPr>
        <w:pStyle w:val="Telobesedila"/>
      </w:pPr>
    </w:p>
    <w:p w14:paraId="67BEA56A" w14:textId="1F0EDC96" w:rsidR="00385FC0" w:rsidRDefault="000E4D89" w:rsidP="004D0F7E">
      <w:pPr>
        <w:pStyle w:val="Naslov2"/>
        <w:numPr>
          <w:ilvl w:val="1"/>
          <w:numId w:val="5"/>
        </w:numPr>
      </w:pPr>
      <w:r>
        <w:lastRenderedPageBreak/>
        <w:t>regulatory</w:t>
      </w:r>
      <w:r w:rsidR="00385FC0">
        <w:t xml:space="preserve"> DEC REQUIREMENTS FOR SPENT FUEL STORAGE</w:t>
      </w:r>
    </w:p>
    <w:p w14:paraId="32DE6F60" w14:textId="1040D817" w:rsidR="00173210" w:rsidRPr="00234756" w:rsidRDefault="00E34EC3" w:rsidP="00173210">
      <w:pPr>
        <w:pStyle w:val="Telobesedila"/>
        <w:rPr>
          <w:lang w:val="en-US"/>
        </w:rPr>
      </w:pPr>
      <w:r w:rsidRPr="00234756">
        <w:rPr>
          <w:lang w:val="en-US"/>
        </w:rPr>
        <w:t xml:space="preserve">Immediately after </w:t>
      </w:r>
      <w:r w:rsidR="006177AE" w:rsidRPr="00234756">
        <w:rPr>
          <w:lang w:val="en-US"/>
        </w:rPr>
        <w:t xml:space="preserve">issuing new </w:t>
      </w:r>
      <w:r w:rsidRPr="00234756">
        <w:rPr>
          <w:lang w:val="en-US"/>
        </w:rPr>
        <w:t>WENRA reference level</w:t>
      </w:r>
      <w:r w:rsidR="006177AE" w:rsidRPr="00234756">
        <w:rPr>
          <w:lang w:val="en-US"/>
        </w:rPr>
        <w:t>s</w:t>
      </w:r>
      <w:r w:rsidRPr="00234756">
        <w:rPr>
          <w:lang w:val="en-US"/>
        </w:rPr>
        <w:t>, Slovenian legislation was revised</w:t>
      </w:r>
      <w:r w:rsidR="00F52DCA" w:rsidRPr="00234756">
        <w:rPr>
          <w:lang w:val="en-US"/>
        </w:rPr>
        <w:t xml:space="preserve"> in aim to incorporate the new DEC approach.</w:t>
      </w:r>
      <w:r w:rsidRPr="00234756">
        <w:rPr>
          <w:lang w:val="en-US"/>
        </w:rPr>
        <w:t xml:space="preserve"> </w:t>
      </w:r>
      <w:r w:rsidR="00870258">
        <w:rPr>
          <w:lang w:val="en-US"/>
        </w:rPr>
        <w:t xml:space="preserve">The </w:t>
      </w:r>
      <w:r w:rsidR="00385FC0" w:rsidRPr="00234756">
        <w:rPr>
          <w:lang w:val="en-US"/>
        </w:rPr>
        <w:t xml:space="preserve">DEC </w:t>
      </w:r>
      <w:r w:rsidR="00456638" w:rsidRPr="00234756">
        <w:rPr>
          <w:lang w:val="en-US"/>
        </w:rPr>
        <w:t xml:space="preserve">definition is set </w:t>
      </w:r>
      <w:r w:rsidR="00385FC0" w:rsidRPr="00234756">
        <w:rPr>
          <w:lang w:val="en-US"/>
        </w:rPr>
        <w:t>in the</w:t>
      </w:r>
      <w:r w:rsidR="00840579" w:rsidRPr="00234756">
        <w:rPr>
          <w:lang w:val="en-US"/>
        </w:rPr>
        <w:t xml:space="preserve"> Slovenian nuclear safety act [</w:t>
      </w:r>
      <w:r w:rsidR="00957FFE">
        <w:rPr>
          <w:lang w:val="en-US"/>
        </w:rPr>
        <w:t>6</w:t>
      </w:r>
      <w:r w:rsidR="00385FC0" w:rsidRPr="00234756">
        <w:rPr>
          <w:lang w:val="en-US"/>
        </w:rPr>
        <w:t>]</w:t>
      </w:r>
      <w:r w:rsidR="003F4B3C" w:rsidRPr="00234756">
        <w:rPr>
          <w:lang w:val="en-US"/>
        </w:rPr>
        <w:t>. T</w:t>
      </w:r>
      <w:r w:rsidR="00456638" w:rsidRPr="00234756">
        <w:rPr>
          <w:lang w:val="en-US"/>
        </w:rPr>
        <w:t xml:space="preserve">he </w:t>
      </w:r>
      <w:r w:rsidR="003F4B3C" w:rsidRPr="00234756">
        <w:rPr>
          <w:lang w:val="en-US"/>
        </w:rPr>
        <w:t>DEC</w:t>
      </w:r>
      <w:r w:rsidR="00456638" w:rsidRPr="00234756">
        <w:rPr>
          <w:lang w:val="en-US"/>
        </w:rPr>
        <w:t xml:space="preserve"> requirement</w:t>
      </w:r>
      <w:r w:rsidR="00E61BFF" w:rsidRPr="00234756">
        <w:rPr>
          <w:lang w:val="en-US"/>
        </w:rPr>
        <w:t>s</w:t>
      </w:r>
      <w:r w:rsidR="006632BA">
        <w:rPr>
          <w:lang w:val="en-US"/>
        </w:rPr>
        <w:t>,</w:t>
      </w:r>
      <w:r w:rsidR="00385FC0" w:rsidRPr="00234756">
        <w:rPr>
          <w:lang w:val="en-US"/>
        </w:rPr>
        <w:t xml:space="preserve"> </w:t>
      </w:r>
      <w:r w:rsidR="003F4B3C" w:rsidRPr="00234756">
        <w:rPr>
          <w:lang w:val="en-US"/>
        </w:rPr>
        <w:t>including WENRA safety reference levels regarding spent fuel storage</w:t>
      </w:r>
      <w:r w:rsidR="006632BA">
        <w:rPr>
          <w:lang w:val="en-US"/>
        </w:rPr>
        <w:t>,</w:t>
      </w:r>
      <w:r w:rsidR="003F4B3C" w:rsidRPr="00234756">
        <w:rPr>
          <w:lang w:val="en-US"/>
        </w:rPr>
        <w:t xml:space="preserve"> </w:t>
      </w:r>
      <w:r w:rsidR="00E61BFF" w:rsidRPr="00234756">
        <w:rPr>
          <w:lang w:val="en-US"/>
        </w:rPr>
        <w:t xml:space="preserve">are </w:t>
      </w:r>
      <w:r w:rsidR="003F4B3C" w:rsidRPr="00234756">
        <w:rPr>
          <w:lang w:val="en-US"/>
        </w:rPr>
        <w:t>prescribed</w:t>
      </w:r>
      <w:r w:rsidR="00385FC0" w:rsidRPr="00234756">
        <w:rPr>
          <w:lang w:val="en-US"/>
        </w:rPr>
        <w:t xml:space="preserve"> in Rules on radiation and</w:t>
      </w:r>
      <w:r w:rsidR="00840579" w:rsidRPr="00234756">
        <w:rPr>
          <w:lang w:val="en-US"/>
        </w:rPr>
        <w:t xml:space="preserve"> nuclear safety factors</w:t>
      </w:r>
      <w:r w:rsidR="00F6522B">
        <w:rPr>
          <w:lang w:val="en-US"/>
        </w:rPr>
        <w:t xml:space="preserve"> -</w:t>
      </w:r>
      <w:r w:rsidR="00840579" w:rsidRPr="00234756">
        <w:rPr>
          <w:lang w:val="en-US"/>
        </w:rPr>
        <w:t xml:space="preserve"> JV5 [</w:t>
      </w:r>
      <w:r w:rsidR="00957FFE">
        <w:rPr>
          <w:lang w:val="en-US"/>
        </w:rPr>
        <w:t>7</w:t>
      </w:r>
      <w:r w:rsidR="00385FC0" w:rsidRPr="00234756">
        <w:rPr>
          <w:lang w:val="en-US"/>
        </w:rPr>
        <w:t xml:space="preserve">]. </w:t>
      </w:r>
      <w:r w:rsidR="00E61BFF" w:rsidRPr="00234756">
        <w:rPr>
          <w:lang w:val="en-US"/>
        </w:rPr>
        <w:t>T</w:t>
      </w:r>
      <w:r w:rsidR="00385FC0" w:rsidRPr="00234756">
        <w:rPr>
          <w:lang w:val="en-US"/>
        </w:rPr>
        <w:t xml:space="preserve">he </w:t>
      </w:r>
      <w:r w:rsidR="00E61BFF" w:rsidRPr="00234756">
        <w:rPr>
          <w:lang w:val="en-US"/>
        </w:rPr>
        <w:t xml:space="preserve">new </w:t>
      </w:r>
      <w:r w:rsidR="00385FC0" w:rsidRPr="00234756">
        <w:rPr>
          <w:lang w:val="en-US"/>
        </w:rPr>
        <w:t>SNSA practical guideline</w:t>
      </w:r>
      <w:r w:rsidR="006632BA">
        <w:rPr>
          <w:lang w:val="en-US"/>
        </w:rPr>
        <w:t xml:space="preserve"> even </w:t>
      </w:r>
      <w:r w:rsidR="00E61BFF" w:rsidRPr="00234756">
        <w:rPr>
          <w:lang w:val="en-US"/>
        </w:rPr>
        <w:t>define</w:t>
      </w:r>
      <w:r w:rsidR="006632BA">
        <w:rPr>
          <w:lang w:val="en-US"/>
        </w:rPr>
        <w:t>s</w:t>
      </w:r>
      <w:r w:rsidR="00385FC0" w:rsidRPr="00234756">
        <w:rPr>
          <w:lang w:val="en-US"/>
        </w:rPr>
        <w:t xml:space="preserve"> </w:t>
      </w:r>
      <w:r w:rsidR="006632BA" w:rsidRPr="006632BA">
        <w:rPr>
          <w:lang w:val="en-US"/>
        </w:rPr>
        <w:t xml:space="preserve">in more detail </w:t>
      </w:r>
      <w:r w:rsidR="006632BA">
        <w:rPr>
          <w:lang w:val="en-US"/>
        </w:rPr>
        <w:t xml:space="preserve">DEC approach and </w:t>
      </w:r>
      <w:r w:rsidR="00385FC0" w:rsidRPr="00234756">
        <w:rPr>
          <w:lang w:val="en-US"/>
        </w:rPr>
        <w:t xml:space="preserve">the relationship of DEC with </w:t>
      </w:r>
      <w:r w:rsidR="00536083" w:rsidRPr="00234756">
        <w:rPr>
          <w:lang w:val="en-US"/>
        </w:rPr>
        <w:t xml:space="preserve">plant states </w:t>
      </w:r>
      <w:r w:rsidR="00957FFE">
        <w:rPr>
          <w:lang w:val="en-US"/>
        </w:rPr>
        <w:t>[8</w:t>
      </w:r>
      <w:r w:rsidR="00385FC0" w:rsidRPr="00234756">
        <w:rPr>
          <w:lang w:val="en-US"/>
        </w:rPr>
        <w:t>].</w:t>
      </w:r>
    </w:p>
    <w:p w14:paraId="7461889A" w14:textId="79AF714F" w:rsidR="00D539FF" w:rsidRPr="00234756" w:rsidRDefault="00D539FF" w:rsidP="005C6133">
      <w:pPr>
        <w:pStyle w:val="Telobesedila"/>
        <w:rPr>
          <w:lang w:val="en-US"/>
        </w:rPr>
      </w:pPr>
      <w:bookmarkStart w:id="1" w:name="_Hlk1653072"/>
      <w:r w:rsidRPr="00234756">
        <w:rPr>
          <w:lang w:val="en-US"/>
        </w:rPr>
        <w:t xml:space="preserve">The basic </w:t>
      </w:r>
      <w:r w:rsidR="005C6133" w:rsidRPr="00234756">
        <w:rPr>
          <w:lang w:val="en-US"/>
        </w:rPr>
        <w:t xml:space="preserve">DEC </w:t>
      </w:r>
      <w:r w:rsidRPr="00234756">
        <w:rPr>
          <w:lang w:val="en-US"/>
        </w:rPr>
        <w:t xml:space="preserve">requirements </w:t>
      </w:r>
      <w:r w:rsidR="005C6133" w:rsidRPr="00234756">
        <w:rPr>
          <w:lang w:val="en-US"/>
        </w:rPr>
        <w:t xml:space="preserve">for the spent fuel are </w:t>
      </w:r>
      <w:r w:rsidRPr="00234756">
        <w:rPr>
          <w:lang w:val="en-US"/>
        </w:rPr>
        <w:t>defined in the JV5 as follows [</w:t>
      </w:r>
      <w:r w:rsidR="00957FFE">
        <w:rPr>
          <w:lang w:val="en-US"/>
        </w:rPr>
        <w:t>1,7</w:t>
      </w:r>
      <w:r w:rsidRPr="00234756">
        <w:rPr>
          <w:lang w:val="en-US"/>
        </w:rPr>
        <w:t>]:</w:t>
      </w:r>
    </w:p>
    <w:bookmarkEnd w:id="1"/>
    <w:p w14:paraId="1C6A914A" w14:textId="170F0539" w:rsidR="006F1764" w:rsidRPr="006F1764" w:rsidRDefault="00580C6C" w:rsidP="006F1764">
      <w:pPr>
        <w:pStyle w:val="Telobesedila"/>
        <w:numPr>
          <w:ilvl w:val="0"/>
          <w:numId w:val="12"/>
        </w:numPr>
      </w:pPr>
      <w:r>
        <w:t>A</w:t>
      </w:r>
      <w:r w:rsidR="006F1764" w:rsidRPr="006F1764">
        <w:t>ll possible measures have to be taken with the goal that a DEC B becomes extremely unlikely to occur</w:t>
      </w:r>
      <w:r>
        <w:t xml:space="preserve"> f</w:t>
      </w:r>
      <w:r w:rsidRPr="00580C6C">
        <w:t>or the spent fuel storage</w:t>
      </w:r>
      <w:r w:rsidR="006F1764" w:rsidRPr="006F1764">
        <w:t>.</w:t>
      </w:r>
      <w:r w:rsidR="006F1764" w:rsidRPr="006F1764">
        <w:rPr>
          <w:lang w:val="en-US"/>
        </w:rPr>
        <w:t xml:space="preserve"> </w:t>
      </w:r>
    </w:p>
    <w:p w14:paraId="2A6D5311" w14:textId="74CDF630" w:rsidR="00F6522B" w:rsidRDefault="00F6522B" w:rsidP="00F6522B">
      <w:pPr>
        <w:pStyle w:val="Telobesedila"/>
        <w:numPr>
          <w:ilvl w:val="0"/>
          <w:numId w:val="12"/>
        </w:numPr>
        <w:rPr>
          <w:lang w:val="en-US"/>
        </w:rPr>
      </w:pPr>
      <w:r w:rsidRPr="00F6522B">
        <w:rPr>
          <w:lang w:val="en-US"/>
        </w:rPr>
        <w:t>Safety functions for spent fuel storage shall be fulfilled during the operational states, design basis accident and DEC A. They are sub-criticality, heat removal and confining radioactive material. Residual-heat removal shall be provided during normal operation, anticipated operational occurrences, design basis accidents and DEC A, taking into account the assumption of a single failure and the loss of off-site power. Dry storage of spent fuel shall be based primarily on the use of passive residual heat removal.</w:t>
      </w:r>
    </w:p>
    <w:p w14:paraId="500AB9B1" w14:textId="69F395AF" w:rsidR="00BC5D7C" w:rsidRDefault="00BC5D7C" w:rsidP="00BC5D7C">
      <w:pPr>
        <w:pStyle w:val="Telobesedila"/>
        <w:numPr>
          <w:ilvl w:val="0"/>
          <w:numId w:val="12"/>
        </w:numPr>
        <w:rPr>
          <w:lang w:val="en-US"/>
        </w:rPr>
      </w:pPr>
      <w:r w:rsidRPr="00BC5D7C">
        <w:rPr>
          <w:lang w:val="en-US"/>
        </w:rPr>
        <w:t xml:space="preserve">Sufficient independent and diverse means (including necessary power and water supplies available) shall be in place to remove the residual heat from the spent fuel during DEC A, considering the assumption of the loss of off-site power. At least one of diverse means shall be effective in case of events involving external hazards more severe than design basis events. </w:t>
      </w:r>
    </w:p>
    <w:p w14:paraId="40C25B60" w14:textId="773F297E" w:rsidR="00D90A86" w:rsidRPr="00D90A86" w:rsidRDefault="00D90A86" w:rsidP="00D90A86">
      <w:pPr>
        <w:pStyle w:val="Telobesedila"/>
        <w:numPr>
          <w:ilvl w:val="0"/>
          <w:numId w:val="12"/>
        </w:numPr>
        <w:rPr>
          <w:lang w:val="en-US"/>
        </w:rPr>
      </w:pPr>
      <w:r w:rsidRPr="00D90A86">
        <w:rPr>
          <w:lang w:val="en-US"/>
        </w:rPr>
        <w:t xml:space="preserve">For the fulfilment (or reestablishment) of the safety functions, the use of mobile equipment onsite can be considered, as well as support from off-site with due consideration for the time required for it to be available. For the mobile equipment permanent connecting points accessible (from a physical and radiological point of view) under DEC shall be installed. It shall be demonstrated that </w:t>
      </w:r>
      <w:r w:rsidR="002474E7">
        <w:rPr>
          <w:lang w:val="en-US"/>
        </w:rPr>
        <w:t>systems, structures and components</w:t>
      </w:r>
      <w:r w:rsidRPr="00D90A86">
        <w:rPr>
          <w:lang w:val="en-US"/>
        </w:rPr>
        <w:t xml:space="preserve"> </w:t>
      </w:r>
      <w:r w:rsidR="007D1E7D">
        <w:rPr>
          <w:lang w:val="en-US"/>
        </w:rPr>
        <w:t xml:space="preserve">(SSC) </w:t>
      </w:r>
      <w:r w:rsidRPr="00D90A86">
        <w:rPr>
          <w:lang w:val="en-US"/>
        </w:rPr>
        <w:t>including mobile equipment have the capacity and capability and are adequately qualified to perform their relevant functions for the appropriate period. The mobile equipment and the connecting points and lines shall be maintained, inspected and tested.</w:t>
      </w:r>
    </w:p>
    <w:p w14:paraId="17CF2C61" w14:textId="3E1E45EC" w:rsidR="00AD046F" w:rsidRPr="00234756" w:rsidRDefault="00AD046F" w:rsidP="00AD046F">
      <w:pPr>
        <w:pStyle w:val="Telobesedila"/>
        <w:numPr>
          <w:ilvl w:val="0"/>
          <w:numId w:val="12"/>
        </w:numPr>
        <w:rPr>
          <w:lang w:val="en-US"/>
        </w:rPr>
      </w:pPr>
      <w:r w:rsidRPr="00234756">
        <w:rPr>
          <w:lang w:val="en-US"/>
        </w:rPr>
        <w:t xml:space="preserve">The evaluation of external natural events shall consider earthquakes, flooding, extreme weather conditions, i.e. the effects of high and low temperatures, snow, ice, high winds, lightning, ice, and combinations thereof. </w:t>
      </w:r>
    </w:p>
    <w:p w14:paraId="7959A7CB" w14:textId="0BC282F0" w:rsidR="00AD046F" w:rsidRPr="00234756" w:rsidRDefault="00AD046F" w:rsidP="00AD046F">
      <w:pPr>
        <w:pStyle w:val="Telobesedila"/>
        <w:ind w:left="360" w:firstLine="0"/>
        <w:rPr>
          <w:lang w:val="en-US"/>
        </w:rPr>
      </w:pPr>
      <w:r w:rsidRPr="00234756">
        <w:rPr>
          <w:lang w:val="en-US"/>
        </w:rPr>
        <w:t xml:space="preserve">The safety demonstration in relation to natural hazards shall include assessments of the design basis and DEC with the aim to identify needs and opportunities for improvement. </w:t>
      </w:r>
    </w:p>
    <w:p w14:paraId="4BF790D8" w14:textId="3C7F24AA" w:rsidR="00AD046F" w:rsidRDefault="00AD046F" w:rsidP="005C6133">
      <w:pPr>
        <w:pStyle w:val="Odstavekseznama"/>
        <w:numPr>
          <w:ilvl w:val="0"/>
          <w:numId w:val="12"/>
        </w:numPr>
        <w:rPr>
          <w:sz w:val="20"/>
          <w:lang w:val="en-US"/>
        </w:rPr>
      </w:pPr>
      <w:r w:rsidRPr="00234756">
        <w:rPr>
          <w:sz w:val="20"/>
          <w:lang w:val="en-US"/>
        </w:rPr>
        <w:t>For the large commercial aircraft crash to the storage facility the functionality of equipment important to safety shall be ensured during and after such an event.</w:t>
      </w:r>
    </w:p>
    <w:p w14:paraId="74AE6B31" w14:textId="43A46D83" w:rsidR="00475466" w:rsidRPr="00475466" w:rsidRDefault="00475466" w:rsidP="00475466">
      <w:pPr>
        <w:pStyle w:val="Odstavekseznama"/>
        <w:numPr>
          <w:ilvl w:val="0"/>
          <w:numId w:val="12"/>
        </w:numPr>
        <w:rPr>
          <w:sz w:val="20"/>
          <w:lang w:val="en-US"/>
        </w:rPr>
      </w:pPr>
      <w:r w:rsidRPr="00475466">
        <w:rPr>
          <w:sz w:val="20"/>
          <w:lang w:val="en-US"/>
        </w:rPr>
        <w:t xml:space="preserve">Massive collapse of building structures or consequential heavy load drops on spent fuel or other safety-related SSCs shall be prevented. Safety related </w:t>
      </w:r>
      <w:r w:rsidR="00195EDF">
        <w:rPr>
          <w:sz w:val="20"/>
          <w:lang w:val="en-US"/>
        </w:rPr>
        <w:t>SSCs</w:t>
      </w:r>
      <w:r w:rsidRPr="00475466">
        <w:rPr>
          <w:sz w:val="20"/>
          <w:lang w:val="en-US"/>
        </w:rPr>
        <w:t xml:space="preserve"> shall be designed to withstand the impacts of internal and external events, including natural events which are site specific and events that are associated with human activity.</w:t>
      </w:r>
    </w:p>
    <w:p w14:paraId="18291BF9" w14:textId="28ED1572" w:rsidR="005C6133" w:rsidRPr="00234756" w:rsidRDefault="005C6133" w:rsidP="005C6133">
      <w:pPr>
        <w:pStyle w:val="Telobesedila"/>
        <w:numPr>
          <w:ilvl w:val="0"/>
          <w:numId w:val="12"/>
        </w:numPr>
        <w:rPr>
          <w:lang w:val="en-US"/>
        </w:rPr>
      </w:pPr>
      <w:r w:rsidRPr="00234756">
        <w:rPr>
          <w:lang w:val="en-US"/>
        </w:rPr>
        <w:t>Appropriate ventilation systems shall be provided to ensure the confinement of airborne radioactive particles during operational states, design basis accidents and DEC</w:t>
      </w:r>
      <w:r w:rsidR="0032790C">
        <w:rPr>
          <w:lang w:val="en-US"/>
        </w:rPr>
        <w:t xml:space="preserve"> </w:t>
      </w:r>
      <w:r w:rsidRPr="00234756">
        <w:rPr>
          <w:lang w:val="en-US"/>
        </w:rPr>
        <w:t xml:space="preserve">A. </w:t>
      </w:r>
    </w:p>
    <w:p w14:paraId="53BB899E" w14:textId="1E62F922" w:rsidR="00673F1B" w:rsidRDefault="006D08C9" w:rsidP="00F37E68">
      <w:pPr>
        <w:pStyle w:val="Telobesedila"/>
        <w:numPr>
          <w:ilvl w:val="0"/>
          <w:numId w:val="12"/>
        </w:numPr>
        <w:rPr>
          <w:lang w:val="en-US"/>
        </w:rPr>
      </w:pPr>
      <w:r w:rsidRPr="00234756">
        <w:rPr>
          <w:lang w:val="en-US"/>
        </w:rPr>
        <w:t>Adequately qualified instrumentations shall be available for DEC for determining the status of spent fuel storage and safety functions as far as required for making decisions on-site as well as off-site in case DEC</w:t>
      </w:r>
      <w:r w:rsidR="007055E0">
        <w:rPr>
          <w:lang w:val="en-US"/>
        </w:rPr>
        <w:t xml:space="preserve"> </w:t>
      </w:r>
      <w:r w:rsidRPr="00234756">
        <w:rPr>
          <w:lang w:val="en-US"/>
        </w:rPr>
        <w:t>B.</w:t>
      </w:r>
    </w:p>
    <w:p w14:paraId="0B60DD2B" w14:textId="6E209240" w:rsidR="0058654F" w:rsidRDefault="002F509B" w:rsidP="004D0F7E">
      <w:pPr>
        <w:pStyle w:val="Naslov2"/>
        <w:numPr>
          <w:ilvl w:val="1"/>
          <w:numId w:val="5"/>
        </w:numPr>
      </w:pPr>
      <w:r>
        <w:t xml:space="preserve">NEW </w:t>
      </w:r>
      <w:r w:rsidR="003E6AE5" w:rsidRPr="003E6AE5">
        <w:t>SPENT FUEL DRY STORAGE AT THE KRŠKO NPP</w:t>
      </w:r>
    </w:p>
    <w:p w14:paraId="3F7835C2" w14:textId="0E79E1B6" w:rsidR="00486DD5" w:rsidRDefault="00996567" w:rsidP="00486DD5">
      <w:pPr>
        <w:pStyle w:val="Telobesedila"/>
      </w:pPr>
      <w:r>
        <w:t xml:space="preserve">Currently, the </w:t>
      </w:r>
      <w:r w:rsidR="0067616A">
        <w:t xml:space="preserve">Krško NPP </w:t>
      </w:r>
      <w:r w:rsidR="00A965F0">
        <w:t>spent fuel</w:t>
      </w:r>
      <w:r w:rsidR="0067616A">
        <w:t xml:space="preserve"> assemblies</w:t>
      </w:r>
      <w:r w:rsidR="00981254">
        <w:t xml:space="preserve"> </w:t>
      </w:r>
      <w:r w:rsidR="0067616A">
        <w:t>are</w:t>
      </w:r>
      <w:r>
        <w:t xml:space="preserve"> stored in the spent fuel pool</w:t>
      </w:r>
      <w:r w:rsidR="00424412">
        <w:t>, which is</w:t>
      </w:r>
      <w:r w:rsidR="00536D87">
        <w:t xml:space="preserve"> on </w:t>
      </w:r>
      <w:r w:rsidR="00424412">
        <w:t xml:space="preserve">the </w:t>
      </w:r>
      <w:r w:rsidR="00536D87">
        <w:t>site</w:t>
      </w:r>
      <w:r w:rsidR="0067616A">
        <w:t>.</w:t>
      </w:r>
      <w:r w:rsidR="00486DD5">
        <w:t xml:space="preserve"> The spent fuel pool has 1709 positions in the racks to store spent fuel assemblies.</w:t>
      </w:r>
      <w:r>
        <w:t xml:space="preserve"> </w:t>
      </w:r>
      <w:r w:rsidR="00486DD5">
        <w:t>Some positions are administratively prohibited or physically inaccessible for actual use. Considering the extended plant life to 2043 a total of 2282 spent fuel assemblies are expected to be stored inside the spent fuel pool.</w:t>
      </w:r>
    </w:p>
    <w:p w14:paraId="657B9C7A" w14:textId="7A4492B2" w:rsidR="00A965F0" w:rsidRDefault="00030E43" w:rsidP="00486DD5">
      <w:pPr>
        <w:pStyle w:val="Telobesedila"/>
      </w:pPr>
      <w:r>
        <w:t xml:space="preserve">Immediately, after </w:t>
      </w:r>
      <w:r w:rsidR="00A965F0">
        <w:t>Fukushima accident, the Krško NPP performed a Special Safety Review in line with the ENSREG specifications f</w:t>
      </w:r>
      <w:r w:rsidR="000E4D89">
        <w:t>or EU Stress Tests for NPPs. Based on stress tests’</w:t>
      </w:r>
      <w:r w:rsidR="00A965F0">
        <w:t xml:space="preserve"> results </w:t>
      </w:r>
      <w:r w:rsidR="000E4D89">
        <w:t>the NPP</w:t>
      </w:r>
      <w:r w:rsidR="00996567">
        <w:t xml:space="preserve"> Krško</w:t>
      </w:r>
      <w:r w:rsidR="000E4D89">
        <w:t xml:space="preserve"> </w:t>
      </w:r>
      <w:r w:rsidR="0067616A">
        <w:t>prepared</w:t>
      </w:r>
      <w:r w:rsidR="000E4D89">
        <w:t xml:space="preserve"> </w:t>
      </w:r>
      <w:r w:rsidR="00CE14B0">
        <w:t>operation and management restriction</w:t>
      </w:r>
      <w:r w:rsidR="000E4D89">
        <w:t xml:space="preserve"> for the storage</w:t>
      </w:r>
      <w:r w:rsidR="00A965F0">
        <w:t xml:space="preserve"> of spent fuel assemblies</w:t>
      </w:r>
      <w:r w:rsidR="0067616A">
        <w:t xml:space="preserve"> in the spent fuel pool</w:t>
      </w:r>
      <w:r w:rsidR="00996567">
        <w:t xml:space="preserve"> [1]</w:t>
      </w:r>
      <w:r w:rsidR="00A965F0">
        <w:t>. The available</w:t>
      </w:r>
      <w:r w:rsidR="0067616A">
        <w:t xml:space="preserve"> </w:t>
      </w:r>
      <w:r w:rsidR="000E4D89">
        <w:t>storage locations in the</w:t>
      </w:r>
      <w:r w:rsidR="00A965F0">
        <w:t xml:space="preserve"> spent fuel </w:t>
      </w:r>
      <w:r w:rsidR="000E4D89">
        <w:t xml:space="preserve">pool </w:t>
      </w:r>
      <w:r w:rsidR="00A965F0">
        <w:t>is estim</w:t>
      </w:r>
      <w:r w:rsidR="00BA7858">
        <w:t>ated to be sufficient until 2021</w:t>
      </w:r>
      <w:r w:rsidR="00A965F0">
        <w:t xml:space="preserve">. </w:t>
      </w:r>
      <w:r w:rsidR="0017436C">
        <w:t>Based on this fact, t</w:t>
      </w:r>
      <w:r w:rsidR="00A965F0">
        <w:t xml:space="preserve">he </w:t>
      </w:r>
      <w:r w:rsidR="0017436C">
        <w:t>proposed</w:t>
      </w:r>
      <w:r w:rsidR="00A965F0">
        <w:t xml:space="preserve"> </w:t>
      </w:r>
      <w:r w:rsidR="00424412">
        <w:t xml:space="preserve">new </w:t>
      </w:r>
      <w:r w:rsidR="00A965F0">
        <w:t>spent fuel managem</w:t>
      </w:r>
      <w:r w:rsidR="000E4D89">
        <w:t>ent strategy</w:t>
      </w:r>
      <w:r w:rsidR="00CE14B0">
        <w:t xml:space="preserve"> is </w:t>
      </w:r>
      <w:r w:rsidR="00A965F0">
        <w:t xml:space="preserve">storing the spent fuel in </w:t>
      </w:r>
      <w:r w:rsidR="0017436C">
        <w:t xml:space="preserve">a new SFDS </w:t>
      </w:r>
      <w:r w:rsidR="00A965F0">
        <w:t xml:space="preserve">with a possibility </w:t>
      </w:r>
      <w:r w:rsidR="00CE14B0">
        <w:t>of</w:t>
      </w:r>
      <w:r w:rsidR="00A965F0">
        <w:t xml:space="preserve"> later </w:t>
      </w:r>
      <w:r w:rsidR="00A965F0">
        <w:lastRenderedPageBreak/>
        <w:t>reprocessing</w:t>
      </w:r>
      <w:r w:rsidR="0017436C">
        <w:t>.</w:t>
      </w:r>
      <w:r w:rsidR="00424412" w:rsidRPr="00424412">
        <w:rPr>
          <w:sz w:val="22"/>
        </w:rPr>
        <w:t xml:space="preserve"> </w:t>
      </w:r>
      <w:r w:rsidR="00424412" w:rsidRPr="00424412">
        <w:t>From the technical point of view</w:t>
      </w:r>
      <w:r w:rsidR="00424412">
        <w:t>, t</w:t>
      </w:r>
      <w:r w:rsidR="0017436C">
        <w:t>his option</w:t>
      </w:r>
      <w:r w:rsidR="00E84F30" w:rsidRPr="00E84F30">
        <w:t xml:space="preserve"> is</w:t>
      </w:r>
      <w:r w:rsidR="00424412">
        <w:t xml:space="preserve"> </w:t>
      </w:r>
      <w:r w:rsidR="00E84F30" w:rsidRPr="00E84F30">
        <w:t xml:space="preserve">the best </w:t>
      </w:r>
      <w:r w:rsidR="0017436C">
        <w:t xml:space="preserve">storage </w:t>
      </w:r>
      <w:r w:rsidR="00E84F30" w:rsidRPr="00E84F30">
        <w:t>strategy</w:t>
      </w:r>
      <w:r w:rsidR="0017436C">
        <w:t xml:space="preserve"> for spent fuel </w:t>
      </w:r>
      <w:r w:rsidR="00E84F30" w:rsidRPr="00E84F30">
        <w:t>at the moment</w:t>
      </w:r>
      <w:r w:rsidR="00996567">
        <w:t xml:space="preserve"> [1]</w:t>
      </w:r>
      <w:r w:rsidR="00A965F0">
        <w:t xml:space="preserve">. </w:t>
      </w:r>
    </w:p>
    <w:p w14:paraId="022E8F73" w14:textId="6257A744" w:rsidR="00A965F0" w:rsidRDefault="001910CB" w:rsidP="00A965F0">
      <w:pPr>
        <w:pStyle w:val="Telobesedila"/>
      </w:pPr>
      <w:r>
        <w:t>Based on the requirements of SNSA, t</w:t>
      </w:r>
      <w:r w:rsidR="00A965F0">
        <w:t>he Krško NPP has prepa</w:t>
      </w:r>
      <w:r w:rsidR="000E4D89">
        <w:t>red the</w:t>
      </w:r>
      <w:r w:rsidR="005B1392">
        <w:t xml:space="preserve"> plant</w:t>
      </w:r>
      <w:r w:rsidR="000E4D89">
        <w:t xml:space="preserve"> </w:t>
      </w:r>
      <w:r w:rsidR="008F1660">
        <w:t>safety upgrade program</w:t>
      </w:r>
      <w:r>
        <w:t>.</w:t>
      </w:r>
      <w:r w:rsidR="00A965F0">
        <w:t xml:space="preserve"> </w:t>
      </w:r>
      <w:r>
        <w:t>The aim of the program is up</w:t>
      </w:r>
      <w:r w:rsidR="002616C9">
        <w:t>grade</w:t>
      </w:r>
      <w:r w:rsidR="008F1660">
        <w:t xml:space="preserve"> the Krško NPP </w:t>
      </w:r>
      <w:r w:rsidR="002616C9">
        <w:t xml:space="preserve">safety in case of severe conditions </w:t>
      </w:r>
      <w:r w:rsidR="00A965F0">
        <w:t xml:space="preserve">and </w:t>
      </w:r>
      <w:r w:rsidR="008F1660">
        <w:t xml:space="preserve">also introduce and </w:t>
      </w:r>
      <w:r w:rsidR="00A965F0">
        <w:t xml:space="preserve">improve the means to successfully mitigate their consequences. </w:t>
      </w:r>
      <w:r w:rsidR="002616C9">
        <w:t xml:space="preserve">The </w:t>
      </w:r>
      <w:r w:rsidR="008F1660">
        <w:t xml:space="preserve">new </w:t>
      </w:r>
      <w:r w:rsidR="002616C9">
        <w:t>modifications including in t</w:t>
      </w:r>
      <w:r w:rsidR="00A965F0">
        <w:t xml:space="preserve">he </w:t>
      </w:r>
      <w:r w:rsidR="008F1660">
        <w:t>safety upgrade program</w:t>
      </w:r>
      <w:r w:rsidR="00A965F0">
        <w:t xml:space="preserve"> </w:t>
      </w:r>
      <w:r w:rsidR="00A1194B">
        <w:t>are</w:t>
      </w:r>
      <w:r w:rsidR="002616C9">
        <w:t xml:space="preserve"> </w:t>
      </w:r>
      <w:r w:rsidR="00A965F0">
        <w:t xml:space="preserve">grouped in </w:t>
      </w:r>
      <w:r w:rsidR="00A1194B">
        <w:t>three</w:t>
      </w:r>
      <w:r w:rsidR="00A965F0">
        <w:t xml:space="preserve"> phases</w:t>
      </w:r>
      <w:r w:rsidR="00A1194B">
        <w:t>, part of the Phase 3</w:t>
      </w:r>
      <w:r w:rsidR="008F1660">
        <w:t xml:space="preserve"> </w:t>
      </w:r>
      <w:r w:rsidR="00A1194B">
        <w:t xml:space="preserve">is also the </w:t>
      </w:r>
      <w:r w:rsidR="002616C9">
        <w:t xml:space="preserve">construction of </w:t>
      </w:r>
      <w:r w:rsidR="004A38A9">
        <w:t xml:space="preserve">new </w:t>
      </w:r>
      <w:r w:rsidR="002616C9">
        <w:t>SFDS</w:t>
      </w:r>
      <w:r w:rsidR="00A965F0">
        <w:t>. Th</w:t>
      </w:r>
      <w:r w:rsidR="004A38A9">
        <w:t xml:space="preserve">e </w:t>
      </w:r>
      <w:r w:rsidR="0098793E">
        <w:t xml:space="preserve">SFDS </w:t>
      </w:r>
      <w:r w:rsidR="00A965F0">
        <w:t>with the belonging systems a</w:t>
      </w:r>
      <w:r w:rsidR="00752D2A">
        <w:t>nd components shall fulfil DEC</w:t>
      </w:r>
      <w:r w:rsidR="00A965F0">
        <w:t xml:space="preserve"> condit</w:t>
      </w:r>
      <w:r w:rsidR="00141A31">
        <w:t>ions in accordance with</w:t>
      </w:r>
      <w:r w:rsidR="008F1660">
        <w:t xml:space="preserve"> </w:t>
      </w:r>
      <w:r w:rsidR="00A965F0">
        <w:t>DEC requirements</w:t>
      </w:r>
      <w:r w:rsidR="008F1660">
        <w:t>. The</w:t>
      </w:r>
      <w:r w:rsidR="002E62D3">
        <w:t xml:space="preserve"> general DEC requirements</w:t>
      </w:r>
      <w:r w:rsidR="008F1660">
        <w:t xml:space="preserve"> are set in regulations</w:t>
      </w:r>
      <w:r w:rsidR="002E62D3">
        <w:t xml:space="preserve"> and additional </w:t>
      </w:r>
      <w:r w:rsidR="0098793E">
        <w:t xml:space="preserve">ones </w:t>
      </w:r>
      <w:r w:rsidR="002E62D3">
        <w:t xml:space="preserve">specified </w:t>
      </w:r>
      <w:r w:rsidR="008F1660">
        <w:t>by SNSA and Krško NPP</w:t>
      </w:r>
      <w:r w:rsidR="0098793E">
        <w:t xml:space="preserve"> (</w:t>
      </w:r>
      <w:r w:rsidR="00981254">
        <w:t>Table 1</w:t>
      </w:r>
      <w:r w:rsidR="0098793E">
        <w:t>)</w:t>
      </w:r>
      <w:r w:rsidR="002616C9">
        <w:t xml:space="preserve"> [1</w:t>
      </w:r>
      <w:r w:rsidR="00957FFE">
        <w:t>,9</w:t>
      </w:r>
      <w:r w:rsidR="002616C9">
        <w:t>]</w:t>
      </w:r>
      <w:r w:rsidR="00A965F0">
        <w:t>.</w:t>
      </w:r>
    </w:p>
    <w:p w14:paraId="13BE1482" w14:textId="77777777" w:rsidR="00141A31" w:rsidRDefault="00141A31" w:rsidP="00A965F0">
      <w:pPr>
        <w:pStyle w:val="Telobesedila"/>
      </w:pPr>
    </w:p>
    <w:p w14:paraId="4F4CE919" w14:textId="242C7132" w:rsidR="00141A31" w:rsidRPr="00141A31" w:rsidRDefault="00141A31" w:rsidP="00141A31">
      <w:pPr>
        <w:pStyle w:val="Telobesedila"/>
      </w:pPr>
      <w:r w:rsidRPr="00141A31">
        <w:t>TABLE 1.</w:t>
      </w:r>
      <w:r w:rsidRPr="00141A31">
        <w:tab/>
      </w:r>
      <w:r w:rsidRPr="00141A31">
        <w:rPr>
          <w:lang w:val="en-US"/>
        </w:rPr>
        <w:t>Design basis conditions for SFDS.</w:t>
      </w:r>
    </w:p>
    <w:p w14:paraId="5497347B" w14:textId="77777777" w:rsidR="00141A31" w:rsidRPr="00141A31" w:rsidRDefault="00141A31" w:rsidP="00141A31">
      <w:pPr>
        <w:pStyle w:val="Telobesedila"/>
      </w:pPr>
    </w:p>
    <w:tbl>
      <w:tblPr>
        <w:tblStyle w:val="Tabelamrea"/>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
        <w:gridCol w:w="1803"/>
        <w:gridCol w:w="324"/>
        <w:gridCol w:w="1944"/>
        <w:gridCol w:w="425"/>
        <w:gridCol w:w="1843"/>
        <w:gridCol w:w="141"/>
        <w:gridCol w:w="324"/>
      </w:tblGrid>
      <w:tr w:rsidR="00141A31" w:rsidRPr="00141A31" w14:paraId="1EF26A05" w14:textId="77777777" w:rsidTr="00DF72B9">
        <w:trPr>
          <w:gridBefore w:val="1"/>
          <w:wBefore w:w="324" w:type="dxa"/>
          <w:jc w:val="center"/>
        </w:trPr>
        <w:tc>
          <w:tcPr>
            <w:tcW w:w="2127" w:type="dxa"/>
            <w:gridSpan w:val="2"/>
            <w:tcBorders>
              <w:top w:val="single" w:sz="4" w:space="0" w:color="auto"/>
              <w:bottom w:val="single" w:sz="4" w:space="0" w:color="auto"/>
            </w:tcBorders>
          </w:tcPr>
          <w:p w14:paraId="47C528B3" w14:textId="1D853BB8" w:rsidR="00141A31" w:rsidRPr="00141A31" w:rsidRDefault="00141A31" w:rsidP="00DF72B9">
            <w:pPr>
              <w:pStyle w:val="Telobesedila"/>
              <w:ind w:firstLine="0"/>
              <w:jc w:val="center"/>
            </w:pPr>
            <w:r w:rsidRPr="00141A31">
              <w:rPr>
                <w:lang w:val="en-US"/>
              </w:rPr>
              <w:t xml:space="preserve">Environmental </w:t>
            </w:r>
            <w:r w:rsidR="00DF72B9">
              <w:rPr>
                <w:lang w:val="en-US"/>
              </w:rPr>
              <w:t xml:space="preserve">   </w:t>
            </w:r>
            <w:r w:rsidRPr="00141A31">
              <w:rPr>
                <w:lang w:val="en-US"/>
              </w:rPr>
              <w:t>Condition</w:t>
            </w:r>
          </w:p>
        </w:tc>
        <w:tc>
          <w:tcPr>
            <w:tcW w:w="2369" w:type="dxa"/>
            <w:gridSpan w:val="2"/>
            <w:tcBorders>
              <w:top w:val="single" w:sz="4" w:space="0" w:color="auto"/>
              <w:bottom w:val="single" w:sz="4" w:space="0" w:color="auto"/>
            </w:tcBorders>
          </w:tcPr>
          <w:p w14:paraId="1F7657AA" w14:textId="1E6A61A4" w:rsidR="00141A31" w:rsidRPr="00141A31" w:rsidRDefault="00DF72B9" w:rsidP="00DF72B9">
            <w:pPr>
              <w:pStyle w:val="Telobesedila"/>
              <w:ind w:firstLine="0"/>
              <w:jc w:val="left"/>
            </w:pPr>
            <w:r>
              <w:t xml:space="preserve">    </w:t>
            </w:r>
            <w:r w:rsidR="00141A31" w:rsidRPr="00141A31">
              <w:t>Design</w:t>
            </w:r>
            <w:r>
              <w:t xml:space="preserve"> </w:t>
            </w:r>
            <w:r w:rsidR="00141A31" w:rsidRPr="00141A31">
              <w:t>Bases</w:t>
            </w:r>
          </w:p>
        </w:tc>
        <w:tc>
          <w:tcPr>
            <w:tcW w:w="2308" w:type="dxa"/>
            <w:gridSpan w:val="3"/>
            <w:tcBorders>
              <w:top w:val="single" w:sz="4" w:space="0" w:color="auto"/>
              <w:bottom w:val="single" w:sz="4" w:space="0" w:color="auto"/>
            </w:tcBorders>
          </w:tcPr>
          <w:p w14:paraId="1A0DD007" w14:textId="77777777" w:rsidR="00141A31" w:rsidRPr="00141A31" w:rsidRDefault="00141A31" w:rsidP="00DF72B9">
            <w:pPr>
              <w:pStyle w:val="Telobesedila"/>
              <w:ind w:firstLine="0"/>
              <w:jc w:val="center"/>
            </w:pPr>
            <w:r w:rsidRPr="00141A31">
              <w:rPr>
                <w:lang w:val="en-US"/>
              </w:rPr>
              <w:t>Design Extension Conditions</w:t>
            </w:r>
          </w:p>
        </w:tc>
      </w:tr>
      <w:tr w:rsidR="00141A31" w:rsidRPr="00141A31" w14:paraId="36D2EAE9" w14:textId="77777777" w:rsidTr="00897814">
        <w:trPr>
          <w:gridAfter w:val="2"/>
          <w:wAfter w:w="465" w:type="dxa"/>
          <w:jc w:val="center"/>
        </w:trPr>
        <w:tc>
          <w:tcPr>
            <w:tcW w:w="2127" w:type="dxa"/>
            <w:gridSpan w:val="2"/>
            <w:tcBorders>
              <w:top w:val="single" w:sz="4" w:space="0" w:color="auto"/>
            </w:tcBorders>
          </w:tcPr>
          <w:p w14:paraId="54DA149C" w14:textId="77777777" w:rsidR="00141A31" w:rsidRPr="00141A31" w:rsidRDefault="00141A31" w:rsidP="00141A31">
            <w:pPr>
              <w:pStyle w:val="Telobesedila"/>
              <w:rPr>
                <w:lang w:val="en-US"/>
              </w:rPr>
            </w:pPr>
            <w:r w:rsidRPr="00141A31">
              <w:rPr>
                <w:lang w:val="en-US"/>
              </w:rPr>
              <w:t>Earthquake</w:t>
            </w:r>
          </w:p>
          <w:p w14:paraId="4D5599DC" w14:textId="77777777" w:rsidR="00141A31" w:rsidRPr="00141A31" w:rsidRDefault="00141A31" w:rsidP="00141A31">
            <w:pPr>
              <w:pStyle w:val="Telobesedila"/>
              <w:rPr>
                <w:lang w:val="en-US"/>
              </w:rPr>
            </w:pPr>
          </w:p>
          <w:p w14:paraId="67FC6A0E" w14:textId="77777777" w:rsidR="00141A31" w:rsidRPr="00141A31" w:rsidRDefault="00141A31" w:rsidP="00141A31">
            <w:pPr>
              <w:pStyle w:val="Telobesedila"/>
            </w:pPr>
            <w:r w:rsidRPr="00141A31">
              <w:t>Temperature</w:t>
            </w:r>
          </w:p>
        </w:tc>
        <w:tc>
          <w:tcPr>
            <w:tcW w:w="2268" w:type="dxa"/>
            <w:gridSpan w:val="2"/>
            <w:tcBorders>
              <w:top w:val="single" w:sz="4" w:space="0" w:color="auto"/>
            </w:tcBorders>
          </w:tcPr>
          <w:p w14:paraId="597D92D2" w14:textId="77777777" w:rsidR="00141A31" w:rsidRPr="00141A31" w:rsidRDefault="00141A31" w:rsidP="00463C9D">
            <w:pPr>
              <w:pStyle w:val="Telobesedila"/>
              <w:rPr>
                <w:lang w:val="it-IT"/>
              </w:rPr>
            </w:pPr>
            <w:r w:rsidRPr="00141A31">
              <w:rPr>
                <w:lang w:val="it-IT"/>
              </w:rPr>
              <w:t>OBE=0.15g PGA</w:t>
            </w:r>
          </w:p>
          <w:p w14:paraId="4176662B" w14:textId="77777777" w:rsidR="00141A31" w:rsidRPr="00141A31" w:rsidRDefault="00141A31" w:rsidP="00463C9D">
            <w:pPr>
              <w:pStyle w:val="Telobesedila"/>
              <w:rPr>
                <w:lang w:val="it-IT"/>
              </w:rPr>
            </w:pPr>
            <w:r w:rsidRPr="00141A31">
              <w:rPr>
                <w:lang w:val="it-IT"/>
              </w:rPr>
              <w:t>SSE=0.30g PGA</w:t>
            </w:r>
          </w:p>
          <w:p w14:paraId="763A5E54" w14:textId="77777777" w:rsidR="00141A31" w:rsidRPr="00141A31" w:rsidRDefault="00141A31" w:rsidP="00463C9D">
            <w:pPr>
              <w:pStyle w:val="Telobesedila"/>
              <w:rPr>
                <w:lang w:val="it-IT"/>
              </w:rPr>
            </w:pPr>
            <w:r w:rsidRPr="00141A31">
              <w:t>N/A</w:t>
            </w:r>
          </w:p>
        </w:tc>
        <w:tc>
          <w:tcPr>
            <w:tcW w:w="2268" w:type="dxa"/>
            <w:gridSpan w:val="2"/>
            <w:tcBorders>
              <w:top w:val="single" w:sz="4" w:space="0" w:color="auto"/>
            </w:tcBorders>
          </w:tcPr>
          <w:p w14:paraId="3841AD22" w14:textId="77777777" w:rsidR="00141A31" w:rsidRPr="00141A31" w:rsidRDefault="00141A31" w:rsidP="00463C9D">
            <w:pPr>
              <w:pStyle w:val="Telobesedila"/>
              <w:rPr>
                <w:lang w:val="en-US"/>
              </w:rPr>
            </w:pPr>
            <w:r w:rsidRPr="00141A31">
              <w:rPr>
                <w:lang w:val="en-US"/>
              </w:rPr>
              <w:t>0.78g PGA</w:t>
            </w:r>
          </w:p>
          <w:p w14:paraId="4A9BCB7D" w14:textId="77777777" w:rsidR="00141A31" w:rsidRPr="00141A31" w:rsidRDefault="00141A31" w:rsidP="00463C9D">
            <w:pPr>
              <w:pStyle w:val="Telobesedila"/>
              <w:rPr>
                <w:lang w:val="en-US"/>
              </w:rPr>
            </w:pPr>
          </w:p>
          <w:p w14:paraId="55DA67F4" w14:textId="77777777" w:rsidR="00141A31" w:rsidRPr="00141A31" w:rsidRDefault="00141A31" w:rsidP="00463C9D">
            <w:pPr>
              <w:pStyle w:val="Telobesedila"/>
            </w:pPr>
            <w:r w:rsidRPr="00141A31">
              <w:t>max=46.0 ºC</w:t>
            </w:r>
          </w:p>
        </w:tc>
      </w:tr>
      <w:tr w:rsidR="00141A31" w:rsidRPr="00141A31" w14:paraId="7B228099" w14:textId="77777777" w:rsidTr="00897814">
        <w:trPr>
          <w:gridAfter w:val="1"/>
          <w:wAfter w:w="324" w:type="dxa"/>
          <w:jc w:val="center"/>
        </w:trPr>
        <w:tc>
          <w:tcPr>
            <w:tcW w:w="2127" w:type="dxa"/>
            <w:gridSpan w:val="2"/>
          </w:tcPr>
          <w:p w14:paraId="548ABC5E" w14:textId="77777777" w:rsidR="00141A31" w:rsidRPr="00141A31" w:rsidRDefault="00141A31" w:rsidP="00141A31">
            <w:pPr>
              <w:pStyle w:val="Telobesedila"/>
              <w:rPr>
                <w:lang w:val="en-US"/>
              </w:rPr>
            </w:pPr>
            <w:r w:rsidRPr="00141A31">
              <w:rPr>
                <w:lang w:val="en-US"/>
              </w:rPr>
              <w:t>Tornado</w:t>
            </w:r>
          </w:p>
          <w:p w14:paraId="6969462D" w14:textId="77777777" w:rsidR="00141A31" w:rsidRPr="00141A31" w:rsidRDefault="00141A31" w:rsidP="00141A31">
            <w:pPr>
              <w:pStyle w:val="Telobesedila"/>
            </w:pPr>
            <w:r w:rsidRPr="00141A31">
              <w:t>Extreme Wind</w:t>
            </w:r>
          </w:p>
          <w:p w14:paraId="06B618FF" w14:textId="77777777" w:rsidR="00141A31" w:rsidRPr="00141A31" w:rsidRDefault="00141A31" w:rsidP="00141A31">
            <w:pPr>
              <w:pStyle w:val="Telobesedila"/>
            </w:pPr>
            <w:r w:rsidRPr="00141A31">
              <w:t>Glaze Ice</w:t>
            </w:r>
          </w:p>
          <w:p w14:paraId="12E9B0A7" w14:textId="77777777" w:rsidR="00141A31" w:rsidRPr="00141A31" w:rsidRDefault="00141A31" w:rsidP="00141A31">
            <w:pPr>
              <w:pStyle w:val="Telobesedila"/>
            </w:pPr>
            <w:r w:rsidRPr="00141A31">
              <w:t>Flooding</w:t>
            </w:r>
          </w:p>
          <w:p w14:paraId="2A2AAB1F" w14:textId="77777777" w:rsidR="00141A31" w:rsidRPr="00141A31" w:rsidRDefault="00141A31" w:rsidP="00141A31">
            <w:pPr>
              <w:pStyle w:val="Telobesedila"/>
            </w:pPr>
            <w:r w:rsidRPr="00141A31">
              <w:t>Fire</w:t>
            </w:r>
          </w:p>
          <w:p w14:paraId="41F37D6F" w14:textId="77777777" w:rsidR="00141A31" w:rsidRPr="00141A31" w:rsidRDefault="00141A31" w:rsidP="00141A31">
            <w:pPr>
              <w:pStyle w:val="Telobesedila"/>
            </w:pPr>
            <w:r w:rsidRPr="00141A31">
              <w:t>Airplane Crash</w:t>
            </w:r>
          </w:p>
          <w:p w14:paraId="351FD581" w14:textId="77777777" w:rsidR="00141A31" w:rsidRPr="00141A31" w:rsidRDefault="00141A31" w:rsidP="00141A31">
            <w:pPr>
              <w:pStyle w:val="Telobesedila"/>
            </w:pPr>
          </w:p>
          <w:p w14:paraId="214E88F6" w14:textId="5D01401A" w:rsidR="00141A31" w:rsidRPr="00141A31" w:rsidRDefault="00141A31" w:rsidP="00141A31">
            <w:pPr>
              <w:pStyle w:val="Telobesedila"/>
            </w:pPr>
            <w:r w:rsidRPr="00141A31">
              <w:t>Explosion/</w:t>
            </w:r>
          </w:p>
          <w:p w14:paraId="5CE909B3" w14:textId="77777777" w:rsidR="00141A31" w:rsidRPr="00141A31" w:rsidRDefault="00141A31" w:rsidP="00141A31">
            <w:pPr>
              <w:pStyle w:val="Telobesedila"/>
            </w:pPr>
            <w:r w:rsidRPr="00141A31">
              <w:t>pressure wave</w:t>
            </w:r>
          </w:p>
        </w:tc>
        <w:tc>
          <w:tcPr>
            <w:tcW w:w="2268" w:type="dxa"/>
            <w:gridSpan w:val="2"/>
          </w:tcPr>
          <w:p w14:paraId="73260B0A" w14:textId="77777777" w:rsidR="00141A31" w:rsidRPr="00141A31" w:rsidRDefault="00141A31" w:rsidP="00463C9D">
            <w:pPr>
              <w:pStyle w:val="Telobesedila"/>
            </w:pPr>
            <w:r w:rsidRPr="00141A31">
              <w:t>N/A</w:t>
            </w:r>
          </w:p>
          <w:p w14:paraId="158277DF" w14:textId="48756156" w:rsidR="00141A31" w:rsidRPr="00141A31" w:rsidRDefault="00141A31" w:rsidP="00463C9D">
            <w:pPr>
              <w:pStyle w:val="Telobesedila"/>
            </w:pPr>
            <w:r w:rsidRPr="00141A31">
              <w:t>140 km/h</w:t>
            </w:r>
          </w:p>
          <w:p w14:paraId="493D5597" w14:textId="77777777" w:rsidR="00141A31" w:rsidRPr="00141A31" w:rsidRDefault="00141A31" w:rsidP="00463C9D">
            <w:pPr>
              <w:pStyle w:val="Telobesedila"/>
            </w:pPr>
            <w:r w:rsidRPr="00141A31">
              <w:t>N/A</w:t>
            </w:r>
          </w:p>
          <w:p w14:paraId="510968CE" w14:textId="1A4F7C1B" w:rsidR="00141A31" w:rsidRPr="00141A31" w:rsidRDefault="00141A31" w:rsidP="00463C9D">
            <w:pPr>
              <w:pStyle w:val="Telobesedila"/>
            </w:pPr>
            <w:r w:rsidRPr="00141A31">
              <w:t>156.50m</w:t>
            </w:r>
          </w:p>
          <w:p w14:paraId="710696B4" w14:textId="77777777" w:rsidR="00141A31" w:rsidRPr="00141A31" w:rsidRDefault="00141A31" w:rsidP="00463C9D">
            <w:pPr>
              <w:pStyle w:val="Telobesedila"/>
            </w:pPr>
            <w:r w:rsidRPr="00141A31">
              <w:t>yes</w:t>
            </w:r>
          </w:p>
          <w:p w14:paraId="24D05880" w14:textId="77777777" w:rsidR="00141A31" w:rsidRPr="00141A31" w:rsidRDefault="00141A31" w:rsidP="00463C9D">
            <w:pPr>
              <w:pStyle w:val="Telobesedila"/>
            </w:pPr>
            <w:r w:rsidRPr="00141A31">
              <w:t>N/A</w:t>
            </w:r>
          </w:p>
          <w:p w14:paraId="67DFE98F" w14:textId="77777777" w:rsidR="00141A31" w:rsidRPr="00141A31" w:rsidRDefault="00141A31" w:rsidP="00463C9D">
            <w:pPr>
              <w:pStyle w:val="Telobesedila"/>
            </w:pPr>
          </w:p>
          <w:p w14:paraId="14100298" w14:textId="22A21893" w:rsidR="00141A31" w:rsidRPr="00141A31" w:rsidRDefault="00141A31" w:rsidP="00463C9D">
            <w:pPr>
              <w:pStyle w:val="Telobesedila"/>
            </w:pPr>
            <w:r w:rsidRPr="00141A31">
              <w:t>N/A</w:t>
            </w:r>
          </w:p>
        </w:tc>
        <w:tc>
          <w:tcPr>
            <w:tcW w:w="2409" w:type="dxa"/>
            <w:gridSpan w:val="3"/>
          </w:tcPr>
          <w:p w14:paraId="45404D6C" w14:textId="77777777" w:rsidR="00141A31" w:rsidRPr="00141A31" w:rsidRDefault="00141A31" w:rsidP="00463C9D">
            <w:pPr>
              <w:pStyle w:val="Telobesedila"/>
            </w:pPr>
            <w:r w:rsidRPr="00141A31">
              <w:t>yes</w:t>
            </w:r>
          </w:p>
          <w:p w14:paraId="4EE6F7A8" w14:textId="464D8BF9" w:rsidR="00141A31" w:rsidRPr="00141A31" w:rsidRDefault="00141A31" w:rsidP="00463C9D">
            <w:pPr>
              <w:pStyle w:val="Telobesedila"/>
            </w:pPr>
            <w:r w:rsidRPr="00141A31">
              <w:t>240 km/h</w:t>
            </w:r>
          </w:p>
          <w:p w14:paraId="0DB7D68E" w14:textId="77777777" w:rsidR="00141A31" w:rsidRPr="00141A31" w:rsidRDefault="00141A31" w:rsidP="00463C9D">
            <w:pPr>
              <w:pStyle w:val="Telobesedila"/>
            </w:pPr>
            <w:r w:rsidRPr="00141A31">
              <w:t>yes</w:t>
            </w:r>
          </w:p>
          <w:p w14:paraId="60AEB5FD" w14:textId="612C4C46" w:rsidR="00141A31" w:rsidRPr="00141A31" w:rsidRDefault="00141A31" w:rsidP="00463C9D">
            <w:pPr>
              <w:pStyle w:val="Telobesedila"/>
            </w:pPr>
            <w:r w:rsidRPr="00141A31">
              <w:t>157.53 m</w:t>
            </w:r>
          </w:p>
          <w:p w14:paraId="298891CA" w14:textId="77777777" w:rsidR="00141A31" w:rsidRPr="00141A31" w:rsidRDefault="00141A31" w:rsidP="00463C9D">
            <w:pPr>
              <w:pStyle w:val="Telobesedila"/>
            </w:pPr>
            <w:r w:rsidRPr="00141A31">
              <w:t>airplane crash fire</w:t>
            </w:r>
          </w:p>
          <w:p w14:paraId="1171FCF0" w14:textId="04D96B31" w:rsidR="00463C9D" w:rsidRDefault="00463C9D" w:rsidP="00463C9D">
            <w:pPr>
              <w:pStyle w:val="Telobesedila"/>
              <w:ind w:left="567" w:firstLine="0"/>
            </w:pPr>
            <w:r>
              <w:t xml:space="preserve">military fighter/ </w:t>
            </w:r>
            <w:r w:rsidR="000B4AB7">
              <w:t>commercial</w:t>
            </w:r>
            <w:r w:rsidR="00141A31" w:rsidRPr="00141A31">
              <w:t xml:space="preserve"> airplane </w:t>
            </w:r>
          </w:p>
          <w:p w14:paraId="774DB4EB" w14:textId="05AE7959" w:rsidR="00141A31" w:rsidRPr="00141A31" w:rsidRDefault="00141A31" w:rsidP="00463C9D">
            <w:pPr>
              <w:pStyle w:val="Telobesedila"/>
              <w:ind w:left="567" w:firstLine="0"/>
            </w:pPr>
            <w:r w:rsidRPr="00141A31">
              <w:t>airplane crash</w:t>
            </w:r>
          </w:p>
        </w:tc>
      </w:tr>
    </w:tbl>
    <w:p w14:paraId="215C7B98" w14:textId="587419DB" w:rsidR="00141A31" w:rsidRDefault="00141A31" w:rsidP="00A965F0">
      <w:pPr>
        <w:pStyle w:val="Telobesedila"/>
      </w:pPr>
    </w:p>
    <w:p w14:paraId="7910D779" w14:textId="162732E6" w:rsidR="001B0530" w:rsidRDefault="001B0530" w:rsidP="00A965F0">
      <w:pPr>
        <w:pStyle w:val="Telobesedila"/>
      </w:pPr>
    </w:p>
    <w:p w14:paraId="6AA83A02" w14:textId="4067AFAF" w:rsidR="00CF6C09" w:rsidRPr="003041FF" w:rsidRDefault="006643E4" w:rsidP="004D0F7E">
      <w:pPr>
        <w:widowControl w:val="0"/>
        <w:numPr>
          <w:ilvl w:val="2"/>
          <w:numId w:val="10"/>
        </w:numPr>
        <w:overflowPunct/>
        <w:autoSpaceDE/>
        <w:autoSpaceDN/>
        <w:adjustRightInd/>
        <w:spacing w:before="240" w:after="240" w:line="240" w:lineRule="exact"/>
        <w:textAlignment w:val="auto"/>
        <w:outlineLvl w:val="2"/>
        <w:rPr>
          <w:b/>
          <w:sz w:val="20"/>
        </w:rPr>
      </w:pPr>
      <w:r>
        <w:rPr>
          <w:b/>
          <w:sz w:val="20"/>
        </w:rPr>
        <w:t>Operation</w:t>
      </w:r>
    </w:p>
    <w:p w14:paraId="52C65869" w14:textId="1B5CD608" w:rsidR="00CF6C09" w:rsidRPr="0042654D" w:rsidRDefault="00E217C7" w:rsidP="00E217C7">
      <w:pPr>
        <w:pStyle w:val="Telobesedila"/>
      </w:pPr>
      <w:bookmarkStart w:id="2" w:name="_Hlk1637466"/>
      <w:r w:rsidRPr="0042654D">
        <w:t>The n</w:t>
      </w:r>
      <w:r w:rsidR="008D1AA0" w:rsidRPr="0042654D">
        <w:t xml:space="preserve">ew storage </w:t>
      </w:r>
      <w:r w:rsidR="00EC79CA" w:rsidRPr="0042654D">
        <w:t xml:space="preserve">building </w:t>
      </w:r>
      <w:r w:rsidR="008D1AA0" w:rsidRPr="0042654D">
        <w:t xml:space="preserve">will </w:t>
      </w:r>
      <w:r w:rsidR="00B81F67" w:rsidRPr="0042654D">
        <w:t>be constructed</w:t>
      </w:r>
      <w:r w:rsidR="008D1AA0" w:rsidRPr="0042654D">
        <w:t xml:space="preserve"> within the Krško NPP yard</w:t>
      </w:r>
      <w:r w:rsidR="00B81F67" w:rsidRPr="0042654D">
        <w:t xml:space="preserve"> </w:t>
      </w:r>
      <w:r w:rsidRPr="0042654D">
        <w:t>with capacity for approximately 2.600</w:t>
      </w:r>
      <w:r w:rsidR="004872C5" w:rsidRPr="0042654D">
        <w:t xml:space="preserve"> </w:t>
      </w:r>
      <w:r w:rsidR="00B81F67" w:rsidRPr="0042654D">
        <w:t xml:space="preserve">spent </w:t>
      </w:r>
      <w:r w:rsidRPr="0042654D">
        <w:t xml:space="preserve">fuel </w:t>
      </w:r>
      <w:r w:rsidR="00B81F67" w:rsidRPr="0042654D">
        <w:t>assemblies</w:t>
      </w:r>
      <w:r w:rsidR="008D1AA0" w:rsidRPr="0042654D">
        <w:t>.</w:t>
      </w:r>
      <w:r w:rsidRPr="0042654D">
        <w:t xml:space="preserve"> </w:t>
      </w:r>
      <w:r w:rsidR="008D1AA0" w:rsidRPr="0042654D">
        <w:t xml:space="preserve">The Krško NPP will use a </w:t>
      </w:r>
      <w:proofErr w:type="spellStart"/>
      <w:r w:rsidR="008D1AA0" w:rsidRPr="0042654D">
        <w:t>Holtec</w:t>
      </w:r>
      <w:proofErr w:type="spellEnd"/>
      <w:r w:rsidR="008D1AA0" w:rsidRPr="0042654D">
        <w:t xml:space="preserve"> HI-STORM FW MPC Storage System for dry storage of spent nuclear fuel</w:t>
      </w:r>
      <w:r w:rsidR="00815CA6" w:rsidRPr="0042654D">
        <w:t xml:space="preserve"> [1]</w:t>
      </w:r>
      <w:r w:rsidR="008D1AA0" w:rsidRPr="0042654D">
        <w:t xml:space="preserve">. </w:t>
      </w:r>
      <w:r w:rsidR="00141A31" w:rsidRPr="0042654D">
        <w:t>This storage s</w:t>
      </w:r>
      <w:r w:rsidR="00CF6C09" w:rsidRPr="0042654D">
        <w:t>ystem is certified by U.S. Nuclear Regulatory Commission. It consists of interchangeable multi-purpose canisters (MPCs) containing the spent fuel, storage overpacks (</w:t>
      </w:r>
      <w:bookmarkStart w:id="3" w:name="_Hlk5709787"/>
      <w:r w:rsidR="00CF6C09" w:rsidRPr="0042654D">
        <w:t>HI-STORM FW</w:t>
      </w:r>
      <w:bookmarkEnd w:id="3"/>
      <w:r w:rsidR="00CF6C09" w:rsidRPr="0042654D">
        <w:t xml:space="preserve">) containing MPC during storage, and transfer cask (HI-TRAC VW) containing the MPC during loading, unloading and transfer operations. </w:t>
      </w:r>
      <w:r w:rsidR="00B94158" w:rsidRPr="00B94158">
        <w:t xml:space="preserve">The spent fuel assemblies will be stored in </w:t>
      </w:r>
      <w:r w:rsidR="00B94158">
        <w:t>MPCs</w:t>
      </w:r>
      <w:r w:rsidR="00B94158" w:rsidRPr="00B94158">
        <w:t xml:space="preserve"> in up to 70 </w:t>
      </w:r>
      <w:r w:rsidR="00B94158">
        <w:t>HI-STORM FW</w:t>
      </w:r>
      <w:r w:rsidR="00B94158" w:rsidRPr="00B94158">
        <w:t xml:space="preserve"> arranged in 7 x 10 matrix inside the new dry storage building.</w:t>
      </w:r>
    </w:p>
    <w:p w14:paraId="1E3A8D63" w14:textId="59E65575" w:rsidR="00CF6C09" w:rsidRPr="0042654D" w:rsidRDefault="00CF6C09" w:rsidP="00CF6C09">
      <w:pPr>
        <w:pStyle w:val="Telobesedila"/>
      </w:pPr>
      <w:r w:rsidRPr="0042654D">
        <w:t>The transfer of spent fuel assemblies from the spent fuel pool into the SFDS is expected to be done in four campaigns. The first campaign transferring 16 overpacks (up to 592 spent fuel assembli</w:t>
      </w:r>
      <w:r w:rsidR="00DE4F12" w:rsidRPr="0042654D">
        <w:t>es) is planned for the year 2021</w:t>
      </w:r>
      <w:r w:rsidRPr="0042654D">
        <w:t>. The second campaign transferring 16 overpacks (up to 592 spent fuel assemblies) is planned for the year 2028. The third campaign transferring 12 overpacks (up to 444 spent fuel assemblies) is planned for the year 2038</w:t>
      </w:r>
      <w:r w:rsidR="00141A31" w:rsidRPr="0042654D">
        <w:t xml:space="preserve"> and t</w:t>
      </w:r>
      <w:r w:rsidRPr="0042654D">
        <w:t>h</w:t>
      </w:r>
      <w:r w:rsidR="00141A31" w:rsidRPr="0042654D">
        <w:t>e fourth campaign transferring</w:t>
      </w:r>
      <w:r w:rsidRPr="0042654D">
        <w:t xml:space="preserve"> rest of spent fuel assemblies is planned for the year 2048.</w:t>
      </w:r>
    </w:p>
    <w:p w14:paraId="145571ED" w14:textId="648EBDEF" w:rsidR="00CF6C09" w:rsidRDefault="00741FD3" w:rsidP="003041FF">
      <w:pPr>
        <w:pStyle w:val="Telobesedila"/>
      </w:pPr>
      <w:r w:rsidRPr="0042654D">
        <w:rPr>
          <w:lang w:val="en"/>
        </w:rPr>
        <w:t xml:space="preserve">The </w:t>
      </w:r>
      <w:r w:rsidR="003466C9" w:rsidRPr="0042654D">
        <w:rPr>
          <w:lang w:val="en"/>
        </w:rPr>
        <w:t xml:space="preserve">operating </w:t>
      </w:r>
      <w:r w:rsidRPr="0042654D">
        <w:rPr>
          <w:lang w:val="en"/>
        </w:rPr>
        <w:t>life</w:t>
      </w:r>
      <w:r w:rsidR="003466C9" w:rsidRPr="0042654D">
        <w:rPr>
          <w:lang w:val="en"/>
        </w:rPr>
        <w:t>time</w:t>
      </w:r>
      <w:r w:rsidRPr="0042654D">
        <w:rPr>
          <w:lang w:val="en"/>
        </w:rPr>
        <w:t xml:space="preserve"> of </w:t>
      </w:r>
      <w:r w:rsidR="003466C9" w:rsidRPr="0042654D">
        <w:rPr>
          <w:lang w:val="en"/>
        </w:rPr>
        <w:t xml:space="preserve">a </w:t>
      </w:r>
      <w:r w:rsidRPr="0042654D">
        <w:rPr>
          <w:lang w:val="en"/>
        </w:rPr>
        <w:t>SFDS is at least 60 years</w:t>
      </w:r>
      <w:r w:rsidR="00706D76">
        <w:rPr>
          <w:lang w:val="en"/>
        </w:rPr>
        <w:t xml:space="preserve"> [1]</w:t>
      </w:r>
      <w:r w:rsidR="00CF6C09" w:rsidRPr="0042654D">
        <w:t xml:space="preserve">. The analyses </w:t>
      </w:r>
      <w:r w:rsidR="00141A31" w:rsidRPr="0042654D">
        <w:t>were made to prove the stability</w:t>
      </w:r>
      <w:r w:rsidR="00CF6C09" w:rsidRPr="0042654D">
        <w:t xml:space="preserve"> of materials for this period</w:t>
      </w:r>
      <w:r w:rsidR="003041FF" w:rsidRPr="0042654D">
        <w:t xml:space="preserve"> or still longer</w:t>
      </w:r>
      <w:r w:rsidR="00CF6C09" w:rsidRPr="0042654D">
        <w:t>. A</w:t>
      </w:r>
      <w:r w:rsidR="00141A31" w:rsidRPr="0042654D">
        <w:t xml:space="preserve"> preliminary</w:t>
      </w:r>
      <w:r w:rsidR="00CF6C09" w:rsidRPr="0042654D">
        <w:t xml:space="preserve"> decommissioning plan for the decommissioning of the facility was prepared, which foresees that spent fuel will be transported to the final spent fuel disposal, while the remaining material will be disposed of in the </w:t>
      </w:r>
      <w:r w:rsidR="00141A31" w:rsidRPr="0042654D">
        <w:t xml:space="preserve">national </w:t>
      </w:r>
      <w:r w:rsidR="00CF6C09" w:rsidRPr="0042654D">
        <w:t>radwaste repository.</w:t>
      </w:r>
    </w:p>
    <w:p w14:paraId="23F87115" w14:textId="2BBA3760" w:rsidR="004D0F7E" w:rsidRPr="00141A31" w:rsidRDefault="004D0F7E" w:rsidP="00141A31">
      <w:pPr>
        <w:widowControl w:val="0"/>
        <w:numPr>
          <w:ilvl w:val="2"/>
          <w:numId w:val="10"/>
        </w:numPr>
        <w:overflowPunct/>
        <w:autoSpaceDE/>
        <w:autoSpaceDN/>
        <w:adjustRightInd/>
        <w:spacing w:before="240" w:after="240" w:line="240" w:lineRule="exact"/>
        <w:textAlignment w:val="auto"/>
        <w:outlineLvl w:val="2"/>
        <w:rPr>
          <w:b/>
          <w:sz w:val="20"/>
        </w:rPr>
      </w:pPr>
      <w:bookmarkStart w:id="4" w:name="_GoBack"/>
      <w:bookmarkEnd w:id="4"/>
      <w:r w:rsidRPr="00141A31">
        <w:rPr>
          <w:b/>
          <w:sz w:val="20"/>
        </w:rPr>
        <w:t>Safety functions</w:t>
      </w:r>
    </w:p>
    <w:p w14:paraId="00654A4D" w14:textId="0F052DA8" w:rsidR="00560ACC" w:rsidRPr="0042654D" w:rsidRDefault="00251B85" w:rsidP="004D0F7E">
      <w:pPr>
        <w:pStyle w:val="Telobesedila"/>
      </w:pPr>
      <w:r w:rsidRPr="0042654D">
        <w:t>According to the SNSA requirements, the new</w:t>
      </w:r>
      <w:r w:rsidR="006451A9" w:rsidRPr="0042654D">
        <w:t xml:space="preserve"> S</w:t>
      </w:r>
      <w:r w:rsidRPr="0042654D">
        <w:t>FD</w:t>
      </w:r>
      <w:r w:rsidR="006451A9" w:rsidRPr="0042654D">
        <w:t xml:space="preserve">S </w:t>
      </w:r>
      <w:r w:rsidRPr="0042654D">
        <w:t xml:space="preserve">solution shall be such that the nuclear safety of the supplied spent fuel storage is enhanced in regards to passive decay removal, radioactive source reduction and </w:t>
      </w:r>
      <w:r w:rsidR="002E3395" w:rsidRPr="0042654D">
        <w:t>criticality</w:t>
      </w:r>
      <w:r w:rsidRPr="0042654D">
        <w:t xml:space="preserve"> </w:t>
      </w:r>
      <w:r w:rsidR="004D0F7E" w:rsidRPr="0042654D">
        <w:t xml:space="preserve">during the operational states, design basis accident and </w:t>
      </w:r>
      <w:r w:rsidR="0042654D" w:rsidRPr="0042654D">
        <w:t>DEC</w:t>
      </w:r>
      <w:r w:rsidR="002E3395" w:rsidRPr="0042654D">
        <w:t xml:space="preserve"> A</w:t>
      </w:r>
      <w:r w:rsidR="003466C9" w:rsidRPr="0042654D">
        <w:t xml:space="preserve"> [1]</w:t>
      </w:r>
      <w:r w:rsidR="002E3395" w:rsidRPr="0042654D">
        <w:t xml:space="preserve">. </w:t>
      </w:r>
    </w:p>
    <w:p w14:paraId="2D6B234E" w14:textId="7A041852" w:rsidR="00560ACC" w:rsidRDefault="00560ACC" w:rsidP="004D0F7E">
      <w:pPr>
        <w:pStyle w:val="Telobesedila"/>
      </w:pPr>
      <w:r w:rsidRPr="0042654D">
        <w:t>The criticality con</w:t>
      </w:r>
      <w:r w:rsidR="002141AA" w:rsidRPr="0042654D">
        <w:t>trol features of the storage canisters</w:t>
      </w:r>
      <w:r w:rsidRPr="0042654D">
        <w:t xml:space="preserve"> are designed to maintain the effective neutron multiplication factor </w:t>
      </w:r>
      <w:proofErr w:type="spellStart"/>
      <w:r w:rsidRPr="0042654D">
        <w:t>k</w:t>
      </w:r>
      <w:r w:rsidRPr="0042654D">
        <w:rPr>
          <w:vertAlign w:val="subscript"/>
        </w:rPr>
        <w:t>eff</w:t>
      </w:r>
      <w:proofErr w:type="spellEnd"/>
      <w:r w:rsidRPr="0042654D">
        <w:t xml:space="preserve"> below 0.95 under </w:t>
      </w:r>
      <w:r w:rsidR="003466C9" w:rsidRPr="0042654D">
        <w:t xml:space="preserve">all operational and accidental </w:t>
      </w:r>
      <w:r w:rsidRPr="0042654D">
        <w:t>conditions</w:t>
      </w:r>
      <w:r w:rsidRPr="00560ACC">
        <w:t xml:space="preserve">. This maximum </w:t>
      </w:r>
      <w:proofErr w:type="spellStart"/>
      <w:r w:rsidRPr="00560ACC">
        <w:t>k</w:t>
      </w:r>
      <w:r w:rsidRPr="008D005A">
        <w:rPr>
          <w:vertAlign w:val="subscript"/>
        </w:rPr>
        <w:t>eff</w:t>
      </w:r>
      <w:proofErr w:type="spellEnd"/>
      <w:r w:rsidRPr="00560ACC">
        <w:t xml:space="preserve"> value for storage </w:t>
      </w:r>
      <w:r w:rsidR="000939A3">
        <w:t>system</w:t>
      </w:r>
      <w:r w:rsidR="00C65FAB">
        <w:t xml:space="preserve"> is in accordance with c</w:t>
      </w:r>
      <w:r w:rsidRPr="00560ACC">
        <w:t xml:space="preserve">riteria for nuclear criticality safety </w:t>
      </w:r>
      <w:r w:rsidR="00654219">
        <w:t>[</w:t>
      </w:r>
      <w:r w:rsidR="00502D49">
        <w:t>10</w:t>
      </w:r>
      <w:r w:rsidR="008C3AD3">
        <w:t>].</w:t>
      </w:r>
    </w:p>
    <w:p w14:paraId="6B1A53F5" w14:textId="17CE6183" w:rsidR="00560ACC" w:rsidRDefault="00560ACC" w:rsidP="004D0F7E">
      <w:pPr>
        <w:pStyle w:val="Telobesedila"/>
      </w:pPr>
      <w:r w:rsidRPr="00560ACC">
        <w:t>The SFDS is designed with vents to allow sufficient passive air flow for heat removal from casks inside building. The proximity of neighbouring casks and confined storage space inside the building which have adverse impact on convection and radiation heat transfer from casks are evaluated.</w:t>
      </w:r>
    </w:p>
    <w:p w14:paraId="19F288C5" w14:textId="1955F2DB" w:rsidR="004D0F7E" w:rsidRPr="00CF6C09" w:rsidRDefault="004D0F7E" w:rsidP="004D0F7E">
      <w:pPr>
        <w:pStyle w:val="Telobesedila"/>
      </w:pPr>
      <w:r w:rsidRPr="004D0F7E">
        <w:t>The confinement of radioactive materials shall be ensured for design</w:t>
      </w:r>
      <w:r w:rsidR="002141AA">
        <w:t xml:space="preserve"> extension conditions category A</w:t>
      </w:r>
      <w:r w:rsidRPr="004D0F7E">
        <w:t xml:space="preserve">. For this purpose, the heat removal from the damaged fuel shall be ensured. </w:t>
      </w:r>
    </w:p>
    <w:bookmarkEnd w:id="2"/>
    <w:p w14:paraId="617766F6" w14:textId="3F4CDD7E" w:rsidR="00514B0E" w:rsidRPr="00514B0E" w:rsidRDefault="00C40539" w:rsidP="00514B0E">
      <w:pPr>
        <w:pStyle w:val="Naslov3"/>
      </w:pPr>
      <w:r>
        <w:t>Natural hazard</w:t>
      </w:r>
      <w:r w:rsidR="002141AA">
        <w:t>s</w:t>
      </w:r>
    </w:p>
    <w:p w14:paraId="3AC4CEF6" w14:textId="2FB9D7C0" w:rsidR="00CF062E" w:rsidRPr="00234756" w:rsidRDefault="00023053" w:rsidP="008178BF">
      <w:pPr>
        <w:pStyle w:val="Telobesedila"/>
      </w:pPr>
      <w:r w:rsidRPr="00234756">
        <w:rPr>
          <w:lang w:val="en"/>
        </w:rPr>
        <w:t xml:space="preserve">In order to demonstrate safety, it is particularly important to consider the </w:t>
      </w:r>
      <w:r w:rsidR="00502D49">
        <w:rPr>
          <w:lang w:val="en"/>
        </w:rPr>
        <w:t xml:space="preserve">specific </w:t>
      </w:r>
      <w:r w:rsidRPr="00234756">
        <w:rPr>
          <w:lang w:val="en"/>
        </w:rPr>
        <w:t>natural events</w:t>
      </w:r>
      <w:r w:rsidR="00C03691" w:rsidRPr="00234756">
        <w:rPr>
          <w:lang w:val="en"/>
        </w:rPr>
        <w:t xml:space="preserve"> [1]</w:t>
      </w:r>
      <w:r w:rsidRPr="00234756">
        <w:rPr>
          <w:lang w:val="en"/>
        </w:rPr>
        <w:t xml:space="preserve">. </w:t>
      </w:r>
      <w:r w:rsidR="00CF062E" w:rsidRPr="00234756">
        <w:t>The impact on SFDS</w:t>
      </w:r>
      <w:r w:rsidR="008A38DF" w:rsidRPr="00234756">
        <w:t xml:space="preserve"> </w:t>
      </w:r>
      <w:r w:rsidR="00CF062E" w:rsidRPr="00234756">
        <w:t>of various natural</w:t>
      </w:r>
      <w:r w:rsidR="008A38DF" w:rsidRPr="00234756">
        <w:t xml:space="preserve"> hazards </w:t>
      </w:r>
      <w:r w:rsidR="00CF062E" w:rsidRPr="00234756">
        <w:t>were evaluated</w:t>
      </w:r>
      <w:r w:rsidR="008A38DF" w:rsidRPr="00234756">
        <w:t xml:space="preserve">. </w:t>
      </w:r>
      <w:r w:rsidR="00CF062E" w:rsidRPr="00234756">
        <w:t xml:space="preserve">Possible sources of natural hazards are earthquakes, strong wind, rain, snow, </w:t>
      </w:r>
      <w:r w:rsidR="00CD0090">
        <w:t xml:space="preserve">glace </w:t>
      </w:r>
      <w:r w:rsidR="00CF062E" w:rsidRPr="00234756">
        <w:t xml:space="preserve">ice, thunder/lighting, flood and </w:t>
      </w:r>
      <w:r w:rsidR="006B78F3" w:rsidRPr="00234756">
        <w:t xml:space="preserve">extreme </w:t>
      </w:r>
      <w:r w:rsidR="00CF062E" w:rsidRPr="00234756">
        <w:t>temperature</w:t>
      </w:r>
      <w:r w:rsidR="006B78F3" w:rsidRPr="00234756">
        <w:t>s</w:t>
      </w:r>
      <w:r w:rsidR="00CF062E" w:rsidRPr="00234756">
        <w:t>.</w:t>
      </w:r>
    </w:p>
    <w:p w14:paraId="36043956" w14:textId="075EF0D2" w:rsidR="00430ACB" w:rsidRPr="00234756" w:rsidRDefault="00430ACB" w:rsidP="00647CC4">
      <w:pPr>
        <w:pStyle w:val="Telobesedila"/>
      </w:pPr>
      <w:r w:rsidRPr="00234756">
        <w:t>The</w:t>
      </w:r>
      <w:r w:rsidR="000F67CD" w:rsidRPr="00234756">
        <w:t xml:space="preserve"> </w:t>
      </w:r>
      <w:r w:rsidR="00234756">
        <w:t>SFDS</w:t>
      </w:r>
      <w:r w:rsidRPr="00234756">
        <w:t xml:space="preserve"> </w:t>
      </w:r>
      <w:r w:rsidR="000F67CD" w:rsidRPr="00234756">
        <w:t xml:space="preserve">is designed to withstand the wind load as well as the effects of tornados and missiles generated by tornados. </w:t>
      </w:r>
      <w:bookmarkStart w:id="5" w:name="_Hlk5706850"/>
      <w:r w:rsidR="000F67CD" w:rsidRPr="00234756">
        <w:t xml:space="preserve">Additionally, the system is stored inside the dry storage building which further lends protect of the stored </w:t>
      </w:r>
      <w:r w:rsidR="001C43CC" w:rsidRPr="00234756">
        <w:t xml:space="preserve">spent </w:t>
      </w:r>
      <w:r w:rsidR="000F67CD" w:rsidRPr="00234756">
        <w:t>fuel.</w:t>
      </w:r>
    </w:p>
    <w:bookmarkEnd w:id="5"/>
    <w:p w14:paraId="659EAD7F" w14:textId="7FB80802" w:rsidR="000F67CD" w:rsidRPr="00234756" w:rsidRDefault="000F67CD" w:rsidP="00234756">
      <w:pPr>
        <w:pStyle w:val="Telobesedila"/>
      </w:pPr>
      <w:r w:rsidRPr="00234756">
        <w:t xml:space="preserve">The HI STORM consist of a cylindrical vessel and lid with the outer shell and lid from carbon steel which are coated to prevent corrosion. Additionally, the system is stored inside the </w:t>
      </w:r>
      <w:r w:rsidR="00C603C6" w:rsidRPr="00234756">
        <w:t>SFDS</w:t>
      </w:r>
      <w:r w:rsidRPr="00234756">
        <w:t xml:space="preserve"> and is protected from rainfall. The hazard due to snow will be very insignificant. The SFDS is constructed from metallic roof. Any snow deposited on the roof of the SFDS will eventually melt </w:t>
      </w:r>
      <w:r w:rsidR="00234756" w:rsidRPr="00234756">
        <w:t>down. The</w:t>
      </w:r>
      <w:r w:rsidR="00E41058" w:rsidRPr="00234756">
        <w:t xml:space="preserve"> glace ice impact to the SFDS ventilation ports and on the cooling of the interion of SFDS is evaluated.</w:t>
      </w:r>
      <w:r w:rsidR="00234756">
        <w:t xml:space="preserve"> </w:t>
      </w:r>
      <w:r w:rsidR="001C43CC" w:rsidRPr="00234756">
        <w:t>The metallic roof and concrete wall will transfer the electricity to the ground</w:t>
      </w:r>
      <w:r w:rsidR="001848D0">
        <w:t xml:space="preserve"> and a</w:t>
      </w:r>
      <w:r w:rsidR="001C43CC" w:rsidRPr="00234756">
        <w:t xml:space="preserve"> lightning strike will therefore not have considerable effect on the metal </w:t>
      </w:r>
      <w:r w:rsidR="00244A2F">
        <w:t>part of SFDS</w:t>
      </w:r>
      <w:r w:rsidR="001C43CC" w:rsidRPr="00234756">
        <w:t>.</w:t>
      </w:r>
    </w:p>
    <w:p w14:paraId="18551B93" w14:textId="521826FE" w:rsidR="00430ACB" w:rsidRPr="00234756" w:rsidRDefault="00C603C6" w:rsidP="00647CC4">
      <w:pPr>
        <w:pStyle w:val="Telobesedila"/>
      </w:pPr>
      <w:r w:rsidRPr="00234756">
        <w:t xml:space="preserve">The SFDS is designed against floods. </w:t>
      </w:r>
      <w:r w:rsidR="00430ACB" w:rsidRPr="00234756">
        <w:t xml:space="preserve">Flood conditions will not have adverse effects on </w:t>
      </w:r>
      <w:r w:rsidR="00195EDF">
        <w:t>it.</w:t>
      </w:r>
      <w:r w:rsidR="00244A2F">
        <w:t xml:space="preserve"> </w:t>
      </w:r>
      <w:r w:rsidR="00430ACB" w:rsidRPr="00234756">
        <w:t xml:space="preserve">The large horizontal pad is concrete and is at an evaluation for the DEC flood level </w:t>
      </w:r>
      <w:r w:rsidR="00BA1583" w:rsidRPr="00234756">
        <w:t xml:space="preserve">which is </w:t>
      </w:r>
      <w:r w:rsidR="00430ACB" w:rsidRPr="00234756">
        <w:t>157.53m. The SFDS will not sustain any damage from floods since it is constructed f</w:t>
      </w:r>
      <w:r w:rsidRPr="00234756">
        <w:t>ro</w:t>
      </w:r>
      <w:r w:rsidR="00430ACB" w:rsidRPr="00234756">
        <w:t xml:space="preserve">m metal components inside the building. Even in extreme flood events, a flood will not be able to block the inlet vent of the storage for a considerable duration. </w:t>
      </w:r>
    </w:p>
    <w:p w14:paraId="58498DC9" w14:textId="44542205" w:rsidR="00BA4655" w:rsidRPr="00234756" w:rsidRDefault="00BA4655" w:rsidP="00647CC4">
      <w:pPr>
        <w:pStyle w:val="Telobesedila"/>
      </w:pPr>
      <w:r w:rsidRPr="00234756">
        <w:t xml:space="preserve">The HI STORM is designed to maintain the temperature of the spent fuel below the peak clad temperature of the spent </w:t>
      </w:r>
      <w:r w:rsidR="0037364D" w:rsidRPr="00234756">
        <w:t>fuel</w:t>
      </w:r>
      <w:r w:rsidRPr="00234756">
        <w:t xml:space="preserve"> stored inside MPC.</w:t>
      </w:r>
    </w:p>
    <w:p w14:paraId="5DDB68E0" w14:textId="71953988" w:rsidR="001C43CC" w:rsidRDefault="00C603C6" w:rsidP="00647CC4">
      <w:pPr>
        <w:pStyle w:val="Telobesedila"/>
      </w:pPr>
      <w:r w:rsidRPr="00234756">
        <w:t>The</w:t>
      </w:r>
      <w:r w:rsidR="00195EDF">
        <w:t xml:space="preserve"> SFDS</w:t>
      </w:r>
      <w:r w:rsidRPr="00234756">
        <w:t xml:space="preserve"> is specifically design against the adverse conditions “Flood and Wind”. </w:t>
      </w:r>
      <w:r w:rsidR="00BA1583" w:rsidRPr="00234756">
        <w:t>The individual external hazards will not impact the HI STORM FW system. The most severe combination of external hazards is that of a simultaneously occurring earthquake an flood</w:t>
      </w:r>
      <w:r w:rsidR="0037364D" w:rsidRPr="00234756">
        <w:t>ing</w:t>
      </w:r>
      <w:r w:rsidR="00BA1583" w:rsidRPr="00234756">
        <w:t xml:space="preserve">. </w:t>
      </w:r>
      <w:r w:rsidR="008A6E29" w:rsidRPr="00234756">
        <w:t>The probability of more than one external hazards occurring at the same time is extremely low and effects of such event is negligible.</w:t>
      </w:r>
      <w:r w:rsidR="00BA1583" w:rsidRPr="00234756">
        <w:t xml:space="preserve"> </w:t>
      </w:r>
    </w:p>
    <w:p w14:paraId="1A4F42E0" w14:textId="6895340F" w:rsidR="00D56D79" w:rsidRPr="00D56D79" w:rsidRDefault="00D56D79" w:rsidP="00D56D79">
      <w:pPr>
        <w:widowControl w:val="0"/>
        <w:numPr>
          <w:ilvl w:val="3"/>
          <w:numId w:val="6"/>
        </w:numPr>
        <w:spacing w:before="100" w:beforeAutospacing="1" w:after="100" w:afterAutospacing="1" w:line="240" w:lineRule="atLeast"/>
        <w:ind w:left="0"/>
        <w:outlineLvl w:val="3"/>
        <w:rPr>
          <w:i/>
          <w:sz w:val="20"/>
          <w:lang w:val="en-US"/>
        </w:rPr>
      </w:pPr>
      <w:r w:rsidRPr="00D56D79">
        <w:rPr>
          <w:i/>
          <w:sz w:val="20"/>
          <w:lang w:val="en-US"/>
        </w:rPr>
        <w:t>S</w:t>
      </w:r>
      <w:proofErr w:type="spellStart"/>
      <w:r w:rsidRPr="00D56D79">
        <w:rPr>
          <w:i/>
          <w:sz w:val="20"/>
        </w:rPr>
        <w:t>eismic</w:t>
      </w:r>
      <w:proofErr w:type="spellEnd"/>
      <w:r w:rsidRPr="00D56D79">
        <w:rPr>
          <w:i/>
          <w:sz w:val="20"/>
        </w:rPr>
        <w:t xml:space="preserve"> safety</w:t>
      </w:r>
    </w:p>
    <w:p w14:paraId="2B913ACE" w14:textId="706FBFCA" w:rsidR="00647CC4" w:rsidRDefault="00AA31DC" w:rsidP="00647CC4">
      <w:pPr>
        <w:pStyle w:val="Telobesedila"/>
      </w:pPr>
      <w:r>
        <w:t>T</w:t>
      </w:r>
      <w:r w:rsidR="00647CC4">
        <w:t xml:space="preserve">he site of the Krško NPP is located in an area of moderate seismic activity, </w:t>
      </w:r>
      <w:r w:rsidR="00A06E6E">
        <w:t xml:space="preserve">therefore </w:t>
      </w:r>
      <w:r w:rsidR="00647CC4">
        <w:t xml:space="preserve">seismic safety is one of the main concerns regarding the design of the new SFDS building and its </w:t>
      </w:r>
      <w:r w:rsidR="00A06E6E">
        <w:t>SSCs. According to the</w:t>
      </w:r>
      <w:r w:rsidR="00647CC4">
        <w:t xml:space="preserve"> Seismic Qualification Programme, the SFDS building as well as the individual fuel casks shall be designed for DEC applicable to the earthquake with peak ground acceleration (PGA) = 0.78 g; this value is approx. 30</w:t>
      </w:r>
      <w:r w:rsidR="004734A9">
        <w:t xml:space="preserve"> </w:t>
      </w:r>
      <w:r w:rsidR="00647CC4">
        <w:t>% higher than the current speci</w:t>
      </w:r>
      <w:r w:rsidR="00E76E2C">
        <w:t xml:space="preserve">fied DEC requirements (i.e. DEC </w:t>
      </w:r>
      <w:r w:rsidR="00647CC4">
        <w:t>designed SSCs</w:t>
      </w:r>
      <w:r w:rsidR="00A06E6E">
        <w:t xml:space="preserve"> of the NPP</w:t>
      </w:r>
      <w:r w:rsidR="00647CC4">
        <w:t xml:space="preserve"> shall be able to withstand an earthquake with PGA = 0.6</w:t>
      </w:r>
      <w:r w:rsidR="00C46009">
        <w:t xml:space="preserve"> </w:t>
      </w:r>
      <w:r w:rsidR="00647CC4">
        <w:t>g). This req</w:t>
      </w:r>
      <w:r w:rsidR="00A06E6E">
        <w:t>uirement conservatively affects</w:t>
      </w:r>
      <w:r w:rsidR="00647CC4">
        <w:t xml:space="preserve"> the upper steel structure of the SFDS building as well, although it was shown in the separate analysis that the potential collapse of the upper steel structure would not unacceptably impair the integrity and/or cooling capabilities of the underlying spent fu</w:t>
      </w:r>
      <w:r w:rsidR="00A06E6E">
        <w:t>el casks. Apart from that, the design conditions</w:t>
      </w:r>
      <w:r w:rsidR="00647CC4">
        <w:t xml:space="preserve"> require that the individual casks shall not tip-over till the earthquake with PGA &gt; 1.2 g occurs in order to prevent cliff edge effect – consequential loss </w:t>
      </w:r>
      <w:r w:rsidR="00A06E6E">
        <w:t>of decay heat removal capability</w:t>
      </w:r>
      <w:r w:rsidR="00647CC4">
        <w:t xml:space="preserve">. To fulfil this requirement, it was decided that the individual casks would be anchored to the foundation plate of </w:t>
      </w:r>
      <w:r w:rsidR="00647CC4">
        <w:lastRenderedPageBreak/>
        <w:t>the SFDS building</w:t>
      </w:r>
      <w:r w:rsidR="00A06E6E">
        <w:t>.</w:t>
      </w:r>
      <w:r w:rsidR="00647CC4">
        <w:t xml:space="preserve"> While this solution helps in stabilizing the casks during the earthquake,</w:t>
      </w:r>
      <w:r w:rsidR="00266F04">
        <w:t xml:space="preserve"> the anchoring elements also pose</w:t>
      </w:r>
      <w:r w:rsidR="00647CC4">
        <w:t xml:space="preserve"> additional loads to the S</w:t>
      </w:r>
      <w:r w:rsidR="00266F04">
        <w:t xml:space="preserve">FDS </w:t>
      </w:r>
      <w:r w:rsidR="00647CC4">
        <w:t xml:space="preserve">foundation plate. </w:t>
      </w:r>
    </w:p>
    <w:p w14:paraId="7D89A941" w14:textId="2D5F0BD1" w:rsidR="00647CC4" w:rsidRDefault="00647CC4" w:rsidP="00647CC4">
      <w:pPr>
        <w:pStyle w:val="Telobesedila"/>
      </w:pPr>
      <w:r>
        <w:t xml:space="preserve">Seismic analysis of the construction was therefore an essential step in providing important inputs for the SFDS building design. Seismic loads on the SFDS building were determined in accordance with NRC RG-1.60 </w:t>
      </w:r>
      <w:r w:rsidR="00FD2D3F">
        <w:t>[</w:t>
      </w:r>
      <w:r w:rsidR="00502D49">
        <w:t>11</w:t>
      </w:r>
      <w:r w:rsidRPr="005669AB">
        <w:t xml:space="preserve">] and Eurocode 8 </w:t>
      </w:r>
      <w:r w:rsidR="00FD2D3F">
        <w:t>[1</w:t>
      </w:r>
      <w:r w:rsidR="00502D49">
        <w:t>2</w:t>
      </w:r>
      <w:r w:rsidRPr="005669AB">
        <w:t>].</w:t>
      </w:r>
      <w:r>
        <w:t xml:space="preserve"> The soil-structure interaction (SSI) was taken into account as well. Five different seismic accelerograms (typical for the site area) and three different soil types with regard to their shear wave velocity (best estimate, lower- and upper bound) were dealt with. This resulted in fifteen different discrete analyses of SSI in order to evaluate the dynamic response of the SFDS building and fuel casks and to find the appropriate, conservative solution (i.e. the envelope of structural response results). The final result</w:t>
      </w:r>
      <w:r w:rsidR="00266F04">
        <w:t>s are</w:t>
      </w:r>
      <w:r>
        <w:t>:</w:t>
      </w:r>
    </w:p>
    <w:p w14:paraId="1A06A3EC" w14:textId="03A4C429" w:rsidR="00172D8D" w:rsidRDefault="00647CC4" w:rsidP="00172D8D">
      <w:pPr>
        <w:pStyle w:val="Telobesedila"/>
      </w:pPr>
      <w:r>
        <w:t>-</w:t>
      </w:r>
      <w:r>
        <w:tab/>
        <w:t>floor response spectra at the foundation plate and at the top of</w:t>
      </w:r>
      <w:r w:rsidR="00172D8D">
        <w:t xml:space="preserve"> the concrete walls of the SFDS </w:t>
      </w:r>
    </w:p>
    <w:p w14:paraId="252F1A33" w14:textId="0CF0EB20" w:rsidR="00647CC4" w:rsidRDefault="005B71A5" w:rsidP="00172D8D">
      <w:pPr>
        <w:pStyle w:val="Telobesedila"/>
        <w:ind w:left="567"/>
      </w:pPr>
      <w:r>
        <w:t>building,</w:t>
      </w:r>
    </w:p>
    <w:p w14:paraId="1B0CEC79" w14:textId="7F15469E" w:rsidR="00647CC4" w:rsidRDefault="00647CC4" w:rsidP="00647CC4">
      <w:pPr>
        <w:pStyle w:val="Telobesedila"/>
      </w:pPr>
      <w:r>
        <w:t>-</w:t>
      </w:r>
      <w:r>
        <w:tab/>
        <w:t>reaction forces and moments for anchoring fue</w:t>
      </w:r>
      <w:r w:rsidR="005B71A5">
        <w:t>l casks to the foundation plate and</w:t>
      </w:r>
    </w:p>
    <w:p w14:paraId="59D89E8B" w14:textId="77777777" w:rsidR="00647CC4" w:rsidRDefault="00647CC4" w:rsidP="00647CC4">
      <w:pPr>
        <w:pStyle w:val="Telobesedila"/>
      </w:pPr>
      <w:r>
        <w:t>-</w:t>
      </w:r>
      <w:r>
        <w:tab/>
        <w:t>inner forces and moments in the foundation plate.</w:t>
      </w:r>
    </w:p>
    <w:p w14:paraId="02034C09" w14:textId="77777777" w:rsidR="005B71A5" w:rsidRDefault="005B71A5" w:rsidP="00647CC4">
      <w:pPr>
        <w:pStyle w:val="Telobesedila"/>
      </w:pPr>
    </w:p>
    <w:p w14:paraId="66472A5D" w14:textId="03A23CCE" w:rsidR="00647CC4" w:rsidRDefault="00647CC4" w:rsidP="00647CC4">
      <w:pPr>
        <w:pStyle w:val="Telobesedila"/>
      </w:pPr>
      <w:r>
        <w:t>These results were, together with other loads, used to carry out the strength analysis of the whole construction and to establish the final design of the SFDS building.</w:t>
      </w:r>
    </w:p>
    <w:p w14:paraId="71F9ECE4" w14:textId="429FF5BC" w:rsidR="00647CC4" w:rsidRDefault="00647CC4" w:rsidP="00647CC4">
      <w:pPr>
        <w:pStyle w:val="Telobesedila"/>
      </w:pPr>
      <w:r>
        <w:t>The seismic fragility analys</w:t>
      </w:r>
      <w:r w:rsidR="00E56BF1">
        <w:t>e</w:t>
      </w:r>
      <w:r>
        <w:t xml:space="preserve">s for cask stability and </w:t>
      </w:r>
      <w:r w:rsidR="00C3670D">
        <w:t>of the whole SFDS building w</w:t>
      </w:r>
      <w:r w:rsidR="00E56BF1">
        <w:t>e</w:t>
      </w:r>
      <w:r w:rsidR="00C3670D">
        <w:t>re</w:t>
      </w:r>
      <w:r>
        <w:t xml:space="preserve"> perfor</w:t>
      </w:r>
      <w:r w:rsidR="00266F04">
        <w:t>med before the approval of the</w:t>
      </w:r>
      <w:r>
        <w:t xml:space="preserve"> final design</w:t>
      </w:r>
      <w:r w:rsidR="00C03691">
        <w:t xml:space="preserve"> </w:t>
      </w:r>
      <w:r w:rsidR="00C03691" w:rsidRPr="00595DE5">
        <w:t>[1]</w:t>
      </w:r>
      <w:r w:rsidRPr="00595DE5">
        <w:t>.</w:t>
      </w:r>
      <w:r>
        <w:t xml:space="preserve"> It was carried out by an independent institution (Slovenian National Building and Civil Engineering Institute) in accordance </w:t>
      </w:r>
      <w:r w:rsidRPr="005669AB">
        <w:t xml:space="preserve">with </w:t>
      </w:r>
      <w:r w:rsidR="00FD2D3F">
        <w:t>NRC [1</w:t>
      </w:r>
      <w:r w:rsidR="00D31695">
        <w:t>3</w:t>
      </w:r>
      <w:r w:rsidR="00881815">
        <w:t>] and EPRI [1</w:t>
      </w:r>
      <w:r w:rsidR="00D31695">
        <w:t>4</w:t>
      </w:r>
      <w:r w:rsidRPr="005669AB">
        <w:t>]</w:t>
      </w:r>
      <w:r>
        <w:t xml:space="preserve"> guidelines. Results of the fragility analysis showed that the PGA values that correspond to 1% conditional probability of failure (High Confidence, Low Probability of Failure – HCLPF) are for the SFDS building as well as for the individual casks larger than their DEC/tip-over PGA.</w:t>
      </w:r>
    </w:p>
    <w:p w14:paraId="64924DC4" w14:textId="77777777" w:rsidR="00D04A93" w:rsidRPr="00CB6EAF" w:rsidRDefault="00D04A93" w:rsidP="00CB6EAF">
      <w:pPr>
        <w:pStyle w:val="Naslov3"/>
      </w:pPr>
      <w:r w:rsidRPr="00CB6EAF">
        <w:t>Human induced hazard</w:t>
      </w:r>
    </w:p>
    <w:p w14:paraId="6EA0B458" w14:textId="707B8DC5" w:rsidR="00581430" w:rsidRDefault="00C56E8F" w:rsidP="00D04A93">
      <w:pPr>
        <w:pStyle w:val="Telobesedila"/>
      </w:pPr>
      <w:r w:rsidRPr="00595DE5">
        <w:t xml:space="preserve">The impact of an aircraft on the </w:t>
      </w:r>
      <w:r w:rsidR="00595DE5">
        <w:t>HI STORM system</w:t>
      </w:r>
      <w:r w:rsidRPr="00595DE5">
        <w:t xml:space="preserve"> is not </w:t>
      </w:r>
      <w:r w:rsidR="00B45FE5">
        <w:t>licenced</w:t>
      </w:r>
      <w:r w:rsidRPr="00595DE5">
        <w:t xml:space="preserve"> under U</w:t>
      </w:r>
      <w:r w:rsidR="00200E69" w:rsidRPr="00595DE5">
        <w:t>.</w:t>
      </w:r>
      <w:r w:rsidRPr="00595DE5">
        <w:t>S</w:t>
      </w:r>
      <w:r w:rsidR="00200E69" w:rsidRPr="00595DE5">
        <w:t>.</w:t>
      </w:r>
      <w:r w:rsidRPr="00595DE5">
        <w:t xml:space="preserve"> 10CFR72 regulation</w:t>
      </w:r>
      <w:r w:rsidR="0045521C">
        <w:t>, but</w:t>
      </w:r>
      <w:r w:rsidRPr="00595DE5">
        <w:t xml:space="preserve"> </w:t>
      </w:r>
      <w:r w:rsidR="0045521C">
        <w:t>t</w:t>
      </w:r>
      <w:r w:rsidRPr="00595DE5">
        <w:t>he aircraft crash analysis</w:t>
      </w:r>
      <w:r w:rsidR="00CC2DEA" w:rsidRPr="00595DE5">
        <w:t xml:space="preserve"> </w:t>
      </w:r>
      <w:r w:rsidRPr="00595DE5">
        <w:t xml:space="preserve">is required </w:t>
      </w:r>
      <w:r w:rsidR="003013C0">
        <w:t xml:space="preserve">as DEC </w:t>
      </w:r>
      <w:r w:rsidR="00CC2DEA" w:rsidRPr="00595DE5">
        <w:t xml:space="preserve">in accordance with </w:t>
      </w:r>
      <w:r w:rsidRPr="00595DE5">
        <w:t>JV5 regulation [</w:t>
      </w:r>
      <w:r w:rsidR="0045521C">
        <w:t>7</w:t>
      </w:r>
      <w:r w:rsidRPr="00595DE5">
        <w:t>].</w:t>
      </w:r>
      <w:r w:rsidR="00C03691" w:rsidRPr="00595DE5">
        <w:t xml:space="preserve"> </w:t>
      </w:r>
      <w:r w:rsidR="00266F04">
        <w:t>T</w:t>
      </w:r>
      <w:r>
        <w:t xml:space="preserve">he impact of </w:t>
      </w:r>
      <w:r w:rsidR="00D04A93">
        <w:t>military fighter and large commercial airplane crash</w:t>
      </w:r>
      <w:r>
        <w:t xml:space="preserve"> </w:t>
      </w:r>
      <w:r w:rsidR="00CC2DEA">
        <w:t xml:space="preserve">on </w:t>
      </w:r>
      <w:r w:rsidR="00CC2DEA" w:rsidRPr="00CC2DEA">
        <w:t xml:space="preserve">HI-STORM FW </w:t>
      </w:r>
      <w:r w:rsidR="004A2E6B">
        <w:t xml:space="preserve">is </w:t>
      </w:r>
      <w:r>
        <w:t>a</w:t>
      </w:r>
      <w:r w:rsidR="00DE7F09">
        <w:t>nalysed</w:t>
      </w:r>
      <w:r w:rsidR="00266F04">
        <w:t xml:space="preserve"> with assumption</w:t>
      </w:r>
      <w:r w:rsidR="00D04A93">
        <w:t xml:space="preserve"> that jet fuel will be dumped upon imp</w:t>
      </w:r>
      <w:r w:rsidR="00266F04">
        <w:t xml:space="preserve">act and will </w:t>
      </w:r>
      <w:r w:rsidR="00D04A93">
        <w:t xml:space="preserve">ignite immediately. It is demonstrated that </w:t>
      </w:r>
      <w:r w:rsidR="00E82616">
        <w:t>in case of such big</w:t>
      </w:r>
      <w:r w:rsidR="006E3CAE">
        <w:t xml:space="preserve"> </w:t>
      </w:r>
      <w:r w:rsidR="00266F04">
        <w:t>fire would not cause beyond limit</w:t>
      </w:r>
      <w:r w:rsidR="00D04A93">
        <w:t xml:space="preserve"> radiological release</w:t>
      </w:r>
      <w:r w:rsidR="00E82616">
        <w:t>s</w:t>
      </w:r>
      <w:r>
        <w:t xml:space="preserve"> [1]</w:t>
      </w:r>
      <w:r w:rsidR="00D04A93">
        <w:t>.</w:t>
      </w:r>
      <w:r w:rsidR="00581430" w:rsidRPr="00581430">
        <w:t xml:space="preserve"> </w:t>
      </w:r>
    </w:p>
    <w:p w14:paraId="47AA79E3" w14:textId="3A053EBF" w:rsidR="00D04A93" w:rsidRPr="00C931C3" w:rsidRDefault="009F6609" w:rsidP="00CB6EAF">
      <w:pPr>
        <w:pStyle w:val="Naslov3"/>
      </w:pPr>
      <w:r w:rsidRPr="00C931C3">
        <w:t>Dose restrictions</w:t>
      </w:r>
    </w:p>
    <w:p w14:paraId="19977E64" w14:textId="5A458DD6" w:rsidR="009C23E2" w:rsidRPr="009C23E2" w:rsidRDefault="00FE333E" w:rsidP="00C46009">
      <w:pPr>
        <w:pStyle w:val="Telobesedila"/>
      </w:pPr>
      <w:r>
        <w:t>The r</w:t>
      </w:r>
      <w:r w:rsidR="009F6609" w:rsidRPr="009F6609">
        <w:t>e</w:t>
      </w:r>
      <w:r w:rsidR="00C46009">
        <w:t>gulatory requirements for dose</w:t>
      </w:r>
      <w:r w:rsidR="00681C7A">
        <w:t xml:space="preserve"> restrictions are set very strictly</w:t>
      </w:r>
      <w:r w:rsidR="009F6609" w:rsidRPr="009F6609">
        <w:t>. The boundar</w:t>
      </w:r>
      <w:r w:rsidR="00632F30">
        <w:t>ies fo</w:t>
      </w:r>
      <w:r w:rsidR="006E3CAE">
        <w:t>r the dose rate on the NPP site boundary</w:t>
      </w:r>
      <w:r w:rsidR="009F6609" w:rsidRPr="009F6609">
        <w:t xml:space="preserve"> must remain unchanged despite the new SFDS </w:t>
      </w:r>
      <w:r w:rsidR="006E3CAE">
        <w:t xml:space="preserve">will be </w:t>
      </w:r>
      <w:r w:rsidR="009F6609" w:rsidRPr="009F6609">
        <w:t>located within the</w:t>
      </w:r>
      <w:r w:rsidR="006E3CAE">
        <w:t xml:space="preserve"> site</w:t>
      </w:r>
      <w:r w:rsidR="00503B98">
        <w:t>. The limit of the dose rate</w:t>
      </w:r>
      <w:r w:rsidR="009F6609" w:rsidRPr="009F6609">
        <w:t xml:space="preserve"> on the SFDS outer wall is also prescribed for the control of radioactivity.</w:t>
      </w:r>
      <w:r w:rsidR="009F6609">
        <w:t xml:space="preserve"> </w:t>
      </w:r>
      <w:r w:rsidR="009C23E2" w:rsidRPr="009C23E2">
        <w:t xml:space="preserve">The direct radiation from the storage measured </w:t>
      </w:r>
      <w:r w:rsidR="006E3CAE">
        <w:t>at the site boundary</w:t>
      </w:r>
      <w:r w:rsidR="009C23E2" w:rsidRPr="009C23E2">
        <w:t xml:space="preserve"> should </w:t>
      </w:r>
      <w:r w:rsidR="006E3CAE">
        <w:t>not exceed dose limit of</w:t>
      </w:r>
      <w:r w:rsidR="00C46009">
        <w:t xml:space="preserve"> 0.05 mSv per year and t</w:t>
      </w:r>
      <w:r w:rsidR="009C23E2" w:rsidRPr="009C23E2">
        <w:t>he allowed SFDS building outside wall dose rate shall not exceed 3µSv/h</w:t>
      </w:r>
      <w:r w:rsidR="00C46009">
        <w:t>.</w:t>
      </w:r>
    </w:p>
    <w:p w14:paraId="6876E6C2" w14:textId="224B416D" w:rsidR="009C23E2" w:rsidRDefault="009C23E2" w:rsidP="00A2476E">
      <w:pPr>
        <w:pStyle w:val="Telobesedila"/>
      </w:pPr>
      <w:r w:rsidRPr="009C23E2">
        <w:t>The acceptance crit</w:t>
      </w:r>
      <w:r w:rsidR="00C3613B">
        <w:t>erion for accident condition is also prescribed.</w:t>
      </w:r>
      <w:r w:rsidR="009F6609">
        <w:t xml:space="preserve"> </w:t>
      </w:r>
      <w:r w:rsidRPr="009C23E2">
        <w:t>Any individual located on or beyond the nearest boundary of the controlled area may not receive from any design basis accident the more limiting of a total effective do</w:t>
      </w:r>
      <w:r w:rsidR="00632F30">
        <w:t xml:space="preserve">se equivalent </w:t>
      </w:r>
      <w:r w:rsidR="00692FFE">
        <w:t>of 0.</w:t>
      </w:r>
      <w:r w:rsidR="00632F30">
        <w:t xml:space="preserve">05 </w:t>
      </w:r>
      <w:proofErr w:type="spellStart"/>
      <w:r w:rsidR="00632F30">
        <w:t>Sv</w:t>
      </w:r>
      <w:proofErr w:type="spellEnd"/>
      <w:r w:rsidRPr="009C23E2">
        <w:t>.</w:t>
      </w:r>
      <w:r w:rsidR="00A2476E">
        <w:t xml:space="preserve"> </w:t>
      </w:r>
    </w:p>
    <w:p w14:paraId="40B1BA08" w14:textId="17D21F4B" w:rsidR="00FF01BC" w:rsidRDefault="00A827C9" w:rsidP="00B47CD3">
      <w:pPr>
        <w:pStyle w:val="Telobesedila"/>
      </w:pPr>
      <w:r>
        <w:t>A</w:t>
      </w:r>
      <w:r w:rsidR="00696C26">
        <w:t>nalyse</w:t>
      </w:r>
      <w:r w:rsidR="00FF01BC">
        <w:t xml:space="preserve">s of </w:t>
      </w:r>
      <w:r w:rsidR="00027B4E">
        <w:t>o</w:t>
      </w:r>
      <w:r w:rsidR="00FF01BC" w:rsidRPr="00FF01BC">
        <w:t xml:space="preserve">ccupational </w:t>
      </w:r>
      <w:r w:rsidR="00027B4E">
        <w:t>dose r</w:t>
      </w:r>
      <w:r w:rsidR="00CC1388">
        <w:t>ates for SFDS and</w:t>
      </w:r>
      <w:r w:rsidR="00EF0D45">
        <w:t xml:space="preserve"> site boundary as well as</w:t>
      </w:r>
      <w:r w:rsidR="00027B4E">
        <w:t xml:space="preserve"> outside w</w:t>
      </w:r>
      <w:r w:rsidR="00FF01BC">
        <w:t xml:space="preserve">all </w:t>
      </w:r>
      <w:r w:rsidR="00027B4E">
        <w:t>dose c</w:t>
      </w:r>
      <w:r w:rsidR="0084372A">
        <w:t>alculations were</w:t>
      </w:r>
      <w:r w:rsidR="00FF01BC">
        <w:t xml:space="preserve"> prepared.</w:t>
      </w:r>
      <w:r w:rsidR="00B47CD3" w:rsidRPr="00B47CD3">
        <w:t xml:space="preserve"> </w:t>
      </w:r>
      <w:r w:rsidR="00696C26">
        <w:t>The</w:t>
      </w:r>
      <w:r w:rsidR="00B47CD3">
        <w:t xml:space="preserve"> methodology separates the dose rate calculations into two independently performed parts, nam</w:t>
      </w:r>
      <w:r w:rsidR="00FD2D3F">
        <w:t>ely the source term calculation</w:t>
      </w:r>
      <w:r w:rsidR="00B47CD3">
        <w:t xml:space="preserve"> and the radiation transport calculation. The results of those two parts are then combined to establish actual dose rates.</w:t>
      </w:r>
    </w:p>
    <w:p w14:paraId="735303C7" w14:textId="35D6C374" w:rsidR="009C23E2" w:rsidRDefault="00C3613B" w:rsidP="00C46009">
      <w:pPr>
        <w:pStyle w:val="Telobesedila"/>
      </w:pPr>
      <w:r>
        <w:t xml:space="preserve">Independent evaluation </w:t>
      </w:r>
      <w:r w:rsidR="00696C26">
        <w:t xml:space="preserve">of the analyses </w:t>
      </w:r>
      <w:r w:rsidR="00EF0D45">
        <w:t>completeness and correctness was performed</w:t>
      </w:r>
      <w:r w:rsidR="00632F30">
        <w:t xml:space="preserve">. </w:t>
      </w:r>
      <w:r w:rsidR="009C23E2" w:rsidRPr="009C23E2">
        <w:t>Some additiona</w:t>
      </w:r>
      <w:r w:rsidR="00EF0D45">
        <w:t xml:space="preserve">l independent calculations included </w:t>
      </w:r>
      <w:r w:rsidR="00692FFE">
        <w:t>sp</w:t>
      </w:r>
      <w:r w:rsidR="00FE03B2">
        <w:t>ent fuel inventory calculations</w:t>
      </w:r>
      <w:r w:rsidR="00EF0D45">
        <w:t xml:space="preserve"> and</w:t>
      </w:r>
      <w:r>
        <w:t xml:space="preserve"> dose rates calculations</w:t>
      </w:r>
      <w:r w:rsidR="00632F30">
        <w:t xml:space="preserve">. </w:t>
      </w:r>
      <w:r w:rsidR="008B5962">
        <w:t>The main</w:t>
      </w:r>
      <w:r w:rsidR="00C46009">
        <w:t xml:space="preserve"> findings</w:t>
      </w:r>
      <w:r w:rsidR="009C23E2" w:rsidRPr="009C23E2">
        <w:t xml:space="preserve"> were related to described methodology and obtained results and way the variance reduction and uncertainties were used</w:t>
      </w:r>
      <w:r w:rsidR="00632F30">
        <w:t xml:space="preserve">. </w:t>
      </w:r>
      <w:r w:rsidR="009C23E2" w:rsidRPr="009C23E2">
        <w:t>The conclusion wa</w:t>
      </w:r>
      <w:r w:rsidR="0003600D">
        <w:t>s that provided margin for site boundary</w:t>
      </w:r>
      <w:r w:rsidR="009C23E2" w:rsidRPr="009C23E2">
        <w:t xml:space="preserve"> dose was too small and that some values/dependencies are not as expected.</w:t>
      </w:r>
      <w:r w:rsidR="00B5755D" w:rsidRPr="00B26B9D">
        <w:t xml:space="preserve"> </w:t>
      </w:r>
      <w:bookmarkStart w:id="6" w:name="_Hlk1642325"/>
      <w:r w:rsidR="0003600D">
        <w:t>R</w:t>
      </w:r>
      <w:r w:rsidR="00B26B9D" w:rsidRPr="00B26B9D">
        <w:t xml:space="preserve">evision of the project </w:t>
      </w:r>
      <w:bookmarkEnd w:id="6"/>
      <w:r w:rsidR="000B7BD0">
        <w:t xml:space="preserve">was prepared (redesign) with </w:t>
      </w:r>
      <w:r w:rsidR="00C46009">
        <w:t>improved s</w:t>
      </w:r>
      <w:r w:rsidR="00FD2D3F">
        <w:t>hielding design</w:t>
      </w:r>
      <w:r w:rsidR="00C46009">
        <w:t xml:space="preserve"> </w:t>
      </w:r>
      <w:r w:rsidR="000B7BD0">
        <w:t>(</w:t>
      </w:r>
      <w:r w:rsidR="00C46009">
        <w:t xml:space="preserve">storage cask and </w:t>
      </w:r>
      <w:r w:rsidR="001C2EC4">
        <w:t>SFDS</w:t>
      </w:r>
      <w:r w:rsidR="00C46009">
        <w:t xml:space="preserve"> building</w:t>
      </w:r>
      <w:r w:rsidR="000B7BD0">
        <w:t>)</w:t>
      </w:r>
      <w:r w:rsidR="00C46009">
        <w:t xml:space="preserve"> and </w:t>
      </w:r>
      <w:r w:rsidR="00E027BB">
        <w:t xml:space="preserve">new </w:t>
      </w:r>
      <w:r w:rsidR="00C46009">
        <w:t>loading plan. The proposed design follows ALARA principle as related to doses during loading, manipulation and storage of the casks</w:t>
      </w:r>
      <w:r w:rsidR="00971909">
        <w:t xml:space="preserve">. The </w:t>
      </w:r>
      <w:r w:rsidR="00C46009">
        <w:t xml:space="preserve">dose calculations </w:t>
      </w:r>
      <w:r w:rsidR="00B15AE4">
        <w:t>for revis</w:t>
      </w:r>
      <w:r w:rsidR="00707C05">
        <w:t xml:space="preserve">ed </w:t>
      </w:r>
      <w:r w:rsidR="00BF6A1E">
        <w:t>project</w:t>
      </w:r>
      <w:r w:rsidR="000B7BD0">
        <w:t xml:space="preserve"> fulfil the </w:t>
      </w:r>
      <w:r w:rsidR="007E04A5">
        <w:t>requirements</w:t>
      </w:r>
      <w:r w:rsidR="00C46009">
        <w:t>.</w:t>
      </w:r>
    </w:p>
    <w:p w14:paraId="2FF0C99E" w14:textId="5ADB6217" w:rsidR="007E04A5" w:rsidRDefault="007E04A5" w:rsidP="007E04A5">
      <w:pPr>
        <w:widowControl w:val="0"/>
        <w:numPr>
          <w:ilvl w:val="1"/>
          <w:numId w:val="6"/>
        </w:numPr>
        <w:overflowPunct/>
        <w:autoSpaceDE/>
        <w:autoSpaceDN/>
        <w:adjustRightInd/>
        <w:spacing w:before="100" w:beforeAutospacing="1" w:after="100" w:afterAutospacing="1" w:line="280" w:lineRule="atLeast"/>
        <w:ind w:left="0"/>
        <w:textAlignment w:val="auto"/>
        <w:outlineLvl w:val="1"/>
        <w:rPr>
          <w:caps/>
          <w:sz w:val="20"/>
        </w:rPr>
      </w:pPr>
      <w:r w:rsidRPr="007E04A5">
        <w:rPr>
          <w:caps/>
          <w:sz w:val="20"/>
        </w:rPr>
        <w:lastRenderedPageBreak/>
        <w:t>Regulatory experience</w:t>
      </w:r>
    </w:p>
    <w:p w14:paraId="6143B887" w14:textId="44F4AF4C" w:rsidR="003D0095" w:rsidRDefault="003D0095" w:rsidP="00F171E8">
      <w:pPr>
        <w:pStyle w:val="Telobesedila"/>
      </w:pPr>
      <w:r>
        <w:t xml:space="preserve">The licensing process </w:t>
      </w:r>
      <w:r w:rsidR="00B16BED">
        <w:t>for the SFDS</w:t>
      </w:r>
      <w:r>
        <w:t xml:space="preserve"> is on-going. </w:t>
      </w:r>
      <w:r w:rsidR="00235968">
        <w:t>In 2017, in accordance with the legislation,</w:t>
      </w:r>
      <w:r w:rsidR="00880910">
        <w:t xml:space="preserve"> t</w:t>
      </w:r>
      <w:r>
        <w:t xml:space="preserve">he SNSA issued </w:t>
      </w:r>
      <w:r w:rsidR="00235968">
        <w:t>the</w:t>
      </w:r>
      <w:r>
        <w:t xml:space="preserve"> design conditions for </w:t>
      </w:r>
      <w:r w:rsidR="0089027C">
        <w:t>new spent fuel storage</w:t>
      </w:r>
      <w:r w:rsidR="00235968">
        <w:t xml:space="preserve"> </w:t>
      </w:r>
      <w:r w:rsidR="00EA1911">
        <w:t>[1]</w:t>
      </w:r>
      <w:r>
        <w:t xml:space="preserve">. </w:t>
      </w:r>
      <w:r w:rsidR="0089027C">
        <w:t xml:space="preserve">During the independent project review some issues were arise and the revision of the project was prepared. </w:t>
      </w:r>
      <w:r>
        <w:t xml:space="preserve">Based on the proposed redesign, the SNSA reviewed and assessed the proposed </w:t>
      </w:r>
      <w:r w:rsidR="00235968">
        <w:t xml:space="preserve">project </w:t>
      </w:r>
      <w:r>
        <w:t>changes</w:t>
      </w:r>
      <w:r w:rsidR="00A363D6">
        <w:t xml:space="preserve"> of the SFDS project and </w:t>
      </w:r>
      <w:r>
        <w:t>January 2019 issued the positive opi</w:t>
      </w:r>
      <w:r w:rsidR="00C8683E">
        <w:t>nion for</w:t>
      </w:r>
      <w:r w:rsidR="005E7DDC">
        <w:t xml:space="preserve"> the construction</w:t>
      </w:r>
      <w:r w:rsidR="00C8683E">
        <w:t xml:space="preserve"> license</w:t>
      </w:r>
      <w:r>
        <w:t>.</w:t>
      </w:r>
      <w:r w:rsidR="00F171E8">
        <w:t xml:space="preserve"> </w:t>
      </w:r>
    </w:p>
    <w:p w14:paraId="640FC941" w14:textId="2B01DC94" w:rsidR="000C3234" w:rsidRDefault="00070187" w:rsidP="003D0095">
      <w:pPr>
        <w:pStyle w:val="Telobesedila"/>
      </w:pPr>
      <w:r>
        <w:t xml:space="preserve">In accordance with </w:t>
      </w:r>
      <w:r w:rsidR="00C8683E">
        <w:t>DEC</w:t>
      </w:r>
      <w:r w:rsidRPr="00070187">
        <w:t xml:space="preserve"> approach</w:t>
      </w:r>
      <w:r>
        <w:t>, the</w:t>
      </w:r>
      <w:r w:rsidR="00C8683E">
        <w:t xml:space="preserve"> new SFDS design based on regulatory requirements while </w:t>
      </w:r>
      <w:r w:rsidR="00291C16">
        <w:t>s</w:t>
      </w:r>
      <w:r w:rsidRPr="00111957">
        <w:t xml:space="preserve">ome of design basis conditions are defined even stricter by the operator. </w:t>
      </w:r>
      <w:r w:rsidR="000C3234">
        <w:t xml:space="preserve">DEC </w:t>
      </w:r>
      <w:r w:rsidR="00A923BF" w:rsidRPr="00A923BF">
        <w:t xml:space="preserve">for </w:t>
      </w:r>
      <w:r w:rsidR="00A923BF">
        <w:t xml:space="preserve">long term </w:t>
      </w:r>
      <w:r w:rsidR="00A923BF" w:rsidRPr="00A923BF">
        <w:t xml:space="preserve">spent fuel storage </w:t>
      </w:r>
      <w:r w:rsidR="000C3234">
        <w:t xml:space="preserve">will be implemented </w:t>
      </w:r>
      <w:r w:rsidR="00A923BF">
        <w:t xml:space="preserve">in Krško NPP </w:t>
      </w:r>
      <w:r w:rsidR="00291C16" w:rsidRPr="00291C16">
        <w:t xml:space="preserve">for the first time. </w:t>
      </w:r>
      <w:r w:rsidR="003D0095" w:rsidRPr="00B23F88">
        <w:t xml:space="preserve">The design and construction of the </w:t>
      </w:r>
      <w:r w:rsidR="00C8683E">
        <w:t>new SFDS</w:t>
      </w:r>
      <w:r w:rsidR="003D0095" w:rsidRPr="00B23F88">
        <w:t xml:space="preserve"> </w:t>
      </w:r>
      <w:r w:rsidR="00C8683E">
        <w:t>are a challenge for both</w:t>
      </w:r>
      <w:r w:rsidR="003D0095" w:rsidRPr="00B23F88">
        <w:t xml:space="preserve"> the manufacturer and the oper</w:t>
      </w:r>
      <w:r w:rsidR="000C3234">
        <w:t>ator</w:t>
      </w:r>
      <w:r w:rsidR="003D0095" w:rsidRPr="00B23F88">
        <w:t>.</w:t>
      </w:r>
      <w:r w:rsidR="000C3234" w:rsidRPr="000C3234">
        <w:t xml:space="preserve"> </w:t>
      </w:r>
      <w:r w:rsidR="003D0095">
        <w:t xml:space="preserve">The </w:t>
      </w:r>
      <w:r w:rsidR="00A923BF">
        <w:t xml:space="preserve">nuclear </w:t>
      </w:r>
      <w:r w:rsidR="003D0095">
        <w:t xml:space="preserve">industry does not yet have a well-established practice for such </w:t>
      </w:r>
      <w:r w:rsidR="000C3234">
        <w:t>demanding project</w:t>
      </w:r>
      <w:r w:rsidR="00C8683E">
        <w:t>s</w:t>
      </w:r>
      <w:r w:rsidR="000C3234">
        <w:t xml:space="preserve">. </w:t>
      </w:r>
    </w:p>
    <w:p w14:paraId="79399733" w14:textId="571794EE" w:rsidR="000C3234" w:rsidRDefault="00C8683E" w:rsidP="003D0095">
      <w:pPr>
        <w:pStyle w:val="Telobesedila"/>
      </w:pPr>
      <w:r>
        <w:t xml:space="preserve">The </w:t>
      </w:r>
      <w:r w:rsidR="00A923BF">
        <w:t>SFDS l</w:t>
      </w:r>
      <w:r w:rsidR="000C3234">
        <w:t xml:space="preserve">icensing </w:t>
      </w:r>
      <w:r w:rsidR="000C3234" w:rsidRPr="000C3234">
        <w:t xml:space="preserve">is also </w:t>
      </w:r>
      <w:r>
        <w:t xml:space="preserve">a </w:t>
      </w:r>
      <w:r w:rsidR="000C3234" w:rsidRPr="000C3234">
        <w:t xml:space="preserve">challenge for </w:t>
      </w:r>
      <w:r w:rsidR="00A923BF">
        <w:t xml:space="preserve">Slovenian </w:t>
      </w:r>
      <w:r w:rsidR="000C3234" w:rsidRPr="000C3234">
        <w:t>regulator.</w:t>
      </w:r>
      <w:r w:rsidR="00A923BF">
        <w:t xml:space="preserve"> </w:t>
      </w:r>
      <w:r w:rsidR="00D47CCB" w:rsidRPr="00D47CCB">
        <w:t>The presented regulatory experience shows that i</w:t>
      </w:r>
      <w:r w:rsidR="00A923BF">
        <w:t xml:space="preserve">n this novel work the </w:t>
      </w:r>
      <w:r w:rsidR="00D47CCB" w:rsidRPr="00D47CCB">
        <w:t>regul</w:t>
      </w:r>
      <w:r w:rsidR="003939F7">
        <w:t xml:space="preserve">ator and operator </w:t>
      </w:r>
      <w:r w:rsidR="00D47CCB" w:rsidRPr="00D47CCB">
        <w:t>could not rely on inter</w:t>
      </w:r>
      <w:r w:rsidR="00BA2355">
        <w:t xml:space="preserve">national practice </w:t>
      </w:r>
      <w:r w:rsidR="00D47CCB" w:rsidRPr="00D47CCB">
        <w:t>and were therefore forced to d</w:t>
      </w:r>
      <w:r w:rsidR="00A923BF">
        <w:t xml:space="preserve">efine </w:t>
      </w:r>
      <w:r w:rsidR="00577A3A">
        <w:t>and approve</w:t>
      </w:r>
      <w:r w:rsidR="0092492B">
        <w:t xml:space="preserve"> </w:t>
      </w:r>
      <w:r w:rsidR="00A923BF">
        <w:t>original solutions</w:t>
      </w:r>
      <w:r w:rsidR="00D47CCB" w:rsidRPr="00D47CCB">
        <w:t>. In this development process the role of authorized</w:t>
      </w:r>
      <w:r w:rsidR="00A50856">
        <w:t xml:space="preserve"> technical support organisation</w:t>
      </w:r>
      <w:r w:rsidR="00577A3A">
        <w:t xml:space="preserve"> (TSO) is</w:t>
      </w:r>
      <w:r w:rsidR="00D47CCB" w:rsidRPr="00D47CCB">
        <w:t xml:space="preserve"> </w:t>
      </w:r>
      <w:r w:rsidR="0092492B">
        <w:t xml:space="preserve">also </w:t>
      </w:r>
      <w:r w:rsidR="00577A3A">
        <w:t>very important,</w:t>
      </w:r>
      <w:r w:rsidR="00D47CCB" w:rsidRPr="00D47CCB">
        <w:t xml:space="preserve"> </w:t>
      </w:r>
      <w:r w:rsidR="00577A3A">
        <w:t xml:space="preserve">since </w:t>
      </w:r>
      <w:r w:rsidR="00A861C2">
        <w:t>TSO’s</w:t>
      </w:r>
      <w:r w:rsidR="00A50856">
        <w:t xml:space="preserve"> independent evaluation</w:t>
      </w:r>
      <w:r w:rsidR="00577A3A">
        <w:t xml:space="preserve"> triggered</w:t>
      </w:r>
      <w:r w:rsidR="00A50856" w:rsidRPr="00A50856">
        <w:t xml:space="preserve"> the redesign of the </w:t>
      </w:r>
      <w:r w:rsidR="003C374D">
        <w:t xml:space="preserve">original </w:t>
      </w:r>
      <w:r w:rsidR="00A50856">
        <w:t xml:space="preserve">SFDS </w:t>
      </w:r>
      <w:r w:rsidR="00577A3A">
        <w:t>project</w:t>
      </w:r>
      <w:r w:rsidR="00A50856" w:rsidRPr="00A50856">
        <w:t>.</w:t>
      </w:r>
      <w:r w:rsidR="00A50856">
        <w:t xml:space="preserve"> </w:t>
      </w:r>
    </w:p>
    <w:p w14:paraId="7E0B0ED2" w14:textId="1E24247F" w:rsidR="003D0095" w:rsidRDefault="003D0095" w:rsidP="003D0095">
      <w:pPr>
        <w:pStyle w:val="Telobesedila"/>
      </w:pPr>
      <w:r>
        <w:t>The prere</w:t>
      </w:r>
      <w:r w:rsidR="00A861C2">
        <w:t>quisite for successful implementation</w:t>
      </w:r>
      <w:r>
        <w:t xml:space="preserve"> o</w:t>
      </w:r>
      <w:r w:rsidR="00A861C2">
        <w:t>f new project</w:t>
      </w:r>
      <w:r w:rsidR="00EF6282">
        <w:t xml:space="preserve"> is knowledgeable TSO</w:t>
      </w:r>
      <w:r w:rsidR="00A861C2">
        <w:t>s which</w:t>
      </w:r>
      <w:r w:rsidR="00EF6282">
        <w:t xml:space="preserve"> independently evaluate</w:t>
      </w:r>
      <w:r>
        <w:t xml:space="preserve"> the project, an appropriately qualified regulatory body staff</w:t>
      </w:r>
      <w:r w:rsidR="00A27D3E">
        <w:t xml:space="preserve"> </w:t>
      </w:r>
      <w:r>
        <w:t>and appropriate knowledge</w:t>
      </w:r>
      <w:r w:rsidR="00450ABA">
        <w:t xml:space="preserve"> level</w:t>
      </w:r>
      <w:r>
        <w:t xml:space="preserve"> of </w:t>
      </w:r>
      <w:r w:rsidR="00450ABA">
        <w:t>the operator. The</w:t>
      </w:r>
      <w:r>
        <w:t xml:space="preserve"> </w:t>
      </w:r>
      <w:r w:rsidR="00450ABA" w:rsidRPr="00450ABA">
        <w:t xml:space="preserve">cooperation </w:t>
      </w:r>
      <w:r>
        <w:t>between all those involved in the licensing process</w:t>
      </w:r>
      <w:r w:rsidR="005E7DDC">
        <w:t xml:space="preserve"> in </w:t>
      </w:r>
      <w:r w:rsidR="00EF6282">
        <w:t xml:space="preserve">all </w:t>
      </w:r>
      <w:r w:rsidR="00A861C2">
        <w:t xml:space="preserve">phases (design, construction, commissioning, </w:t>
      </w:r>
      <w:r w:rsidR="005139E5">
        <w:t>operation</w:t>
      </w:r>
      <w:r w:rsidR="00A861C2">
        <w:t>)</w:t>
      </w:r>
      <w:r w:rsidR="00450ABA">
        <w:t xml:space="preserve"> is essential</w:t>
      </w:r>
      <w:r w:rsidR="00EF6282">
        <w:t xml:space="preserve">. </w:t>
      </w:r>
    </w:p>
    <w:p w14:paraId="09449131" w14:textId="513599B1" w:rsidR="003D0095" w:rsidRDefault="003D0095" w:rsidP="003D0095">
      <w:pPr>
        <w:pStyle w:val="Telobesedila"/>
      </w:pPr>
      <w:r w:rsidRPr="000A45C2">
        <w:t>Future ac</w:t>
      </w:r>
      <w:r>
        <w:t>tivities for the SFDS</w:t>
      </w:r>
      <w:r w:rsidRPr="000A45C2">
        <w:t xml:space="preserve"> are</w:t>
      </w:r>
      <w:r>
        <w:t xml:space="preserve"> licensing in accordance with </w:t>
      </w:r>
      <w:r w:rsidR="000179DA">
        <w:t>Nuclear safety a</w:t>
      </w:r>
      <w:r w:rsidRPr="000A45C2">
        <w:t>ct</w:t>
      </w:r>
      <w:r>
        <w:t xml:space="preserve"> [</w:t>
      </w:r>
      <w:r w:rsidR="003013C0">
        <w:t>6</w:t>
      </w:r>
      <w:r>
        <w:t xml:space="preserve">]. </w:t>
      </w:r>
      <w:r w:rsidR="000179DA">
        <w:t>The TSOs shall</w:t>
      </w:r>
      <w:r w:rsidR="006130AA" w:rsidRPr="006130AA">
        <w:t xml:space="preserve"> prepare the </w:t>
      </w:r>
      <w:r w:rsidR="00A861C2">
        <w:t xml:space="preserve">independent </w:t>
      </w:r>
      <w:r w:rsidR="006130AA" w:rsidRPr="006130AA">
        <w:t>expert opinion</w:t>
      </w:r>
      <w:r w:rsidR="00FE6428">
        <w:t>s</w:t>
      </w:r>
      <w:r w:rsidR="006130AA" w:rsidRPr="006130AA">
        <w:t xml:space="preserve"> to support t</w:t>
      </w:r>
      <w:r w:rsidR="000179DA">
        <w:t>he licensing process of the SNSA</w:t>
      </w:r>
      <w:r w:rsidR="006130AA" w:rsidRPr="006130AA">
        <w:t>.</w:t>
      </w:r>
      <w:r w:rsidR="006130AA">
        <w:t xml:space="preserve"> </w:t>
      </w:r>
      <w:r w:rsidR="000179DA">
        <w:t xml:space="preserve">The </w:t>
      </w:r>
      <w:r w:rsidR="00A861C2">
        <w:t>SNSA approval for operation</w:t>
      </w:r>
      <w:r w:rsidR="000179DA">
        <w:t xml:space="preserve"> </w:t>
      </w:r>
      <w:r>
        <w:t xml:space="preserve">is expected </w:t>
      </w:r>
      <w:r w:rsidR="000179DA">
        <w:t xml:space="preserve">in </w:t>
      </w:r>
      <w:r w:rsidR="007D1D3E">
        <w:t>2019 and construction can begin</w:t>
      </w:r>
      <w:r w:rsidR="00976778">
        <w:t xml:space="preserve"> </w:t>
      </w:r>
      <w:r w:rsidR="00614EB8">
        <w:t xml:space="preserve">and the first spent fuel </w:t>
      </w:r>
      <w:r w:rsidR="00A861C2" w:rsidRPr="00A861C2">
        <w:t>transfer from the spent fue</w:t>
      </w:r>
      <w:r w:rsidR="000179DA">
        <w:t>l pool into the SFDS is planned for</w:t>
      </w:r>
      <w:r w:rsidR="00A861C2" w:rsidRPr="00A861C2">
        <w:t xml:space="preserve"> 2021</w:t>
      </w:r>
      <w:r w:rsidR="00C92987">
        <w:t xml:space="preserve"> [1]</w:t>
      </w:r>
      <w:r w:rsidR="00A861C2" w:rsidRPr="00A861C2">
        <w:t>.</w:t>
      </w:r>
    </w:p>
    <w:p w14:paraId="68731828" w14:textId="4D1DA75B" w:rsidR="00F171E8" w:rsidRPr="00F171E8" w:rsidRDefault="00F171E8" w:rsidP="00F171E8">
      <w:pPr>
        <w:widowControl w:val="0"/>
        <w:numPr>
          <w:ilvl w:val="1"/>
          <w:numId w:val="6"/>
        </w:numPr>
        <w:overflowPunct/>
        <w:autoSpaceDE/>
        <w:autoSpaceDN/>
        <w:adjustRightInd/>
        <w:spacing w:before="100" w:beforeAutospacing="1" w:after="100" w:afterAutospacing="1" w:line="280" w:lineRule="atLeast"/>
        <w:ind w:left="0"/>
        <w:textAlignment w:val="auto"/>
        <w:outlineLvl w:val="1"/>
        <w:rPr>
          <w:caps/>
          <w:sz w:val="20"/>
        </w:rPr>
      </w:pPr>
      <w:r>
        <w:rPr>
          <w:caps/>
          <w:sz w:val="20"/>
        </w:rPr>
        <w:t>conclusion</w:t>
      </w:r>
    </w:p>
    <w:p w14:paraId="131D05EC" w14:textId="77919F5F" w:rsidR="00595ED7" w:rsidRPr="00442B56" w:rsidRDefault="00FB1344" w:rsidP="00442B56">
      <w:pPr>
        <w:pStyle w:val="Telobesedila"/>
      </w:pPr>
      <w:r w:rsidRPr="00442B56">
        <w:t xml:space="preserve">Due to operation </w:t>
      </w:r>
      <w:r w:rsidR="002D553B" w:rsidRPr="00442B56">
        <w:t xml:space="preserve">and management </w:t>
      </w:r>
      <w:r w:rsidRPr="00442B56">
        <w:t xml:space="preserve">restriction applied at the Krško NPP </w:t>
      </w:r>
      <w:r w:rsidR="002D553B" w:rsidRPr="00442B56">
        <w:t>after Fukushima</w:t>
      </w:r>
      <w:r w:rsidR="009D05D7" w:rsidRPr="00442B56">
        <w:t xml:space="preserve"> Daiichi accident</w:t>
      </w:r>
      <w:r w:rsidRPr="00442B56">
        <w:t xml:space="preserve"> and extended </w:t>
      </w:r>
      <w:r w:rsidR="002D553B" w:rsidRPr="00442B56">
        <w:t>lifetime t</w:t>
      </w:r>
      <w:r w:rsidRPr="00442B56">
        <w:t>o the year 2043</w:t>
      </w:r>
      <w:r w:rsidR="002D553B" w:rsidRPr="00442B56">
        <w:t>,</w:t>
      </w:r>
      <w:r w:rsidRPr="00442B56">
        <w:t xml:space="preserve"> </w:t>
      </w:r>
      <w:r w:rsidR="002D553B" w:rsidRPr="00442B56">
        <w:t xml:space="preserve">the </w:t>
      </w:r>
      <w:r w:rsidRPr="00442B56">
        <w:t xml:space="preserve">additional storage capabilities </w:t>
      </w:r>
      <w:r w:rsidR="002D553B" w:rsidRPr="00442B56">
        <w:t>to store spent fuel assemblies</w:t>
      </w:r>
      <w:r w:rsidR="009D05D7" w:rsidRPr="00442B56">
        <w:t xml:space="preserve"> are needed</w:t>
      </w:r>
      <w:r w:rsidR="002D553B" w:rsidRPr="00442B56">
        <w:t>.</w:t>
      </w:r>
      <w:r w:rsidR="00442B56" w:rsidRPr="00442B56">
        <w:t xml:space="preserve"> </w:t>
      </w:r>
      <w:r w:rsidR="00595ED7" w:rsidRPr="00442B56">
        <w:t xml:space="preserve">As there no permanent spent fuel storage location known on the world, the Krško NPP decided to use </w:t>
      </w:r>
      <w:r w:rsidR="004512AB">
        <w:t xml:space="preserve">the new </w:t>
      </w:r>
      <w:r w:rsidR="00442B56" w:rsidRPr="00442B56">
        <w:t>SFDS</w:t>
      </w:r>
      <w:r w:rsidR="00595ED7" w:rsidRPr="00442B56">
        <w:t xml:space="preserve"> for spent fuel storage. The SFDS is technical solution which is safer and more reliable system compared to classical spent fuel pool</w:t>
      </w:r>
      <w:r w:rsidR="0083767C" w:rsidRPr="00442B56">
        <w:t xml:space="preserve">, </w:t>
      </w:r>
      <w:r w:rsidR="00442B56" w:rsidRPr="00442B56">
        <w:t xml:space="preserve">mainly </w:t>
      </w:r>
      <w:r w:rsidR="0083767C" w:rsidRPr="00442B56">
        <w:t>due to its passive colling of the spent nuclear fuel</w:t>
      </w:r>
      <w:r w:rsidR="006177AE" w:rsidRPr="00442B56">
        <w:t xml:space="preserve"> [1]</w:t>
      </w:r>
      <w:r w:rsidR="0083767C" w:rsidRPr="00442B56">
        <w:t xml:space="preserve">. </w:t>
      </w:r>
    </w:p>
    <w:p w14:paraId="3F7323DC" w14:textId="47B2EFFC" w:rsidR="00D90F85" w:rsidRDefault="004316AE" w:rsidP="00FB1344">
      <w:pPr>
        <w:pStyle w:val="Telobesedila"/>
      </w:pPr>
      <w:r w:rsidRPr="004316AE">
        <w:rPr>
          <w:lang w:val="en"/>
        </w:rPr>
        <w:t xml:space="preserve">In order to demonstrate </w:t>
      </w:r>
      <w:r w:rsidR="00B45807">
        <w:rPr>
          <w:lang w:val="en"/>
        </w:rPr>
        <w:t xml:space="preserve">SFDS </w:t>
      </w:r>
      <w:r w:rsidRPr="004316AE">
        <w:rPr>
          <w:lang w:val="en"/>
        </w:rPr>
        <w:t xml:space="preserve">safety, it is particularly important to consider the </w:t>
      </w:r>
      <w:r w:rsidRPr="004316AE">
        <w:t>external and internal</w:t>
      </w:r>
      <w:r>
        <w:t xml:space="preserve"> hazards</w:t>
      </w:r>
      <w:r w:rsidRPr="004316AE">
        <w:rPr>
          <w:lang w:val="en"/>
        </w:rPr>
        <w:t xml:space="preserve">. </w:t>
      </w:r>
      <w:r w:rsidR="00D02B5F">
        <w:t xml:space="preserve">The effect of an </w:t>
      </w:r>
      <w:r w:rsidR="00AE1228">
        <w:t>earthquake</w:t>
      </w:r>
      <w:r w:rsidR="0019222C">
        <w:t xml:space="preserve"> on the S</w:t>
      </w:r>
      <w:r w:rsidR="00D02B5F">
        <w:t>FD</w:t>
      </w:r>
      <w:r w:rsidR="0019222C">
        <w:t>S</w:t>
      </w:r>
      <w:r w:rsidR="003356EF">
        <w:t xml:space="preserve"> was</w:t>
      </w:r>
      <w:r w:rsidR="00D02B5F">
        <w:t xml:space="preserve"> </w:t>
      </w:r>
      <w:r w:rsidR="00CC1C13" w:rsidRPr="00CC1C13">
        <w:t xml:space="preserve">accurately </w:t>
      </w:r>
      <w:r w:rsidR="00AE1228">
        <w:t>analysed. The analyses show that the</w:t>
      </w:r>
      <w:r w:rsidR="00CC1C13">
        <w:t xml:space="preserve"> SFDS </w:t>
      </w:r>
      <w:r w:rsidR="00CF05BA">
        <w:t xml:space="preserve">withstands </w:t>
      </w:r>
      <w:r w:rsidR="00CC1C13">
        <w:t>effects of various external hazards</w:t>
      </w:r>
      <w:r w:rsidR="00AE1228">
        <w:t xml:space="preserve">. </w:t>
      </w:r>
    </w:p>
    <w:p w14:paraId="0D8C29FE" w14:textId="099BE973" w:rsidR="00C92494" w:rsidRDefault="00170C44" w:rsidP="00C92494">
      <w:pPr>
        <w:pStyle w:val="Telobesedila"/>
      </w:pPr>
      <w:r w:rsidRPr="00170C44">
        <w:t>The design and construc</w:t>
      </w:r>
      <w:r w:rsidR="00CF05BA">
        <w:t>tion of the new SFDS</w:t>
      </w:r>
      <w:r w:rsidR="00AE5887">
        <w:t xml:space="preserve"> shall</w:t>
      </w:r>
      <w:r w:rsidRPr="00170C44">
        <w:t xml:space="preserve"> meet all specified design basis condit</w:t>
      </w:r>
      <w:r w:rsidR="00CF05BA">
        <w:t>ions and this is a</w:t>
      </w:r>
      <w:r w:rsidR="00785A65">
        <w:t xml:space="preserve"> </w:t>
      </w:r>
      <w:r w:rsidR="00AE5887">
        <w:t xml:space="preserve">challenge for </w:t>
      </w:r>
      <w:r w:rsidR="00C50880">
        <w:t xml:space="preserve">the manufacturer, </w:t>
      </w:r>
      <w:r w:rsidRPr="00170C44">
        <w:t xml:space="preserve">operator </w:t>
      </w:r>
      <w:r w:rsidR="00C50880">
        <w:t xml:space="preserve">and SNSA </w:t>
      </w:r>
      <w:r w:rsidRPr="00170C44">
        <w:t>as well.</w:t>
      </w:r>
      <w:r w:rsidR="003356EF">
        <w:t xml:space="preserve"> The licencing process is underway. The SFDS</w:t>
      </w:r>
      <w:r w:rsidR="003356EF" w:rsidRPr="003356EF">
        <w:t xml:space="preserve"> is to be completed by the year 2021 and this is </w:t>
      </w:r>
      <w:r w:rsidR="003356EF">
        <w:t xml:space="preserve">also one of </w:t>
      </w:r>
      <w:r w:rsidR="003356EF" w:rsidRPr="003356EF">
        <w:t>a prerequ</w:t>
      </w:r>
      <w:r w:rsidR="003356EF">
        <w:t>isite</w:t>
      </w:r>
      <w:r w:rsidR="00CF05BA">
        <w:t>s</w:t>
      </w:r>
      <w:r w:rsidR="003356EF">
        <w:t xml:space="preserve"> for the extension of the Krško NPP</w:t>
      </w:r>
      <w:r w:rsidR="003356EF" w:rsidRPr="003356EF">
        <w:t xml:space="preserve"> lifetime beyond the original 40 years of operational lifetime.</w:t>
      </w:r>
      <w:r w:rsidR="003356EF">
        <w:t xml:space="preserve"> </w:t>
      </w:r>
      <w:bookmarkStart w:id="7" w:name="_Hlk5956068"/>
    </w:p>
    <w:p w14:paraId="43EE4DC9" w14:textId="77777777" w:rsidR="007E04A5" w:rsidRPr="007E04A5" w:rsidRDefault="007E04A5" w:rsidP="007E04A5">
      <w:pPr>
        <w:widowControl w:val="0"/>
        <w:numPr>
          <w:ilvl w:val="1"/>
          <w:numId w:val="6"/>
        </w:numPr>
        <w:overflowPunct/>
        <w:autoSpaceDE/>
        <w:autoSpaceDN/>
        <w:adjustRightInd/>
        <w:spacing w:before="100" w:beforeAutospacing="1" w:after="100" w:afterAutospacing="1" w:line="280" w:lineRule="atLeast"/>
        <w:ind w:left="0"/>
        <w:textAlignment w:val="auto"/>
        <w:outlineLvl w:val="1"/>
        <w:rPr>
          <w:caps/>
          <w:sz w:val="20"/>
        </w:rPr>
      </w:pPr>
      <w:r w:rsidRPr="007E04A5">
        <w:rPr>
          <w:caps/>
          <w:sz w:val="20"/>
        </w:rPr>
        <w:t>REFERENCES</w:t>
      </w:r>
    </w:p>
    <w:p w14:paraId="00656E4B" w14:textId="5FF4FC20" w:rsidR="007221C5" w:rsidRDefault="00F00CBE" w:rsidP="001A3031">
      <w:pPr>
        <w:pStyle w:val="Referencelist"/>
      </w:pPr>
      <w:r>
        <w:rPr>
          <w:lang w:val="en"/>
        </w:rPr>
        <w:t>A. PER</w:t>
      </w:r>
      <w:r w:rsidR="00C5050A">
        <w:rPr>
          <w:lang w:val="en"/>
        </w:rPr>
        <w:t>Š</w:t>
      </w:r>
      <w:r>
        <w:rPr>
          <w:lang w:val="en"/>
        </w:rPr>
        <w:t>I</w:t>
      </w:r>
      <w:r w:rsidR="00C5050A">
        <w:rPr>
          <w:lang w:val="en"/>
        </w:rPr>
        <w:t>Č</w:t>
      </w:r>
      <w:r>
        <w:rPr>
          <w:lang w:val="en"/>
        </w:rPr>
        <w:t xml:space="preserve"> at al</w:t>
      </w:r>
      <w:r w:rsidR="002F4697">
        <w:rPr>
          <w:lang w:val="en"/>
        </w:rPr>
        <w:t>.</w:t>
      </w:r>
      <w:r>
        <w:rPr>
          <w:lang w:val="en"/>
        </w:rPr>
        <w:t xml:space="preserve">, </w:t>
      </w:r>
      <w:r w:rsidR="007221C5" w:rsidRPr="007221C5">
        <w:rPr>
          <w:lang w:val="en"/>
        </w:rPr>
        <w:t>New Safety Requirements for Power Reactor Spent Fuel Storage</w:t>
      </w:r>
      <w:r>
        <w:rPr>
          <w:lang w:val="en"/>
        </w:rPr>
        <w:t xml:space="preserve">, </w:t>
      </w:r>
      <w:r w:rsidRPr="00F00CBE">
        <w:t xml:space="preserve">Proceedings of the </w:t>
      </w:r>
      <w:r>
        <w:t>27</w:t>
      </w:r>
      <w:r w:rsidRPr="00F00CBE">
        <w:t xml:space="preserve">th International Conference </w:t>
      </w:r>
      <w:r>
        <w:t>Nuclear Energy for New Europe</w:t>
      </w:r>
      <w:r w:rsidRPr="00F00CBE">
        <w:t xml:space="preserve">, </w:t>
      </w:r>
      <w:r>
        <w:t>Portorož</w:t>
      </w:r>
      <w:r w:rsidRPr="00F00CBE">
        <w:t xml:space="preserve">, </w:t>
      </w:r>
      <w:r>
        <w:t>Slovenia</w:t>
      </w:r>
      <w:r w:rsidRPr="00F00CBE">
        <w:t>, (2018).</w:t>
      </w:r>
    </w:p>
    <w:p w14:paraId="0769E6FA" w14:textId="4D8D18CD" w:rsidR="00F00CBE" w:rsidRDefault="00F00CBE" w:rsidP="00F00CBE">
      <w:pPr>
        <w:pStyle w:val="Referencelist"/>
      </w:pPr>
      <w:r>
        <w:t>S. CIME</w:t>
      </w:r>
      <w:r w:rsidR="00C5050A">
        <w:t>Š</w:t>
      </w:r>
      <w:r>
        <w:t>A at al</w:t>
      </w:r>
      <w:r w:rsidR="002F4697">
        <w:t>.</w:t>
      </w:r>
      <w:r>
        <w:t>,</w:t>
      </w:r>
      <w:r w:rsidRPr="00F00CBE">
        <w:t xml:space="preserve"> </w:t>
      </w:r>
      <w:r>
        <w:t xml:space="preserve">Transposition Challenges of New WENRA Requirements into Slovenian Regulation, </w:t>
      </w:r>
      <w:r w:rsidRPr="00F00CBE">
        <w:t>Proceedings of the 2</w:t>
      </w:r>
      <w:r>
        <w:t>4</w:t>
      </w:r>
      <w:r w:rsidRPr="00F00CBE">
        <w:t>th International Conference Nuclear Energy for New Europe, Portorož, Slovenia, (201</w:t>
      </w:r>
      <w:r>
        <w:t>5</w:t>
      </w:r>
      <w:r w:rsidRPr="00F00CBE">
        <w:t>).</w:t>
      </w:r>
    </w:p>
    <w:p w14:paraId="781B8295" w14:textId="22C1D06B" w:rsidR="001A3031" w:rsidRPr="001A3031" w:rsidRDefault="001A3031" w:rsidP="001A3031">
      <w:pPr>
        <w:pStyle w:val="Referencelist"/>
      </w:pPr>
      <w:r w:rsidRPr="001A3031">
        <w:t xml:space="preserve">WENRA Reactor Safety Reference Levels, WENRA RHWG, </w:t>
      </w:r>
      <w:r w:rsidR="002014C6">
        <w:t>(</w:t>
      </w:r>
      <w:r w:rsidRPr="001A3031">
        <w:t>2008</w:t>
      </w:r>
      <w:r w:rsidR="002014C6">
        <w:t>)</w:t>
      </w:r>
      <w:r w:rsidRPr="001A3031">
        <w:t>.</w:t>
      </w:r>
    </w:p>
    <w:p w14:paraId="526D8A49" w14:textId="362A0AA0" w:rsidR="001A3031" w:rsidRPr="001A3031" w:rsidRDefault="001A3031" w:rsidP="001A3031">
      <w:pPr>
        <w:pStyle w:val="Referencelist"/>
      </w:pPr>
      <w:r w:rsidRPr="001A3031">
        <w:t xml:space="preserve">WENRA, Safety Reference Levels for Existing Reactors, WENRA RHWG, </w:t>
      </w:r>
      <w:r w:rsidR="002014C6">
        <w:t>(</w:t>
      </w:r>
      <w:r w:rsidRPr="001A3031">
        <w:t>2014</w:t>
      </w:r>
      <w:r w:rsidR="002014C6">
        <w:t>)</w:t>
      </w:r>
      <w:r w:rsidRPr="001A3031">
        <w:t>.</w:t>
      </w:r>
    </w:p>
    <w:p w14:paraId="4F5EF726" w14:textId="7522F815" w:rsidR="001A3031" w:rsidRPr="001A3031" w:rsidRDefault="001A3031" w:rsidP="001A3031">
      <w:pPr>
        <w:pStyle w:val="Referencelist"/>
      </w:pPr>
      <w:r w:rsidRPr="001A3031">
        <w:t xml:space="preserve">WENRA, Guidance Document Issue F: Design Extension of Existing Reactors, </w:t>
      </w:r>
      <w:r w:rsidR="002014C6">
        <w:t>(</w:t>
      </w:r>
      <w:r w:rsidRPr="001A3031">
        <w:t>2014</w:t>
      </w:r>
      <w:r w:rsidR="002014C6">
        <w:t>)</w:t>
      </w:r>
      <w:r w:rsidRPr="001A3031">
        <w:t>.</w:t>
      </w:r>
    </w:p>
    <w:p w14:paraId="093C4479" w14:textId="42BC102C" w:rsidR="001A3031" w:rsidRPr="001A3031" w:rsidRDefault="001A3031" w:rsidP="001A3031">
      <w:pPr>
        <w:pStyle w:val="Referencelist"/>
      </w:pPr>
      <w:r w:rsidRPr="001A3031">
        <w:t xml:space="preserve">Ionising Radiation Protection </w:t>
      </w:r>
      <w:r w:rsidR="00AA1D63">
        <w:t>and Nuclear Safety Act, ZVISJV-1</w:t>
      </w:r>
      <w:r w:rsidRPr="001A3031">
        <w:t>, Official Gazette RS No. 74/2015</w:t>
      </w:r>
      <w:r w:rsidR="00C40DFA">
        <w:t>, 2015</w:t>
      </w:r>
      <w:r w:rsidRPr="001A3031">
        <w:t>.</w:t>
      </w:r>
    </w:p>
    <w:p w14:paraId="681B9D5D" w14:textId="2C8A3682" w:rsidR="001A3031" w:rsidRPr="001A3031" w:rsidRDefault="001A3031" w:rsidP="001A3031">
      <w:pPr>
        <w:pStyle w:val="Referencelist"/>
      </w:pPr>
      <w:r w:rsidRPr="001A3031">
        <w:t xml:space="preserve">Rules on Radiation and Nuclear Safety Factors, </w:t>
      </w:r>
      <w:r w:rsidR="009A4572">
        <w:t xml:space="preserve">JV5, </w:t>
      </w:r>
      <w:r w:rsidRPr="001A3031">
        <w:t>Official Gazette RS No. 74/16</w:t>
      </w:r>
      <w:r w:rsidR="00AA1D63">
        <w:t>, 2016</w:t>
      </w:r>
      <w:r w:rsidRPr="001A3031">
        <w:t>.</w:t>
      </w:r>
    </w:p>
    <w:p w14:paraId="31E56EF2" w14:textId="6B5FADD8" w:rsidR="001A3031" w:rsidRDefault="001A3031" w:rsidP="0074293F">
      <w:pPr>
        <w:pStyle w:val="Referencelist"/>
        <w:jc w:val="left"/>
      </w:pPr>
      <w:r w:rsidRPr="001A3031">
        <w:lastRenderedPageBreak/>
        <w:t xml:space="preserve">SNSA Practical Guidelines PS 1.06, Definition of Plant States, </w:t>
      </w:r>
      <w:hyperlink r:id="rId9" w:history="1">
        <w:r w:rsidR="00AA1D63" w:rsidRPr="00B965B2">
          <w:rPr>
            <w:rStyle w:val="Hiperpovezava"/>
          </w:rPr>
          <w:t>http://www.ursjv.gov.si/si/zakonodaja_in_dokumenti/prakticne_smernice_ursjv/</w:t>
        </w:r>
      </w:hyperlink>
      <w:r w:rsidR="00AA1D63">
        <w:t>, 2018</w:t>
      </w:r>
      <w:r w:rsidR="00C40DFA">
        <w:t>.</w:t>
      </w:r>
    </w:p>
    <w:p w14:paraId="509D33C6" w14:textId="5C31A075" w:rsidR="003C374D" w:rsidRDefault="003C374D" w:rsidP="003C374D">
      <w:pPr>
        <w:pStyle w:val="Referencelist"/>
      </w:pPr>
      <w:r w:rsidRPr="003C374D">
        <w:t>NPP Krško Safety Upgrade Project Design Inputs and Interfaces, Rev. 8., (2016).</w:t>
      </w:r>
    </w:p>
    <w:p w14:paraId="4B81A812" w14:textId="7C9872E7" w:rsidR="008C3AD3" w:rsidRPr="001A3031" w:rsidRDefault="008C3AD3" w:rsidP="001F70B4">
      <w:pPr>
        <w:pStyle w:val="Referencelist"/>
      </w:pPr>
      <w:r>
        <w:t>US NRC 10</w:t>
      </w:r>
      <w:r w:rsidR="001F70B4">
        <w:t xml:space="preserve"> </w:t>
      </w:r>
      <w:r>
        <w:t>CFR</w:t>
      </w:r>
      <w:r w:rsidR="001F70B4">
        <w:t xml:space="preserve"> </w:t>
      </w:r>
      <w:r>
        <w:t>72.124</w:t>
      </w:r>
      <w:r w:rsidR="001F70B4">
        <w:t xml:space="preserve">, </w:t>
      </w:r>
      <w:r w:rsidR="001F70B4" w:rsidRPr="001F70B4">
        <w:t>Criteria for nuclear criticality safety</w:t>
      </w:r>
      <w:r w:rsidRPr="008C3AD3">
        <w:t>.</w:t>
      </w:r>
    </w:p>
    <w:p w14:paraId="2FEFAF9A" w14:textId="097C0CE4" w:rsidR="00D00F37" w:rsidRDefault="00D00F37" w:rsidP="00152B52">
      <w:pPr>
        <w:pStyle w:val="Referencelist"/>
      </w:pPr>
      <w:r>
        <w:t xml:space="preserve">Regulatory Guide 1.60, “Design Response Spectra for </w:t>
      </w:r>
      <w:r w:rsidR="00152B52">
        <w:t xml:space="preserve">Seismic Design of Nuclear Power </w:t>
      </w:r>
      <w:r>
        <w:t>Pla</w:t>
      </w:r>
      <w:r w:rsidR="00C40DFA">
        <w:t>nts”, Revision , (1973)</w:t>
      </w:r>
      <w:r>
        <w:t>.</w:t>
      </w:r>
    </w:p>
    <w:p w14:paraId="7114DB5E" w14:textId="6F04F2A4" w:rsidR="00D00F37" w:rsidRDefault="00D00F37" w:rsidP="00152B52">
      <w:pPr>
        <w:pStyle w:val="Referencelist"/>
      </w:pPr>
      <w:r>
        <w:t xml:space="preserve"> EN 1998-1:2004, Eurocode 8: Design of Structures for Earthquake Resistance - Part 1:General Rules, Seismic Actions and Rules for Buildings</w:t>
      </w:r>
      <w:r w:rsidR="00906619">
        <w:t>, 2004</w:t>
      </w:r>
      <w:r>
        <w:t>.</w:t>
      </w:r>
    </w:p>
    <w:p w14:paraId="689B5A56" w14:textId="539A82FB" w:rsidR="008C3AD3" w:rsidRDefault="00D00F37" w:rsidP="00C93673">
      <w:pPr>
        <w:pStyle w:val="Referencelist"/>
      </w:pPr>
      <w:r>
        <w:t xml:space="preserve"> NUREG/CR-2300, PRA Procedure Guide. US NRC, 1983.</w:t>
      </w:r>
    </w:p>
    <w:p w14:paraId="54CBD925" w14:textId="4134285E" w:rsidR="00881815" w:rsidRDefault="00F00CBE" w:rsidP="00881815">
      <w:pPr>
        <w:pStyle w:val="Referencelist"/>
      </w:pPr>
      <w:r w:rsidRPr="00881815">
        <w:t>KENNEDY, R.P., REED, J</w:t>
      </w:r>
      <w:r w:rsidR="00881815" w:rsidRPr="00881815">
        <w:t>., Methodology for Developing Seismic Fragilities. EPRI TR-103959, Electric Power Research Institute, Palo Alto, (1994).</w:t>
      </w:r>
    </w:p>
    <w:p w14:paraId="42F743B0" w14:textId="3653FB9E" w:rsidR="008C3AD3" w:rsidRDefault="00BD3FFB" w:rsidP="008C3AD3">
      <w:pPr>
        <w:pStyle w:val="Referencelist"/>
        <w:numPr>
          <w:ilvl w:val="0"/>
          <w:numId w:val="0"/>
        </w:numPr>
        <w:ind w:left="720" w:hanging="360"/>
      </w:pPr>
      <w:r>
        <w:t>[1</w:t>
      </w:r>
      <w:r w:rsidR="00B40E2C">
        <w:t>5</w:t>
      </w:r>
      <w:r w:rsidR="008C3AD3">
        <w:t>]</w:t>
      </w:r>
      <w:r w:rsidR="008C3AD3">
        <w:tab/>
        <w:t>A. PERŠIČ, Design Extension Conditions for Spent Fuel Storage, Proceedings of the 12th International Conference of the Croatian Nuclear Society, Zadar, Croatia, (2018).</w:t>
      </w:r>
      <w:bookmarkEnd w:id="7"/>
    </w:p>
    <w:sectPr w:rsidR="008C3AD3" w:rsidSect="0026525A">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D126" w14:textId="77777777" w:rsidR="00037321" w:rsidRDefault="00037321">
      <w:r>
        <w:separator/>
      </w:r>
    </w:p>
  </w:endnote>
  <w:endnote w:type="continuationSeparator" w:id="0">
    <w:p w14:paraId="259C3D7B"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6345369D" w:rsidR="00E20E70" w:rsidRDefault="00E20E70">
    <w:pPr>
      <w:pStyle w:val="zyxClassification1"/>
    </w:pPr>
    <w:r>
      <w:fldChar w:fldCharType="begin"/>
    </w:r>
    <w:r>
      <w:instrText xml:space="preserve"> DOCPROPERTY "IaeaClassification"  \* MERGEFORMAT </w:instrText>
    </w:r>
    <w:r>
      <w:fldChar w:fldCharType="end"/>
    </w:r>
  </w:p>
  <w:p w14:paraId="291899CE" w14:textId="37300B9E"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6508E628" w:rsidR="00E20E70" w:rsidRDefault="00E20E70">
    <w:pPr>
      <w:pStyle w:val="zyxClassification1"/>
    </w:pPr>
    <w:r>
      <w:fldChar w:fldCharType="begin"/>
    </w:r>
    <w:r>
      <w:instrText xml:space="preserve"> DOCPROPERTY "IaeaClassification"  \* MERGEFORMAT </w:instrText>
    </w:r>
    <w:r>
      <w:fldChar w:fldCharType="end"/>
    </w:r>
  </w:p>
  <w:p w14:paraId="6047A923" w14:textId="421ADF24"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6CC8B54B"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2CAD44E9"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9" w:name="DOC_bkmClassification2"/>
      <w:tc>
        <w:tcPr>
          <w:tcW w:w="5670" w:type="dxa"/>
          <w:tcMar>
            <w:right w:w="249" w:type="dxa"/>
          </w:tcMar>
        </w:tcPr>
        <w:p w14:paraId="76D44A0B" w14:textId="4AE4A058"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4929923D" w14:textId="069AC6FA"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0" w:name="DOC_bkmFileName"/>
  <w:p w14:paraId="46E97123" w14:textId="1D0D041A" w:rsidR="00E20E70" w:rsidRDefault="00E20E70">
    <w:r>
      <w:rPr>
        <w:sz w:val="16"/>
      </w:rPr>
      <w:fldChar w:fldCharType="begin"/>
    </w:r>
    <w:r>
      <w:rPr>
        <w:sz w:val="16"/>
      </w:rPr>
      <w:instrText xml:space="preserve"> FILENAME \* MERGEFORMAT </w:instrText>
    </w:r>
    <w:r>
      <w:rPr>
        <w:sz w:val="16"/>
      </w:rPr>
      <w:fldChar w:fldCharType="separate"/>
    </w:r>
    <w:r w:rsidR="00870258">
      <w:rPr>
        <w:noProof/>
        <w:sz w:val="16"/>
      </w:rPr>
      <w:t>Conference_Proceedings_paper_IAEA-CN272-17-rev</w:t>
    </w:r>
    <w:r>
      <w:rPr>
        <w:sz w:val="16"/>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F969" w14:textId="77777777" w:rsidR="00037321" w:rsidRDefault="00037321">
      <w:r>
        <w:t>___________________________________________________________________________</w:t>
      </w:r>
    </w:p>
  </w:footnote>
  <w:footnote w:type="continuationSeparator" w:id="0">
    <w:p w14:paraId="3BF24079" w14:textId="77777777" w:rsidR="00037321" w:rsidRDefault="00037321">
      <w:r>
        <w:t>___________________________________________________________________________</w:t>
      </w:r>
    </w:p>
  </w:footnote>
  <w:footnote w:type="continuationNotice" w:id="1">
    <w:p w14:paraId="3A9B61D7" w14:textId="77777777" w:rsidR="00037321" w:rsidRDefault="0003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644" w14:textId="09336A82" w:rsidR="00CF7AF3" w:rsidRDefault="00CF7AF3" w:rsidP="00CF7AF3">
    <w:pPr>
      <w:pStyle w:val="Runninghead"/>
    </w:pPr>
    <w:r>
      <w:tab/>
    </w:r>
    <w:r w:rsidR="008240B5">
      <w:t>IAEA-CN272-17</w:t>
    </w:r>
  </w:p>
  <w:p w14:paraId="13808C8C" w14:textId="6689B472"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59CA157" w14:textId="63EA974D"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4D5" w14:textId="0B887F12" w:rsidR="00E20E70" w:rsidRDefault="008240B5" w:rsidP="008240B5">
    <w:pPr>
      <w:pStyle w:val="Runninghead"/>
    </w:pPr>
    <w:r>
      <w:t>A</w:t>
    </w:r>
    <w:r w:rsidR="003D5959">
      <w:t>.PERSIC</w:t>
    </w:r>
    <w:r>
      <w:t xml:space="preserve"> at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8" w:name="DOC_bkmClassification1"/>
      <w:tc>
        <w:tcPr>
          <w:tcW w:w="5702" w:type="dxa"/>
          <w:vMerge w:val="restart"/>
          <w:tcMar>
            <w:right w:w="193" w:type="dxa"/>
          </w:tcMar>
        </w:tcPr>
        <w:p w14:paraId="268E19C1" w14:textId="46645329"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347EC5C0" w14:textId="6158B974"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Naslov9"/>
            <w:spacing w:before="0" w:after="10"/>
          </w:pPr>
        </w:p>
      </w:tc>
      <w:tc>
        <w:tcPr>
          <w:tcW w:w="5702" w:type="dxa"/>
          <w:vMerge/>
          <w:vAlign w:val="bottom"/>
        </w:tcPr>
        <w:p w14:paraId="6AB4E64A" w14:textId="77777777" w:rsidR="00E20E70" w:rsidRDefault="00E20E70">
          <w:pPr>
            <w:pStyle w:val="Naslov9"/>
            <w:spacing w:before="0" w:after="10"/>
          </w:pPr>
        </w:p>
      </w:tc>
    </w:tr>
  </w:tbl>
  <w:p w14:paraId="73CF48A8"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3F84C66"/>
    <w:multiLevelType w:val="hybridMultilevel"/>
    <w:tmpl w:val="D39215DC"/>
    <w:lvl w:ilvl="0" w:tplc="E960B478">
      <w:numFmt w:val="bullet"/>
      <w:lvlText w:val="-"/>
      <w:lvlJc w:val="left"/>
      <w:pPr>
        <w:tabs>
          <w:tab w:val="num" w:pos="1430"/>
        </w:tabs>
        <w:ind w:left="1430" w:hanging="360"/>
      </w:pPr>
      <w:rPr>
        <w:rFonts w:ascii="Arial" w:eastAsia="Times New Roman" w:hAnsi="Arial" w:cs="Arial" w:hint="default"/>
        <w:sz w:val="22"/>
        <w:szCs w:val="22"/>
        <w:lang w:val="en"/>
      </w:rPr>
    </w:lvl>
    <w:lvl w:ilvl="1" w:tplc="04240019" w:tentative="1">
      <w:start w:val="1"/>
      <w:numFmt w:val="lowerLetter"/>
      <w:lvlText w:val="%2."/>
      <w:lvlJc w:val="left"/>
      <w:pPr>
        <w:tabs>
          <w:tab w:val="num" w:pos="2510"/>
        </w:tabs>
        <w:ind w:left="2510" w:hanging="360"/>
      </w:pPr>
      <w:rPr>
        <w:rFonts w:cs="Times New Roman"/>
      </w:rPr>
    </w:lvl>
    <w:lvl w:ilvl="2" w:tplc="0424001B" w:tentative="1">
      <w:start w:val="1"/>
      <w:numFmt w:val="lowerRoman"/>
      <w:lvlText w:val="%3."/>
      <w:lvlJc w:val="right"/>
      <w:pPr>
        <w:tabs>
          <w:tab w:val="num" w:pos="3230"/>
        </w:tabs>
        <w:ind w:left="3230" w:hanging="180"/>
      </w:pPr>
      <w:rPr>
        <w:rFonts w:cs="Times New Roman"/>
      </w:rPr>
    </w:lvl>
    <w:lvl w:ilvl="3" w:tplc="0424000F" w:tentative="1">
      <w:start w:val="1"/>
      <w:numFmt w:val="decimal"/>
      <w:lvlText w:val="%4."/>
      <w:lvlJc w:val="left"/>
      <w:pPr>
        <w:tabs>
          <w:tab w:val="num" w:pos="3950"/>
        </w:tabs>
        <w:ind w:left="3950" w:hanging="360"/>
      </w:pPr>
      <w:rPr>
        <w:rFonts w:cs="Times New Roman"/>
      </w:rPr>
    </w:lvl>
    <w:lvl w:ilvl="4" w:tplc="04240019" w:tentative="1">
      <w:start w:val="1"/>
      <w:numFmt w:val="lowerLetter"/>
      <w:lvlText w:val="%5."/>
      <w:lvlJc w:val="left"/>
      <w:pPr>
        <w:tabs>
          <w:tab w:val="num" w:pos="4670"/>
        </w:tabs>
        <w:ind w:left="4670" w:hanging="360"/>
      </w:pPr>
      <w:rPr>
        <w:rFonts w:cs="Times New Roman"/>
      </w:rPr>
    </w:lvl>
    <w:lvl w:ilvl="5" w:tplc="0424001B" w:tentative="1">
      <w:start w:val="1"/>
      <w:numFmt w:val="lowerRoman"/>
      <w:lvlText w:val="%6."/>
      <w:lvlJc w:val="right"/>
      <w:pPr>
        <w:tabs>
          <w:tab w:val="num" w:pos="5390"/>
        </w:tabs>
        <w:ind w:left="5390" w:hanging="180"/>
      </w:pPr>
      <w:rPr>
        <w:rFonts w:cs="Times New Roman"/>
      </w:rPr>
    </w:lvl>
    <w:lvl w:ilvl="6" w:tplc="0424000F" w:tentative="1">
      <w:start w:val="1"/>
      <w:numFmt w:val="decimal"/>
      <w:lvlText w:val="%7."/>
      <w:lvlJc w:val="left"/>
      <w:pPr>
        <w:tabs>
          <w:tab w:val="num" w:pos="6110"/>
        </w:tabs>
        <w:ind w:left="6110" w:hanging="360"/>
      </w:pPr>
      <w:rPr>
        <w:rFonts w:cs="Times New Roman"/>
      </w:rPr>
    </w:lvl>
    <w:lvl w:ilvl="7" w:tplc="04240019" w:tentative="1">
      <w:start w:val="1"/>
      <w:numFmt w:val="lowerLetter"/>
      <w:lvlText w:val="%8."/>
      <w:lvlJc w:val="left"/>
      <w:pPr>
        <w:tabs>
          <w:tab w:val="num" w:pos="6830"/>
        </w:tabs>
        <w:ind w:left="6830" w:hanging="360"/>
      </w:pPr>
      <w:rPr>
        <w:rFonts w:cs="Times New Roman"/>
      </w:rPr>
    </w:lvl>
    <w:lvl w:ilvl="8" w:tplc="0424001B" w:tentative="1">
      <w:start w:val="1"/>
      <w:numFmt w:val="lowerRoman"/>
      <w:lvlText w:val="%9."/>
      <w:lvlJc w:val="right"/>
      <w:pPr>
        <w:tabs>
          <w:tab w:val="num" w:pos="7550"/>
        </w:tabs>
        <w:ind w:left="7550" w:hanging="180"/>
      </w:pPr>
      <w:rPr>
        <w:rFonts w:cs="Times New Roman"/>
      </w:rPr>
    </w:lvl>
  </w:abstractNum>
  <w:abstractNum w:abstractNumId="2" w15:restartNumberingAfterBreak="0">
    <w:nsid w:val="16DC35C8"/>
    <w:multiLevelType w:val="hybridMultilevel"/>
    <w:tmpl w:val="7B84D3A6"/>
    <w:lvl w:ilvl="0" w:tplc="28F00198">
      <w:start w:val="1"/>
      <w:numFmt w:val="decimal"/>
      <w:pStyle w:val="pravilnikodstavki"/>
      <w:lvlText w:val="%1."/>
      <w:lvlJc w:val="left"/>
      <w:pPr>
        <w:ind w:left="1775" w:hanging="705"/>
      </w:pPr>
      <w:rPr>
        <w:rFonts w:hint="default"/>
      </w:rPr>
    </w:lvl>
    <w:lvl w:ilvl="1" w:tplc="04240019">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96A61A5"/>
    <w:multiLevelType w:val="hybridMultilevel"/>
    <w:tmpl w:val="EDD0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63F45D17"/>
    <w:multiLevelType w:val="hybridMultilevel"/>
    <w:tmpl w:val="E904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51093"/>
    <w:multiLevelType w:val="multilevel"/>
    <w:tmpl w:val="D8FA943C"/>
    <w:lvl w:ilvl="0">
      <w:start w:val="1"/>
      <w:numFmt w:val="none"/>
      <w:lvlRestart w:val="0"/>
      <w:lvlText w:val=""/>
      <w:lvlJc w:val="left"/>
      <w:pPr>
        <w:tabs>
          <w:tab w:val="num" w:pos="459"/>
        </w:tabs>
        <w:ind w:left="0" w:firstLine="0"/>
      </w:pPr>
      <w:rPr>
        <w:rFonts w:hint="default"/>
      </w:rPr>
    </w:lvl>
    <w:lvl w:ilvl="1">
      <w:start w:val="1"/>
      <w:numFmt w:val="decimal"/>
      <w:lvlRestart w:val="0"/>
      <w:pStyle w:val="Naslov2"/>
      <w:suff w:val="space"/>
      <w:lvlText w:val="%1%2."/>
      <w:lvlJc w:val="left"/>
      <w:pPr>
        <w:ind w:left="3261" w:firstLine="0"/>
      </w:pPr>
      <w:rPr>
        <w:rFonts w:hint="default"/>
        <w:color w:val="auto"/>
      </w:rPr>
    </w:lvl>
    <w:lvl w:ilvl="2">
      <w:start w:val="1"/>
      <w:numFmt w:val="decimal"/>
      <w:lvlRestart w:val="0"/>
      <w:pStyle w:val="Naslov3"/>
      <w:lvlText w:val="%1%2.%3."/>
      <w:lvlJc w:val="left"/>
      <w:pPr>
        <w:ind w:left="0" w:firstLine="0"/>
      </w:pPr>
      <w:rPr>
        <w:rFonts w:hint="default"/>
      </w:rPr>
    </w:lvl>
    <w:lvl w:ilvl="3">
      <w:start w:val="1"/>
      <w:numFmt w:val="decimal"/>
      <w:lvlRestart w:val="0"/>
      <w:pStyle w:val="Naslov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97E31F5"/>
    <w:multiLevelType w:val="hybridMultilevel"/>
    <w:tmpl w:val="5B900B50"/>
    <w:lvl w:ilvl="0" w:tplc="0809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949" w:hanging="360"/>
      </w:pPr>
    </w:lvl>
    <w:lvl w:ilvl="2" w:tplc="0424001B" w:tentative="1">
      <w:start w:val="1"/>
      <w:numFmt w:val="lowerRoman"/>
      <w:lvlText w:val="%3."/>
      <w:lvlJc w:val="right"/>
      <w:pPr>
        <w:ind w:left="1669" w:hanging="180"/>
      </w:pPr>
    </w:lvl>
    <w:lvl w:ilvl="3" w:tplc="0424000F" w:tentative="1">
      <w:start w:val="1"/>
      <w:numFmt w:val="decimal"/>
      <w:lvlText w:val="%4."/>
      <w:lvlJc w:val="left"/>
      <w:pPr>
        <w:ind w:left="2389" w:hanging="360"/>
      </w:pPr>
    </w:lvl>
    <w:lvl w:ilvl="4" w:tplc="04240019" w:tentative="1">
      <w:start w:val="1"/>
      <w:numFmt w:val="lowerLetter"/>
      <w:lvlText w:val="%5."/>
      <w:lvlJc w:val="left"/>
      <w:pPr>
        <w:ind w:left="3109" w:hanging="360"/>
      </w:pPr>
    </w:lvl>
    <w:lvl w:ilvl="5" w:tplc="0424001B" w:tentative="1">
      <w:start w:val="1"/>
      <w:numFmt w:val="lowerRoman"/>
      <w:lvlText w:val="%6."/>
      <w:lvlJc w:val="right"/>
      <w:pPr>
        <w:ind w:left="3829" w:hanging="180"/>
      </w:pPr>
    </w:lvl>
    <w:lvl w:ilvl="6" w:tplc="0424000F" w:tentative="1">
      <w:start w:val="1"/>
      <w:numFmt w:val="decimal"/>
      <w:lvlText w:val="%7."/>
      <w:lvlJc w:val="left"/>
      <w:pPr>
        <w:ind w:left="4549" w:hanging="360"/>
      </w:pPr>
    </w:lvl>
    <w:lvl w:ilvl="7" w:tplc="04240019" w:tentative="1">
      <w:start w:val="1"/>
      <w:numFmt w:val="lowerLetter"/>
      <w:lvlText w:val="%8."/>
      <w:lvlJc w:val="left"/>
      <w:pPr>
        <w:ind w:left="5269" w:hanging="360"/>
      </w:pPr>
    </w:lvl>
    <w:lvl w:ilvl="8" w:tplc="0424001B" w:tentative="1">
      <w:start w:val="1"/>
      <w:numFmt w:val="lowerRoman"/>
      <w:lvlText w:val="%9."/>
      <w:lvlJc w:val="right"/>
      <w:pPr>
        <w:ind w:left="5989" w:hanging="180"/>
      </w:pPr>
    </w:lvl>
  </w:abstractNum>
  <w:num w:numId="1">
    <w:abstractNumId w:val="9"/>
  </w:num>
  <w:num w:numId="2">
    <w:abstractNumId w:val="5"/>
  </w:num>
  <w:num w:numId="3">
    <w:abstractNumId w:val="6"/>
  </w:num>
  <w:num w:numId="4">
    <w:abstractNumId w:val="0"/>
  </w:num>
  <w:num w:numId="5">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Naslov2"/>
        <w:lvlText w:val="%1%2."/>
        <w:lvlJc w:val="left"/>
        <w:pPr>
          <w:ind w:left="0" w:firstLine="0"/>
        </w:pPr>
        <w:rPr>
          <w:rFonts w:hint="default"/>
          <w:color w:val="auto"/>
        </w:rPr>
      </w:lvl>
    </w:lvlOverride>
    <w:lvlOverride w:ilvl="2">
      <w:lvl w:ilvl="2">
        <w:start w:val="1"/>
        <w:numFmt w:val="decimal"/>
        <w:lvlRestart w:val="0"/>
        <w:pStyle w:val="Naslov3"/>
        <w:lvlText w:val="%1%2.%3."/>
        <w:lvlJc w:val="left"/>
        <w:pPr>
          <w:ind w:left="0" w:firstLine="0"/>
        </w:pPr>
        <w:rPr>
          <w:rFonts w:hint="default"/>
        </w:rPr>
      </w:lvl>
    </w:lvlOverride>
    <w:lvlOverride w:ilvl="3">
      <w:lvl w:ilvl="3">
        <w:start w:val="1"/>
        <w:numFmt w:val="none"/>
        <w:lvlRestart w:val="0"/>
        <w:pStyle w:val="Naslov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11"/>
  </w:num>
  <w:num w:numId="7">
    <w:abstractNumId w:val="3"/>
  </w:num>
  <w:num w:numId="8">
    <w:abstractNumId w:val="4"/>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
  </w:num>
  <w:num w:numId="15">
    <w:abstractNumId w:val="2"/>
  </w:num>
  <w:num w:numId="16">
    <w:abstractNumId w:val="2"/>
    <w:lvlOverride w:ilvl="0">
      <w:startOverride w:val="1"/>
    </w:lvlOverride>
  </w:num>
  <w:num w:numId="17">
    <w:abstractNumId w:val="10"/>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79DA"/>
    <w:rsid w:val="000229AB"/>
    <w:rsid w:val="00023053"/>
    <w:rsid w:val="0002569A"/>
    <w:rsid w:val="00027B4E"/>
    <w:rsid w:val="00030E43"/>
    <w:rsid w:val="0003600D"/>
    <w:rsid w:val="00037321"/>
    <w:rsid w:val="000420B0"/>
    <w:rsid w:val="00045616"/>
    <w:rsid w:val="00046DAA"/>
    <w:rsid w:val="000549C0"/>
    <w:rsid w:val="0006545E"/>
    <w:rsid w:val="00070187"/>
    <w:rsid w:val="000701E9"/>
    <w:rsid w:val="000759B7"/>
    <w:rsid w:val="000939A3"/>
    <w:rsid w:val="0009598D"/>
    <w:rsid w:val="000A0299"/>
    <w:rsid w:val="000A45C2"/>
    <w:rsid w:val="000A5547"/>
    <w:rsid w:val="000B4A96"/>
    <w:rsid w:val="000B4AB7"/>
    <w:rsid w:val="000B7BD0"/>
    <w:rsid w:val="000C3234"/>
    <w:rsid w:val="000C796C"/>
    <w:rsid w:val="000D1634"/>
    <w:rsid w:val="000D55D5"/>
    <w:rsid w:val="000E4D89"/>
    <w:rsid w:val="000F1935"/>
    <w:rsid w:val="000F67CD"/>
    <w:rsid w:val="000F7E94"/>
    <w:rsid w:val="00111957"/>
    <w:rsid w:val="001119D6"/>
    <w:rsid w:val="001308F2"/>
    <w:rsid w:val="001313E8"/>
    <w:rsid w:val="00141A31"/>
    <w:rsid w:val="00150769"/>
    <w:rsid w:val="00152B52"/>
    <w:rsid w:val="00170C44"/>
    <w:rsid w:val="00172D8D"/>
    <w:rsid w:val="00173210"/>
    <w:rsid w:val="0017436C"/>
    <w:rsid w:val="001848D0"/>
    <w:rsid w:val="00187E01"/>
    <w:rsid w:val="001910CB"/>
    <w:rsid w:val="0019222C"/>
    <w:rsid w:val="00195EDF"/>
    <w:rsid w:val="001A3031"/>
    <w:rsid w:val="001B0530"/>
    <w:rsid w:val="001C2EC4"/>
    <w:rsid w:val="001C43CC"/>
    <w:rsid w:val="001C58F5"/>
    <w:rsid w:val="001D5CEE"/>
    <w:rsid w:val="001F70B4"/>
    <w:rsid w:val="001F7682"/>
    <w:rsid w:val="00200E69"/>
    <w:rsid w:val="002014C6"/>
    <w:rsid w:val="002071D9"/>
    <w:rsid w:val="0021006F"/>
    <w:rsid w:val="00211679"/>
    <w:rsid w:val="002141AA"/>
    <w:rsid w:val="00214286"/>
    <w:rsid w:val="00234756"/>
    <w:rsid w:val="00235968"/>
    <w:rsid w:val="00244A2F"/>
    <w:rsid w:val="002474E7"/>
    <w:rsid w:val="00251B85"/>
    <w:rsid w:val="00256822"/>
    <w:rsid w:val="00257315"/>
    <w:rsid w:val="002616C9"/>
    <w:rsid w:val="00265043"/>
    <w:rsid w:val="0026525A"/>
    <w:rsid w:val="00266F04"/>
    <w:rsid w:val="00274790"/>
    <w:rsid w:val="00285755"/>
    <w:rsid w:val="00287939"/>
    <w:rsid w:val="00291C16"/>
    <w:rsid w:val="002968B7"/>
    <w:rsid w:val="002A0E4C"/>
    <w:rsid w:val="002A1F9C"/>
    <w:rsid w:val="002B29C2"/>
    <w:rsid w:val="002B65D2"/>
    <w:rsid w:val="002B6859"/>
    <w:rsid w:val="002C4208"/>
    <w:rsid w:val="002D0D09"/>
    <w:rsid w:val="002D553B"/>
    <w:rsid w:val="002E3395"/>
    <w:rsid w:val="002E62D3"/>
    <w:rsid w:val="002F4697"/>
    <w:rsid w:val="002F509B"/>
    <w:rsid w:val="003013C0"/>
    <w:rsid w:val="00302A7E"/>
    <w:rsid w:val="003041FF"/>
    <w:rsid w:val="003060F6"/>
    <w:rsid w:val="003067C7"/>
    <w:rsid w:val="00322E9A"/>
    <w:rsid w:val="003234FD"/>
    <w:rsid w:val="003256A1"/>
    <w:rsid w:val="0032790C"/>
    <w:rsid w:val="003356EF"/>
    <w:rsid w:val="00341E14"/>
    <w:rsid w:val="003466C9"/>
    <w:rsid w:val="00352DE1"/>
    <w:rsid w:val="00352E1A"/>
    <w:rsid w:val="003678BE"/>
    <w:rsid w:val="003718D5"/>
    <w:rsid w:val="00371DEB"/>
    <w:rsid w:val="003728E6"/>
    <w:rsid w:val="00372904"/>
    <w:rsid w:val="0037364D"/>
    <w:rsid w:val="00380095"/>
    <w:rsid w:val="00385FC0"/>
    <w:rsid w:val="0039274B"/>
    <w:rsid w:val="003939F7"/>
    <w:rsid w:val="003A5886"/>
    <w:rsid w:val="003A6324"/>
    <w:rsid w:val="003B25D3"/>
    <w:rsid w:val="003B2674"/>
    <w:rsid w:val="003B5E0E"/>
    <w:rsid w:val="003C2ACE"/>
    <w:rsid w:val="003C374D"/>
    <w:rsid w:val="003C60D2"/>
    <w:rsid w:val="003C629F"/>
    <w:rsid w:val="003D0095"/>
    <w:rsid w:val="003D255A"/>
    <w:rsid w:val="003D5959"/>
    <w:rsid w:val="003E6AE5"/>
    <w:rsid w:val="003F4B3C"/>
    <w:rsid w:val="003F4E59"/>
    <w:rsid w:val="003F706A"/>
    <w:rsid w:val="00404FF0"/>
    <w:rsid w:val="00406A9C"/>
    <w:rsid w:val="004112D4"/>
    <w:rsid w:val="00412C5F"/>
    <w:rsid w:val="00413246"/>
    <w:rsid w:val="00416949"/>
    <w:rsid w:val="00417EC0"/>
    <w:rsid w:val="00424412"/>
    <w:rsid w:val="0042654D"/>
    <w:rsid w:val="00430ACB"/>
    <w:rsid w:val="00431446"/>
    <w:rsid w:val="004316AE"/>
    <w:rsid w:val="00431ECE"/>
    <w:rsid w:val="004370D8"/>
    <w:rsid w:val="004372F4"/>
    <w:rsid w:val="00442B56"/>
    <w:rsid w:val="00450ABA"/>
    <w:rsid w:val="004512AB"/>
    <w:rsid w:val="0045521C"/>
    <w:rsid w:val="00456638"/>
    <w:rsid w:val="004618E7"/>
    <w:rsid w:val="00463017"/>
    <w:rsid w:val="00463C9D"/>
    <w:rsid w:val="00472C43"/>
    <w:rsid w:val="004734A9"/>
    <w:rsid w:val="00475466"/>
    <w:rsid w:val="00481030"/>
    <w:rsid w:val="00484DE3"/>
    <w:rsid w:val="00486DD5"/>
    <w:rsid w:val="004872C5"/>
    <w:rsid w:val="00487D70"/>
    <w:rsid w:val="004A2E6B"/>
    <w:rsid w:val="004A38A9"/>
    <w:rsid w:val="004A5F55"/>
    <w:rsid w:val="004C7339"/>
    <w:rsid w:val="004D0F7E"/>
    <w:rsid w:val="004D4316"/>
    <w:rsid w:val="004D587D"/>
    <w:rsid w:val="005001E7"/>
    <w:rsid w:val="00500F6C"/>
    <w:rsid w:val="00502D49"/>
    <w:rsid w:val="00503B98"/>
    <w:rsid w:val="005139E5"/>
    <w:rsid w:val="00514B0E"/>
    <w:rsid w:val="00527F63"/>
    <w:rsid w:val="00536083"/>
    <w:rsid w:val="00536D87"/>
    <w:rsid w:val="0053746E"/>
    <w:rsid w:val="00537496"/>
    <w:rsid w:val="00544ED3"/>
    <w:rsid w:val="00550799"/>
    <w:rsid w:val="00560ACC"/>
    <w:rsid w:val="00561F1D"/>
    <w:rsid w:val="005669AB"/>
    <w:rsid w:val="00577A3A"/>
    <w:rsid w:val="00580C6C"/>
    <w:rsid w:val="00581430"/>
    <w:rsid w:val="0058477B"/>
    <w:rsid w:val="0058654F"/>
    <w:rsid w:val="00586AA7"/>
    <w:rsid w:val="00595DE5"/>
    <w:rsid w:val="00595ED7"/>
    <w:rsid w:val="00596ACA"/>
    <w:rsid w:val="005B1392"/>
    <w:rsid w:val="005B1634"/>
    <w:rsid w:val="005B1904"/>
    <w:rsid w:val="005B71A5"/>
    <w:rsid w:val="005C443B"/>
    <w:rsid w:val="005C45A8"/>
    <w:rsid w:val="005C6133"/>
    <w:rsid w:val="005D28D6"/>
    <w:rsid w:val="005E39BC"/>
    <w:rsid w:val="005E59A9"/>
    <w:rsid w:val="005E7DDC"/>
    <w:rsid w:val="005F00A0"/>
    <w:rsid w:val="005F4D82"/>
    <w:rsid w:val="006013D5"/>
    <w:rsid w:val="00604E66"/>
    <w:rsid w:val="006130AA"/>
    <w:rsid w:val="00614EB8"/>
    <w:rsid w:val="006177AE"/>
    <w:rsid w:val="00632F30"/>
    <w:rsid w:val="00637F01"/>
    <w:rsid w:val="006451A9"/>
    <w:rsid w:val="006478D5"/>
    <w:rsid w:val="00647CC4"/>
    <w:rsid w:val="00647F33"/>
    <w:rsid w:val="00647FCA"/>
    <w:rsid w:val="00654219"/>
    <w:rsid w:val="00662532"/>
    <w:rsid w:val="006632BA"/>
    <w:rsid w:val="006643E4"/>
    <w:rsid w:val="00673F1B"/>
    <w:rsid w:val="0067616A"/>
    <w:rsid w:val="00681C7A"/>
    <w:rsid w:val="00682CDE"/>
    <w:rsid w:val="00692FFE"/>
    <w:rsid w:val="00693E7E"/>
    <w:rsid w:val="00696C26"/>
    <w:rsid w:val="0069701C"/>
    <w:rsid w:val="006A395A"/>
    <w:rsid w:val="006A4131"/>
    <w:rsid w:val="006B2274"/>
    <w:rsid w:val="006B78F3"/>
    <w:rsid w:val="006C0873"/>
    <w:rsid w:val="006C595C"/>
    <w:rsid w:val="006D08C9"/>
    <w:rsid w:val="006E1D5C"/>
    <w:rsid w:val="006E3CAE"/>
    <w:rsid w:val="006F1764"/>
    <w:rsid w:val="007055E0"/>
    <w:rsid w:val="00706D76"/>
    <w:rsid w:val="00707C05"/>
    <w:rsid w:val="00717C6F"/>
    <w:rsid w:val="00720341"/>
    <w:rsid w:val="007221C5"/>
    <w:rsid w:val="00725137"/>
    <w:rsid w:val="0073389E"/>
    <w:rsid w:val="00734E5A"/>
    <w:rsid w:val="00741FD3"/>
    <w:rsid w:val="0074293F"/>
    <w:rsid w:val="00743908"/>
    <w:rsid w:val="007445DA"/>
    <w:rsid w:val="00745234"/>
    <w:rsid w:val="00752D2A"/>
    <w:rsid w:val="0077528F"/>
    <w:rsid w:val="00785A65"/>
    <w:rsid w:val="00792789"/>
    <w:rsid w:val="00793112"/>
    <w:rsid w:val="007A65D8"/>
    <w:rsid w:val="007B4FD1"/>
    <w:rsid w:val="007C38D1"/>
    <w:rsid w:val="007D1D3E"/>
    <w:rsid w:val="007D1E7D"/>
    <w:rsid w:val="007D4D3C"/>
    <w:rsid w:val="007E04A5"/>
    <w:rsid w:val="007E1FBA"/>
    <w:rsid w:val="007E5BBF"/>
    <w:rsid w:val="007F2692"/>
    <w:rsid w:val="007F783D"/>
    <w:rsid w:val="00802381"/>
    <w:rsid w:val="00803B99"/>
    <w:rsid w:val="00806108"/>
    <w:rsid w:val="00815CA6"/>
    <w:rsid w:val="008174DF"/>
    <w:rsid w:val="008178BF"/>
    <w:rsid w:val="008240B5"/>
    <w:rsid w:val="00827F2D"/>
    <w:rsid w:val="008316DD"/>
    <w:rsid w:val="0083767C"/>
    <w:rsid w:val="00840579"/>
    <w:rsid w:val="0084372A"/>
    <w:rsid w:val="008448A7"/>
    <w:rsid w:val="008571E8"/>
    <w:rsid w:val="00870258"/>
    <w:rsid w:val="00875913"/>
    <w:rsid w:val="00880910"/>
    <w:rsid w:val="00881815"/>
    <w:rsid w:val="0088242A"/>
    <w:rsid w:val="00883848"/>
    <w:rsid w:val="0089027C"/>
    <w:rsid w:val="00894140"/>
    <w:rsid w:val="00897ED5"/>
    <w:rsid w:val="008A38DF"/>
    <w:rsid w:val="008A6E29"/>
    <w:rsid w:val="008B5962"/>
    <w:rsid w:val="008B6BB9"/>
    <w:rsid w:val="008C3AD3"/>
    <w:rsid w:val="008C4360"/>
    <w:rsid w:val="008D005A"/>
    <w:rsid w:val="008D1AA0"/>
    <w:rsid w:val="008E4DE9"/>
    <w:rsid w:val="008E50D7"/>
    <w:rsid w:val="008E749A"/>
    <w:rsid w:val="008F1660"/>
    <w:rsid w:val="00906619"/>
    <w:rsid w:val="00911543"/>
    <w:rsid w:val="009126C8"/>
    <w:rsid w:val="0091757A"/>
    <w:rsid w:val="0092492B"/>
    <w:rsid w:val="00927E5E"/>
    <w:rsid w:val="00945407"/>
    <w:rsid w:val="009519C9"/>
    <w:rsid w:val="00957FFE"/>
    <w:rsid w:val="00962465"/>
    <w:rsid w:val="0096275F"/>
    <w:rsid w:val="0096422F"/>
    <w:rsid w:val="00971909"/>
    <w:rsid w:val="00974E64"/>
    <w:rsid w:val="00976778"/>
    <w:rsid w:val="00981254"/>
    <w:rsid w:val="0098272F"/>
    <w:rsid w:val="00983AB9"/>
    <w:rsid w:val="0098793E"/>
    <w:rsid w:val="00996567"/>
    <w:rsid w:val="009A2F62"/>
    <w:rsid w:val="009A4572"/>
    <w:rsid w:val="009A7A36"/>
    <w:rsid w:val="009A7B19"/>
    <w:rsid w:val="009C23E2"/>
    <w:rsid w:val="009D05D7"/>
    <w:rsid w:val="009D0B86"/>
    <w:rsid w:val="009D51F8"/>
    <w:rsid w:val="009E0D5B"/>
    <w:rsid w:val="009E1558"/>
    <w:rsid w:val="009F1E7A"/>
    <w:rsid w:val="009F6609"/>
    <w:rsid w:val="00A0288F"/>
    <w:rsid w:val="00A06E6E"/>
    <w:rsid w:val="00A1194B"/>
    <w:rsid w:val="00A15BE4"/>
    <w:rsid w:val="00A2476E"/>
    <w:rsid w:val="00A27D3E"/>
    <w:rsid w:val="00A363D6"/>
    <w:rsid w:val="00A41E91"/>
    <w:rsid w:val="00A422BB"/>
    <w:rsid w:val="00A42898"/>
    <w:rsid w:val="00A435D0"/>
    <w:rsid w:val="00A50856"/>
    <w:rsid w:val="00A827C9"/>
    <w:rsid w:val="00A861C2"/>
    <w:rsid w:val="00A923BF"/>
    <w:rsid w:val="00A965F0"/>
    <w:rsid w:val="00AA1D63"/>
    <w:rsid w:val="00AA31DC"/>
    <w:rsid w:val="00AB6ACE"/>
    <w:rsid w:val="00AC5A3A"/>
    <w:rsid w:val="00AC7A15"/>
    <w:rsid w:val="00AD046F"/>
    <w:rsid w:val="00AD1F8D"/>
    <w:rsid w:val="00AE1228"/>
    <w:rsid w:val="00AE153A"/>
    <w:rsid w:val="00AE5887"/>
    <w:rsid w:val="00B01AD6"/>
    <w:rsid w:val="00B10A23"/>
    <w:rsid w:val="00B153F2"/>
    <w:rsid w:val="00B15AE4"/>
    <w:rsid w:val="00B16BED"/>
    <w:rsid w:val="00B20AEA"/>
    <w:rsid w:val="00B23F88"/>
    <w:rsid w:val="00B26B9D"/>
    <w:rsid w:val="00B34B95"/>
    <w:rsid w:val="00B40E2C"/>
    <w:rsid w:val="00B4297B"/>
    <w:rsid w:val="00B45807"/>
    <w:rsid w:val="00B458A4"/>
    <w:rsid w:val="00B45FE5"/>
    <w:rsid w:val="00B47CD3"/>
    <w:rsid w:val="00B509A4"/>
    <w:rsid w:val="00B54DD6"/>
    <w:rsid w:val="00B5755D"/>
    <w:rsid w:val="00B659E7"/>
    <w:rsid w:val="00B81F67"/>
    <w:rsid w:val="00B82FA5"/>
    <w:rsid w:val="00B8417E"/>
    <w:rsid w:val="00B94158"/>
    <w:rsid w:val="00BA1583"/>
    <w:rsid w:val="00BA2355"/>
    <w:rsid w:val="00BA4655"/>
    <w:rsid w:val="00BA7858"/>
    <w:rsid w:val="00BB1A5D"/>
    <w:rsid w:val="00BB2FDD"/>
    <w:rsid w:val="00BC5C09"/>
    <w:rsid w:val="00BC5D7C"/>
    <w:rsid w:val="00BD1400"/>
    <w:rsid w:val="00BD3FFB"/>
    <w:rsid w:val="00BD605C"/>
    <w:rsid w:val="00BE2A76"/>
    <w:rsid w:val="00BF4919"/>
    <w:rsid w:val="00BF6A1E"/>
    <w:rsid w:val="00BF7A41"/>
    <w:rsid w:val="00C03691"/>
    <w:rsid w:val="00C15A88"/>
    <w:rsid w:val="00C165B2"/>
    <w:rsid w:val="00C2430E"/>
    <w:rsid w:val="00C24B91"/>
    <w:rsid w:val="00C35BEF"/>
    <w:rsid w:val="00C3613B"/>
    <w:rsid w:val="00C3670D"/>
    <w:rsid w:val="00C40539"/>
    <w:rsid w:val="00C40DFA"/>
    <w:rsid w:val="00C410A6"/>
    <w:rsid w:val="00C46009"/>
    <w:rsid w:val="00C5050A"/>
    <w:rsid w:val="00C50880"/>
    <w:rsid w:val="00C5508E"/>
    <w:rsid w:val="00C55569"/>
    <w:rsid w:val="00C56E8F"/>
    <w:rsid w:val="00C56EC2"/>
    <w:rsid w:val="00C603C6"/>
    <w:rsid w:val="00C615CB"/>
    <w:rsid w:val="00C63298"/>
    <w:rsid w:val="00C65E60"/>
    <w:rsid w:val="00C65FAB"/>
    <w:rsid w:val="00C70FA0"/>
    <w:rsid w:val="00C76F28"/>
    <w:rsid w:val="00C777DB"/>
    <w:rsid w:val="00C8683E"/>
    <w:rsid w:val="00C90863"/>
    <w:rsid w:val="00C9136A"/>
    <w:rsid w:val="00C92494"/>
    <w:rsid w:val="00C92987"/>
    <w:rsid w:val="00C931C3"/>
    <w:rsid w:val="00C93673"/>
    <w:rsid w:val="00C95E99"/>
    <w:rsid w:val="00CA50CB"/>
    <w:rsid w:val="00CB6EAF"/>
    <w:rsid w:val="00CC1388"/>
    <w:rsid w:val="00CC1C13"/>
    <w:rsid w:val="00CC2DEA"/>
    <w:rsid w:val="00CC3052"/>
    <w:rsid w:val="00CD0090"/>
    <w:rsid w:val="00CE14B0"/>
    <w:rsid w:val="00CE5A52"/>
    <w:rsid w:val="00CF05BA"/>
    <w:rsid w:val="00CF062E"/>
    <w:rsid w:val="00CF11D2"/>
    <w:rsid w:val="00CF1D62"/>
    <w:rsid w:val="00CF40F7"/>
    <w:rsid w:val="00CF6C09"/>
    <w:rsid w:val="00CF7AF3"/>
    <w:rsid w:val="00D00F37"/>
    <w:rsid w:val="00D02686"/>
    <w:rsid w:val="00D02B5F"/>
    <w:rsid w:val="00D0481A"/>
    <w:rsid w:val="00D04A93"/>
    <w:rsid w:val="00D22344"/>
    <w:rsid w:val="00D26ADA"/>
    <w:rsid w:val="00D31695"/>
    <w:rsid w:val="00D32E78"/>
    <w:rsid w:val="00D345E2"/>
    <w:rsid w:val="00D35A78"/>
    <w:rsid w:val="00D47CCB"/>
    <w:rsid w:val="00D539FF"/>
    <w:rsid w:val="00D555A1"/>
    <w:rsid w:val="00D56D79"/>
    <w:rsid w:val="00D64DC2"/>
    <w:rsid w:val="00D81439"/>
    <w:rsid w:val="00D86141"/>
    <w:rsid w:val="00D90A86"/>
    <w:rsid w:val="00D90F85"/>
    <w:rsid w:val="00D955B1"/>
    <w:rsid w:val="00D977FB"/>
    <w:rsid w:val="00DA39D1"/>
    <w:rsid w:val="00DA46CA"/>
    <w:rsid w:val="00DA648C"/>
    <w:rsid w:val="00DB4759"/>
    <w:rsid w:val="00DB5550"/>
    <w:rsid w:val="00DB76B0"/>
    <w:rsid w:val="00DE03C8"/>
    <w:rsid w:val="00DE4F12"/>
    <w:rsid w:val="00DE72C8"/>
    <w:rsid w:val="00DE7F09"/>
    <w:rsid w:val="00DF21EB"/>
    <w:rsid w:val="00DF72B9"/>
    <w:rsid w:val="00E005AE"/>
    <w:rsid w:val="00E027BB"/>
    <w:rsid w:val="00E16BB4"/>
    <w:rsid w:val="00E20E70"/>
    <w:rsid w:val="00E217C7"/>
    <w:rsid w:val="00E25B68"/>
    <w:rsid w:val="00E34EC3"/>
    <w:rsid w:val="00E36E41"/>
    <w:rsid w:val="00E41058"/>
    <w:rsid w:val="00E43F3D"/>
    <w:rsid w:val="00E56BF1"/>
    <w:rsid w:val="00E61BFF"/>
    <w:rsid w:val="00E649C3"/>
    <w:rsid w:val="00E76E2C"/>
    <w:rsid w:val="00E82616"/>
    <w:rsid w:val="00E84003"/>
    <w:rsid w:val="00E84F30"/>
    <w:rsid w:val="00E85885"/>
    <w:rsid w:val="00E94272"/>
    <w:rsid w:val="00E964A2"/>
    <w:rsid w:val="00EA1911"/>
    <w:rsid w:val="00EC10FC"/>
    <w:rsid w:val="00EC79CA"/>
    <w:rsid w:val="00EE0041"/>
    <w:rsid w:val="00EE29B9"/>
    <w:rsid w:val="00EE599C"/>
    <w:rsid w:val="00EF0D45"/>
    <w:rsid w:val="00EF448E"/>
    <w:rsid w:val="00EF6282"/>
    <w:rsid w:val="00F004EE"/>
    <w:rsid w:val="00F00CBE"/>
    <w:rsid w:val="00F024B6"/>
    <w:rsid w:val="00F03A27"/>
    <w:rsid w:val="00F171E8"/>
    <w:rsid w:val="00F22416"/>
    <w:rsid w:val="00F24232"/>
    <w:rsid w:val="00F323F1"/>
    <w:rsid w:val="00F37E68"/>
    <w:rsid w:val="00F42E23"/>
    <w:rsid w:val="00F45EEE"/>
    <w:rsid w:val="00F50BB9"/>
    <w:rsid w:val="00F51E9C"/>
    <w:rsid w:val="00F523CA"/>
    <w:rsid w:val="00F52DCA"/>
    <w:rsid w:val="00F570DE"/>
    <w:rsid w:val="00F57389"/>
    <w:rsid w:val="00F63CE3"/>
    <w:rsid w:val="00F6522B"/>
    <w:rsid w:val="00F71011"/>
    <w:rsid w:val="00F72584"/>
    <w:rsid w:val="00F72E9B"/>
    <w:rsid w:val="00F74A9D"/>
    <w:rsid w:val="00F767A3"/>
    <w:rsid w:val="00F809B7"/>
    <w:rsid w:val="00F96265"/>
    <w:rsid w:val="00FA0018"/>
    <w:rsid w:val="00FA4BEB"/>
    <w:rsid w:val="00FA6908"/>
    <w:rsid w:val="00FB1344"/>
    <w:rsid w:val="00FC2093"/>
    <w:rsid w:val="00FC7CFD"/>
    <w:rsid w:val="00FD2D3F"/>
    <w:rsid w:val="00FD2FA4"/>
    <w:rsid w:val="00FD66CC"/>
    <w:rsid w:val="00FE03B2"/>
    <w:rsid w:val="00FE333E"/>
    <w:rsid w:val="00FE3F8C"/>
    <w:rsid w:val="00FE5BBF"/>
    <w:rsid w:val="00FE6428"/>
    <w:rsid w:val="00FE67F9"/>
    <w:rsid w:val="00FE7A92"/>
    <w:rsid w:val="00FF01BC"/>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F8B517"/>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4"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avaden">
    <w:name w:val="Normal"/>
    <w:uiPriority w:val="49"/>
    <w:rsid w:val="00AD046F"/>
    <w:pPr>
      <w:overflowPunct w:val="0"/>
      <w:autoSpaceDE w:val="0"/>
      <w:autoSpaceDN w:val="0"/>
      <w:adjustRightInd w:val="0"/>
      <w:textAlignment w:val="baseline"/>
    </w:pPr>
    <w:rPr>
      <w:sz w:val="22"/>
      <w:lang w:eastAsia="en-US"/>
    </w:rPr>
  </w:style>
  <w:style w:type="paragraph" w:styleId="Naslov1">
    <w:name w:val="heading 1"/>
    <w:aliases w:val="Paper title"/>
    <w:next w:val="Podnaslov"/>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Naslov2">
    <w:name w:val="heading 2"/>
    <w:aliases w:val="1st level paper heading"/>
    <w:next w:val="Telobesedila"/>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Naslov3">
    <w:name w:val="heading 3"/>
    <w:aliases w:val="2nd level paper heading"/>
    <w:next w:val="Telobesedila"/>
    <w:link w:val="Naslov3Znak"/>
    <w:uiPriority w:val="4"/>
    <w:qFormat/>
    <w:rsid w:val="00897ED5"/>
    <w:pPr>
      <w:widowControl w:val="0"/>
      <w:numPr>
        <w:ilvl w:val="2"/>
        <w:numId w:val="6"/>
      </w:numPr>
      <w:spacing w:before="240" w:after="240" w:line="240" w:lineRule="exact"/>
      <w:outlineLvl w:val="2"/>
    </w:pPr>
    <w:rPr>
      <w:b/>
      <w:lang w:eastAsia="en-US"/>
    </w:rPr>
  </w:style>
  <w:style w:type="paragraph" w:styleId="Naslov4">
    <w:name w:val="heading 4"/>
    <w:aliases w:val="3rd level paper heading"/>
    <w:basedOn w:val="Navaden"/>
    <w:next w:val="Telobesedila"/>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Naslov5">
    <w:name w:val="heading 5"/>
    <w:basedOn w:val="Navaden"/>
    <w:next w:val="Navaden"/>
    <w:uiPriority w:val="19"/>
    <w:locked/>
    <w:pPr>
      <w:overflowPunct/>
      <w:autoSpaceDE/>
      <w:autoSpaceDN/>
      <w:adjustRightInd/>
      <w:spacing w:before="240" w:after="60"/>
      <w:textAlignment w:val="auto"/>
      <w:outlineLvl w:val="4"/>
    </w:pPr>
    <w:rPr>
      <w:b/>
      <w:bCs/>
      <w:i/>
      <w:iCs/>
      <w:sz w:val="26"/>
      <w:szCs w:val="26"/>
      <w:lang w:val="en-US"/>
    </w:rPr>
  </w:style>
  <w:style w:type="paragraph" w:styleId="Naslov6">
    <w:name w:val="heading 6"/>
    <w:basedOn w:val="Navaden"/>
    <w:next w:val="Navaden"/>
    <w:uiPriority w:val="19"/>
    <w:locked/>
    <w:pPr>
      <w:overflowPunct/>
      <w:autoSpaceDE/>
      <w:autoSpaceDN/>
      <w:adjustRightInd/>
      <w:spacing w:before="240" w:after="60"/>
      <w:textAlignment w:val="auto"/>
      <w:outlineLvl w:val="5"/>
    </w:pPr>
    <w:rPr>
      <w:b/>
      <w:bCs/>
      <w:szCs w:val="22"/>
      <w:lang w:val="en-US"/>
    </w:rPr>
  </w:style>
  <w:style w:type="paragraph" w:styleId="Naslov7">
    <w:name w:val="heading 7"/>
    <w:basedOn w:val="Navaden"/>
    <w:next w:val="Navaden"/>
    <w:uiPriority w:val="19"/>
    <w:locked/>
    <w:pPr>
      <w:overflowPunct/>
      <w:autoSpaceDE/>
      <w:autoSpaceDN/>
      <w:adjustRightInd/>
      <w:spacing w:before="240" w:after="60"/>
      <w:textAlignment w:val="auto"/>
      <w:outlineLvl w:val="6"/>
    </w:pPr>
    <w:rPr>
      <w:szCs w:val="24"/>
      <w:lang w:val="en-US"/>
    </w:rPr>
  </w:style>
  <w:style w:type="paragraph" w:styleId="Naslov8">
    <w:name w:val="heading 8"/>
    <w:basedOn w:val="Navaden"/>
    <w:next w:val="Navaden"/>
    <w:uiPriority w:val="19"/>
    <w:locked/>
    <w:pPr>
      <w:overflowPunct/>
      <w:autoSpaceDE/>
      <w:autoSpaceDN/>
      <w:adjustRightInd/>
      <w:spacing w:before="240" w:after="60"/>
      <w:textAlignment w:val="auto"/>
      <w:outlineLvl w:val="7"/>
    </w:pPr>
    <w:rPr>
      <w:i/>
      <w:iCs/>
      <w:szCs w:val="24"/>
      <w:lang w:val="en-US"/>
    </w:rPr>
  </w:style>
  <w:style w:type="paragraph" w:styleId="Naslov9">
    <w:name w:val="heading 9"/>
    <w:basedOn w:val="Navaden"/>
    <w:next w:val="Navaden"/>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link w:val="TelobesedilaZnak"/>
    <w:qFormat/>
    <w:rsid w:val="00647F33"/>
    <w:pPr>
      <w:spacing w:line="260" w:lineRule="atLeast"/>
      <w:ind w:firstLine="567"/>
      <w:contextualSpacing/>
      <w:jc w:val="both"/>
    </w:pPr>
    <w:rPr>
      <w:lang w:eastAsia="en-US"/>
    </w:rPr>
  </w:style>
  <w:style w:type="paragraph" w:styleId="Telobesedila-zamik">
    <w:name w:val="Body Text Indent"/>
    <w:basedOn w:val="Telobesedila"/>
    <w:uiPriority w:val="49"/>
    <w:locked/>
    <w:pPr>
      <w:ind w:left="1134" w:hanging="675"/>
    </w:pPr>
  </w:style>
  <w:style w:type="paragraph" w:customStyle="1" w:styleId="BodyTextMultiline">
    <w:name w:val="Body Text Multiline"/>
    <w:basedOn w:val="Telobesedila"/>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Napis">
    <w:name w:val="caption"/>
    <w:next w:val="Navaden"/>
    <w:uiPriority w:val="49"/>
    <w:pPr>
      <w:spacing w:after="85"/>
    </w:pPr>
    <w:rPr>
      <w:bCs/>
      <w:sz w:val="18"/>
      <w:lang w:val="en-US" w:eastAsia="en-US"/>
    </w:rPr>
  </w:style>
  <w:style w:type="paragraph" w:styleId="Noga">
    <w:name w:val="footer"/>
    <w:basedOn w:val="Navaden"/>
    <w:link w:val="NogaZnak"/>
    <w:uiPriority w:val="99"/>
    <w:locked/>
    <w:pPr>
      <w:overflowPunct/>
      <w:autoSpaceDE/>
      <w:autoSpaceDN/>
      <w:adjustRightInd/>
      <w:textAlignment w:val="auto"/>
    </w:pPr>
    <w:rPr>
      <w:sz w:val="2"/>
      <w:lang w:val="en-US"/>
    </w:rPr>
  </w:style>
  <w:style w:type="paragraph" w:styleId="Sprotnaopomba-besedilo">
    <w:name w:val="footnote text"/>
    <w:semiHidden/>
    <w:locked/>
    <w:pPr>
      <w:tabs>
        <w:tab w:val="left" w:pos="459"/>
      </w:tabs>
      <w:spacing w:before="142"/>
      <w:ind w:left="459"/>
      <w:jc w:val="both"/>
    </w:pPr>
    <w:rPr>
      <w:sz w:val="18"/>
      <w:lang w:eastAsia="en-US"/>
    </w:rPr>
  </w:style>
  <w:style w:type="paragraph" w:styleId="Glava">
    <w:name w:val="header"/>
    <w:next w:val="Telobesedila"/>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Telobesedila"/>
    <w:uiPriority w:val="6"/>
    <w:qFormat/>
    <w:rsid w:val="00717C6F"/>
    <w:pPr>
      <w:numPr>
        <w:numId w:val="7"/>
      </w:numPr>
      <w:ind w:left="709"/>
    </w:pPr>
  </w:style>
  <w:style w:type="paragraph" w:customStyle="1" w:styleId="ListNumbered">
    <w:name w:val="List Numbered"/>
    <w:basedOn w:val="Telobesedila"/>
    <w:uiPriority w:val="5"/>
    <w:qFormat/>
    <w:locked/>
    <w:rsid w:val="00717C6F"/>
    <w:pPr>
      <w:numPr>
        <w:numId w:val="8"/>
      </w:numPr>
    </w:pPr>
  </w:style>
  <w:style w:type="paragraph" w:styleId="Naslov">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avaden"/>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avaden"/>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avaden"/>
    <w:uiPriority w:val="49"/>
    <w:locked/>
    <w:pPr>
      <w:keepNext/>
      <w:spacing w:after="10"/>
    </w:pPr>
    <w:rPr>
      <w:rFonts w:ascii="Arial" w:hAnsi="Arial"/>
      <w:b/>
      <w:sz w:val="13"/>
    </w:rPr>
  </w:style>
  <w:style w:type="paragraph" w:customStyle="1" w:styleId="zyxP1Footer">
    <w:name w:val="zyxP1_Footer"/>
    <w:basedOn w:val="Navaden"/>
    <w:uiPriority w:val="49"/>
    <w:locked/>
    <w:pPr>
      <w:widowControl w:val="0"/>
      <w:spacing w:line="160" w:lineRule="exact"/>
      <w:ind w:left="108"/>
    </w:pPr>
    <w:rPr>
      <w:sz w:val="14"/>
    </w:rPr>
  </w:style>
  <w:style w:type="paragraph" w:customStyle="1" w:styleId="zyxSensitivity">
    <w:name w:val="zyxSensitivity"/>
    <w:basedOn w:val="Navaden"/>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avaden"/>
    <w:uiPriority w:val="49"/>
    <w:locked/>
    <w:pPr>
      <w:keepNext/>
      <w:spacing w:line="420" w:lineRule="exact"/>
    </w:pPr>
    <w:rPr>
      <w:rFonts w:ascii="Arial" w:hAnsi="Arial"/>
      <w:sz w:val="40"/>
    </w:rPr>
  </w:style>
  <w:style w:type="character" w:styleId="Sprotnaopomba-sklic">
    <w:name w:val="footnote reference"/>
    <w:basedOn w:val="Privzetapisavaodstavka"/>
    <w:semiHidden/>
    <w:locked/>
    <w:rPr>
      <w:vertAlign w:val="superscript"/>
    </w:rPr>
  </w:style>
  <w:style w:type="paragraph" w:styleId="Podnaslov">
    <w:name w:val="Subtitle"/>
    <w:next w:val="Telobesedila"/>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lobesedila"/>
    <w:uiPriority w:val="49"/>
    <w:locked/>
    <w:pPr>
      <w:spacing w:line="280" w:lineRule="exact"/>
      <w:jc w:val="right"/>
    </w:pPr>
    <w:rPr>
      <w:rFonts w:ascii="Arial" w:hAnsi="Arial" w:cs="Arial"/>
      <w:b/>
      <w:bCs/>
      <w:caps/>
      <w:sz w:val="24"/>
    </w:rPr>
  </w:style>
  <w:style w:type="paragraph" w:customStyle="1" w:styleId="zyxClassification2">
    <w:name w:val="zyxClassification2"/>
    <w:basedOn w:val="Nog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NogaZnak">
    <w:name w:val="Noga Znak"/>
    <w:basedOn w:val="Privzetapisavaodstavka"/>
    <w:link w:val="Noga"/>
    <w:uiPriority w:val="99"/>
    <w:rsid w:val="00037321"/>
    <w:rPr>
      <w:sz w:val="2"/>
      <w:lang w:val="en-US" w:eastAsia="en-US"/>
    </w:rPr>
  </w:style>
  <w:style w:type="paragraph" w:customStyle="1" w:styleId="Runninghead">
    <w:name w:val="Running head"/>
    <w:basedOn w:val="Navaden"/>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rivzetapisavaodstavka"/>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lobesedilaZnak">
    <w:name w:val="Telo besedila Znak"/>
    <w:basedOn w:val="Privzetapisavaodstavka"/>
    <w:link w:val="Telobesedila"/>
    <w:rsid w:val="00647F33"/>
    <w:rPr>
      <w:lang w:eastAsia="en-US"/>
    </w:rPr>
  </w:style>
  <w:style w:type="character" w:customStyle="1" w:styleId="AuthornameandaffiliationChar">
    <w:name w:val="Author name and affiliation Char"/>
    <w:basedOn w:val="TelobesedilaZnak"/>
    <w:link w:val="Authornameandaffiliation"/>
    <w:uiPriority w:val="49"/>
    <w:rsid w:val="00647F33"/>
    <w:rPr>
      <w:lang w:val="en-US" w:eastAsia="en-US"/>
    </w:rPr>
  </w:style>
  <w:style w:type="table" w:styleId="Tabelamrea">
    <w:name w:val="Table Grid"/>
    <w:basedOn w:val="Navadnatabela"/>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esedilooblaka">
    <w:name w:val="Balloon Text"/>
    <w:basedOn w:val="Navaden"/>
    <w:link w:val="BesedilooblakaZnak"/>
    <w:uiPriority w:val="49"/>
    <w:locked/>
    <w:rsid w:val="005F00A0"/>
    <w:rPr>
      <w:rFonts w:ascii="Tahoma" w:hAnsi="Tahoma" w:cs="Tahoma"/>
      <w:sz w:val="16"/>
      <w:szCs w:val="16"/>
    </w:rPr>
  </w:style>
  <w:style w:type="character" w:customStyle="1" w:styleId="BesedilooblakaZnak">
    <w:name w:val="Besedilo oblačka Znak"/>
    <w:basedOn w:val="Privzetapisavaodstavka"/>
    <w:link w:val="Besedilooblaka"/>
    <w:uiPriority w:val="49"/>
    <w:rsid w:val="005F00A0"/>
    <w:rPr>
      <w:rFonts w:ascii="Tahoma" w:hAnsi="Tahoma" w:cs="Tahoma"/>
      <w:sz w:val="16"/>
      <w:szCs w:val="16"/>
      <w:lang w:eastAsia="en-US"/>
    </w:rPr>
  </w:style>
  <w:style w:type="paragraph" w:customStyle="1" w:styleId="Figurecaption">
    <w:name w:val="Figure caption"/>
    <w:basedOn w:val="Telobesedila"/>
    <w:link w:val="FigurecaptionChar"/>
    <w:uiPriority w:val="49"/>
    <w:qFormat/>
    <w:locked/>
    <w:rsid w:val="00717C6F"/>
    <w:pPr>
      <w:jc w:val="center"/>
    </w:pPr>
    <w:rPr>
      <w:i/>
      <w:sz w:val="18"/>
    </w:rPr>
  </w:style>
  <w:style w:type="paragraph" w:customStyle="1" w:styleId="Otherunnumberedheadings">
    <w:name w:val="Other unnumbered headings"/>
    <w:next w:val="Telobesedila"/>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lobesedilaZnak"/>
    <w:link w:val="Figurecaption"/>
    <w:uiPriority w:val="49"/>
    <w:rsid w:val="00717C6F"/>
    <w:rPr>
      <w:i/>
      <w:sz w:val="18"/>
      <w:lang w:eastAsia="en-US"/>
    </w:rPr>
  </w:style>
  <w:style w:type="paragraph" w:customStyle="1" w:styleId="Referencelist">
    <w:name w:val="Reference list"/>
    <w:basedOn w:val="Telobesedila"/>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TelobesedilaZnak"/>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lobesedilaZnak"/>
    <w:link w:val="Referencelist"/>
    <w:uiPriority w:val="49"/>
    <w:rsid w:val="009E0D5B"/>
    <w:rPr>
      <w:sz w:val="18"/>
      <w:szCs w:val="18"/>
      <w:lang w:eastAsia="en-US"/>
    </w:rPr>
  </w:style>
  <w:style w:type="paragraph" w:customStyle="1" w:styleId="Tabletext">
    <w:name w:val="Table text"/>
    <w:basedOn w:val="Telobesedila"/>
    <w:link w:val="TabletextChar"/>
    <w:uiPriority w:val="49"/>
    <w:qFormat/>
    <w:rsid w:val="00883848"/>
    <w:pPr>
      <w:ind w:firstLine="0"/>
    </w:pPr>
  </w:style>
  <w:style w:type="character" w:customStyle="1" w:styleId="TabletextChar">
    <w:name w:val="Table text Char"/>
    <w:basedOn w:val="TelobesedilaZnak"/>
    <w:link w:val="Tabletext"/>
    <w:uiPriority w:val="49"/>
    <w:rsid w:val="00883848"/>
    <w:rPr>
      <w:lang w:eastAsia="en-US"/>
    </w:rPr>
  </w:style>
  <w:style w:type="character" w:styleId="Hiperpovezava">
    <w:name w:val="Hyperlink"/>
    <w:basedOn w:val="Privzetapisavaodstavka"/>
    <w:uiPriority w:val="49"/>
    <w:unhideWhenUsed/>
    <w:locked/>
    <w:rsid w:val="00B153F2"/>
    <w:rPr>
      <w:color w:val="0000FF" w:themeColor="hyperlink"/>
      <w:u w:val="single"/>
    </w:rPr>
  </w:style>
  <w:style w:type="character" w:styleId="Nerazreenaomemba">
    <w:name w:val="Unresolved Mention"/>
    <w:basedOn w:val="Privzetapisavaodstavka"/>
    <w:uiPriority w:val="99"/>
    <w:semiHidden/>
    <w:unhideWhenUsed/>
    <w:rsid w:val="00B153F2"/>
    <w:rPr>
      <w:color w:val="808080"/>
      <w:shd w:val="clear" w:color="auto" w:fill="E6E6E6"/>
    </w:rPr>
  </w:style>
  <w:style w:type="character" w:customStyle="1" w:styleId="Naslov3Znak">
    <w:name w:val="Naslov 3 Znak"/>
    <w:aliases w:val="2nd level paper heading Znak"/>
    <w:basedOn w:val="Privzetapisavaodstavka"/>
    <w:link w:val="Naslov3"/>
    <w:uiPriority w:val="4"/>
    <w:rsid w:val="004D0F7E"/>
    <w:rPr>
      <w:b/>
      <w:lang w:eastAsia="en-US"/>
    </w:rPr>
  </w:style>
  <w:style w:type="paragraph" w:styleId="Odstavekseznama">
    <w:name w:val="List Paragraph"/>
    <w:basedOn w:val="Navaden"/>
    <w:uiPriority w:val="49"/>
    <w:locked/>
    <w:rsid w:val="00673F1B"/>
    <w:pPr>
      <w:ind w:left="720"/>
      <w:contextualSpacing/>
    </w:pPr>
  </w:style>
  <w:style w:type="paragraph" w:customStyle="1" w:styleId="Pravilnikodstavek">
    <w:name w:val="Pravilnik odstavek"/>
    <w:basedOn w:val="Navaden"/>
    <w:link w:val="PravilnikodstavekZnak"/>
    <w:qFormat/>
    <w:rsid w:val="002A0E4C"/>
    <w:pPr>
      <w:overflowPunct/>
      <w:autoSpaceDE/>
      <w:autoSpaceDN/>
      <w:adjustRightInd/>
      <w:spacing w:before="160"/>
      <w:jc w:val="both"/>
      <w:textAlignment w:val="auto"/>
    </w:pPr>
    <w:rPr>
      <w:rFonts w:ascii="Arial" w:eastAsia="Calibri" w:hAnsi="Arial" w:cs="Arial"/>
      <w:szCs w:val="22"/>
      <w:lang w:val="sl-SI"/>
    </w:rPr>
  </w:style>
  <w:style w:type="character" w:customStyle="1" w:styleId="PravilnikodstavekZnak">
    <w:name w:val="Pravilnik odstavek Znak"/>
    <w:basedOn w:val="Privzetapisavaodstavka"/>
    <w:link w:val="Pravilnikodstavek"/>
    <w:rsid w:val="006D08C9"/>
    <w:rPr>
      <w:rFonts w:ascii="Arial" w:eastAsia="Calibri" w:hAnsi="Arial" w:cs="Arial"/>
      <w:sz w:val="22"/>
      <w:szCs w:val="22"/>
      <w:lang w:val="sl-SI" w:eastAsia="en-US"/>
    </w:rPr>
  </w:style>
  <w:style w:type="paragraph" w:customStyle="1" w:styleId="pravilnikodstavki">
    <w:name w:val="pravilnik odstavki"/>
    <w:basedOn w:val="Odstavekseznama"/>
    <w:qFormat/>
    <w:rsid w:val="006D08C9"/>
    <w:pPr>
      <w:numPr>
        <w:numId w:val="15"/>
      </w:numPr>
      <w:tabs>
        <w:tab w:val="num" w:pos="459"/>
      </w:tabs>
      <w:overflowPunct/>
      <w:autoSpaceDE/>
      <w:autoSpaceDN/>
      <w:adjustRightInd/>
      <w:spacing w:after="160" w:line="259" w:lineRule="auto"/>
      <w:ind w:left="0" w:firstLine="0"/>
      <w:jc w:val="both"/>
      <w:textAlignment w:val="auto"/>
    </w:pPr>
    <w:rPr>
      <w:rFonts w:ascii="Arial" w:eastAsia="Calibri" w:hAnsi="Arial" w:cs="Arial"/>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395">
      <w:bodyDiv w:val="1"/>
      <w:marLeft w:val="0"/>
      <w:marRight w:val="0"/>
      <w:marTop w:val="0"/>
      <w:marBottom w:val="0"/>
      <w:divBdr>
        <w:top w:val="none" w:sz="0" w:space="0" w:color="auto"/>
        <w:left w:val="none" w:sz="0" w:space="0" w:color="auto"/>
        <w:bottom w:val="none" w:sz="0" w:space="0" w:color="auto"/>
        <w:right w:val="none" w:sz="0" w:space="0" w:color="auto"/>
      </w:divBdr>
      <w:divsChild>
        <w:div w:id="68435776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ja.persic@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sjv.gov.si/si/zakonodaja_in_dokumenti/prakticne_smernice_ursj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785C7341-C216-4AF8-9027-D31F43E5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189</TotalTime>
  <Pages>7</Pages>
  <Words>3977</Words>
  <Characters>21466</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Andreja Peršič</cp:lastModifiedBy>
  <cp:revision>46</cp:revision>
  <cp:lastPrinted>2019-04-12T10:42:00Z</cp:lastPrinted>
  <dcterms:created xsi:type="dcterms:W3CDTF">2019-04-12T08:20:00Z</dcterms:created>
  <dcterms:modified xsi:type="dcterms:W3CDTF">2019-04-12T11:32:00Z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