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2E0" w:rsidRPr="00011E99" w:rsidRDefault="006962E0" w:rsidP="004337D6">
      <w:pPr>
        <w:keepNext/>
        <w:widowControl w:val="0"/>
        <w:overflowPunct w:val="0"/>
        <w:autoSpaceDE w:val="0"/>
        <w:autoSpaceDN w:val="0"/>
        <w:adjustRightInd w:val="0"/>
        <w:jc w:val="both"/>
        <w:textAlignment w:val="baseline"/>
        <w:outlineLvl w:val="0"/>
        <w:rPr>
          <w:rFonts w:ascii="Times New Roman" w:eastAsia="Times New Roman" w:hAnsi="Times New Roman" w:cs="Times New Roman"/>
          <w:b/>
          <w:bCs/>
          <w:noProof/>
          <w:kern w:val="28"/>
          <w:sz w:val="24"/>
          <w:szCs w:val="24"/>
        </w:rPr>
      </w:pPr>
      <w:r w:rsidRPr="00011E99">
        <w:rPr>
          <w:rFonts w:ascii="Times New Roman" w:eastAsia="Times New Roman" w:hAnsi="Times New Roman" w:cs="Times New Roman"/>
          <w:b/>
          <w:bCs/>
          <w:noProof/>
          <w:kern w:val="28"/>
          <w:sz w:val="24"/>
          <w:szCs w:val="24"/>
        </w:rPr>
        <w:t xml:space="preserve">Measurement of sulphur isotopic ratio for the nuclear forensic investigation of uranium ore concentrates (yellow cakes) </w:t>
      </w:r>
    </w:p>
    <w:p w:rsidR="006962E0" w:rsidRPr="00011E99" w:rsidRDefault="006962E0" w:rsidP="004337D6">
      <w:pPr>
        <w:keepNext/>
        <w:overflowPunct w:val="0"/>
        <w:autoSpaceDE w:val="0"/>
        <w:autoSpaceDN w:val="0"/>
        <w:adjustRightInd w:val="0"/>
        <w:jc w:val="both"/>
        <w:textAlignment w:val="baseline"/>
        <w:outlineLvl w:val="0"/>
        <w:rPr>
          <w:rFonts w:ascii="Times New Roman" w:eastAsia="Times New Roman" w:hAnsi="Times New Roman" w:cs="Times New Roman"/>
          <w:b/>
          <w:bCs/>
          <w:noProof/>
          <w:kern w:val="28"/>
          <w:sz w:val="24"/>
          <w:szCs w:val="24"/>
        </w:rPr>
      </w:pPr>
    </w:p>
    <w:p w:rsidR="006962E0" w:rsidRPr="00217004" w:rsidRDefault="006962E0" w:rsidP="004337D6">
      <w:pPr>
        <w:overflowPunct w:val="0"/>
        <w:autoSpaceDE w:val="0"/>
        <w:autoSpaceDN w:val="0"/>
        <w:adjustRightInd w:val="0"/>
        <w:jc w:val="both"/>
        <w:textAlignment w:val="baseline"/>
        <w:rPr>
          <w:rFonts w:ascii="Times New Roman" w:eastAsia="Times New Roman" w:hAnsi="Times New Roman" w:cs="Times New Roman"/>
          <w:b/>
          <w:noProof/>
        </w:rPr>
      </w:pPr>
      <w:r w:rsidRPr="00011E99">
        <w:rPr>
          <w:rFonts w:ascii="Times New Roman" w:eastAsia="Times New Roman" w:hAnsi="Times New Roman" w:cs="Times New Roman"/>
          <w:b/>
          <w:noProof/>
        </w:rPr>
        <w:t>Zsolt Varga</w:t>
      </w:r>
      <w:r w:rsidRPr="00217004">
        <w:rPr>
          <w:rFonts w:ascii="Times New Roman" w:eastAsia="Times New Roman" w:hAnsi="Times New Roman" w:cs="Times New Roman"/>
          <w:b/>
          <w:noProof/>
          <w:vertAlign w:val="superscript"/>
        </w:rPr>
        <w:t>a</w:t>
      </w:r>
      <w:r w:rsidRPr="00011E99">
        <w:rPr>
          <w:rFonts w:ascii="Times New Roman" w:eastAsia="Times New Roman" w:hAnsi="Times New Roman" w:cs="Times New Roman"/>
          <w:b/>
          <w:noProof/>
        </w:rPr>
        <w:t>, Sun-Ho Han</w:t>
      </w:r>
      <w:r w:rsidRPr="00217004">
        <w:rPr>
          <w:rFonts w:ascii="Times New Roman" w:eastAsia="Times New Roman" w:hAnsi="Times New Roman" w:cs="Times New Roman"/>
          <w:b/>
          <w:noProof/>
          <w:vertAlign w:val="superscript"/>
        </w:rPr>
        <w:t>a</w:t>
      </w:r>
      <w:r w:rsidRPr="00011E99">
        <w:rPr>
          <w:rFonts w:ascii="Times New Roman" w:eastAsia="Times New Roman" w:hAnsi="Times New Roman" w:cs="Times New Roman"/>
          <w:b/>
          <w:noProof/>
          <w:vertAlign w:val="superscript"/>
        </w:rPr>
        <w:t>,</w:t>
      </w:r>
      <w:r w:rsidRPr="00217004">
        <w:rPr>
          <w:rFonts w:ascii="Times New Roman" w:eastAsia="Times New Roman" w:hAnsi="Times New Roman" w:cs="Times New Roman"/>
          <w:b/>
          <w:noProof/>
          <w:vertAlign w:val="superscript"/>
        </w:rPr>
        <w:t>b</w:t>
      </w:r>
      <w:r w:rsidRPr="00011E99">
        <w:rPr>
          <w:rFonts w:ascii="Times New Roman" w:eastAsia="Times New Roman" w:hAnsi="Times New Roman" w:cs="Times New Roman"/>
          <w:b/>
          <w:noProof/>
        </w:rPr>
        <w:t>, Judit Krajko</w:t>
      </w:r>
      <w:r w:rsidRPr="00217004">
        <w:rPr>
          <w:rFonts w:ascii="Times New Roman" w:eastAsia="Times New Roman" w:hAnsi="Times New Roman" w:cs="Times New Roman"/>
          <w:b/>
          <w:noProof/>
          <w:vertAlign w:val="superscript"/>
        </w:rPr>
        <w:t>a</w:t>
      </w:r>
      <w:r w:rsidRPr="00011E99">
        <w:rPr>
          <w:rFonts w:ascii="Times New Roman" w:eastAsia="Times New Roman" w:hAnsi="Times New Roman" w:cs="Times New Roman"/>
          <w:b/>
          <w:noProof/>
        </w:rPr>
        <w:t>, Maria Wallenius</w:t>
      </w:r>
      <w:r w:rsidRPr="00217004">
        <w:rPr>
          <w:rFonts w:ascii="Times New Roman" w:eastAsia="Times New Roman" w:hAnsi="Times New Roman" w:cs="Times New Roman"/>
          <w:b/>
          <w:noProof/>
          <w:vertAlign w:val="superscript"/>
        </w:rPr>
        <w:t>a</w:t>
      </w:r>
      <w:r w:rsidRPr="00011E99">
        <w:rPr>
          <w:rFonts w:ascii="Times New Roman" w:eastAsia="Times New Roman" w:hAnsi="Times New Roman" w:cs="Times New Roman"/>
          <w:b/>
          <w:noProof/>
        </w:rPr>
        <w:t>, Kyuseok Song</w:t>
      </w:r>
      <w:r w:rsidRPr="00217004">
        <w:rPr>
          <w:rFonts w:ascii="Times New Roman" w:eastAsia="Times New Roman" w:hAnsi="Times New Roman" w:cs="Times New Roman"/>
          <w:b/>
          <w:noProof/>
          <w:vertAlign w:val="superscript"/>
        </w:rPr>
        <w:t>b</w:t>
      </w:r>
      <w:r w:rsidRPr="00217004">
        <w:rPr>
          <w:rFonts w:ascii="Times New Roman" w:eastAsia="Times New Roman" w:hAnsi="Times New Roman" w:cs="Times New Roman"/>
          <w:b/>
          <w:noProof/>
        </w:rPr>
        <w:t xml:space="preserve">, </w:t>
      </w:r>
      <w:r w:rsidRPr="00011E99">
        <w:rPr>
          <w:rFonts w:ascii="Times New Roman" w:eastAsia="Times New Roman" w:hAnsi="Times New Roman" w:cs="Times New Roman"/>
          <w:b/>
          <w:noProof/>
        </w:rPr>
        <w:t>Klaus Mayer</w:t>
      </w:r>
      <w:r w:rsidRPr="00217004">
        <w:rPr>
          <w:rFonts w:ascii="Times New Roman" w:eastAsia="Times New Roman" w:hAnsi="Times New Roman" w:cs="Times New Roman"/>
          <w:b/>
          <w:noProof/>
          <w:vertAlign w:val="superscript"/>
        </w:rPr>
        <w:t>a</w:t>
      </w:r>
      <w:r w:rsidRPr="00011E99">
        <w:rPr>
          <w:rFonts w:ascii="Times New Roman" w:eastAsia="Times New Roman" w:hAnsi="Times New Roman" w:cs="Times New Roman"/>
          <w:b/>
          <w:noProof/>
        </w:rPr>
        <w:t xml:space="preserve"> </w:t>
      </w:r>
    </w:p>
    <w:p w:rsidR="006962E0" w:rsidRPr="00011E99" w:rsidRDefault="006962E0" w:rsidP="004337D6">
      <w:pPr>
        <w:overflowPunct w:val="0"/>
        <w:autoSpaceDE w:val="0"/>
        <w:autoSpaceDN w:val="0"/>
        <w:adjustRightInd w:val="0"/>
        <w:jc w:val="both"/>
        <w:textAlignment w:val="baseline"/>
        <w:rPr>
          <w:rFonts w:ascii="Times New Roman" w:eastAsia="Times New Roman" w:hAnsi="Times New Roman" w:cs="Times New Roman"/>
          <w:noProof/>
          <w:sz w:val="24"/>
          <w:szCs w:val="24"/>
        </w:rPr>
      </w:pPr>
    </w:p>
    <w:p w:rsidR="006962E0" w:rsidRPr="000A345D" w:rsidRDefault="006962E0" w:rsidP="0039417B">
      <w:pPr>
        <w:rPr>
          <w:rFonts w:ascii="Times New Roman" w:eastAsia="Times New Roman" w:hAnsi="Times New Roman" w:cs="Times New Roman"/>
        </w:rPr>
      </w:pPr>
      <w:proofErr w:type="gramStart"/>
      <w:r w:rsidRPr="000A345D">
        <w:rPr>
          <w:rFonts w:ascii="Times New Roman" w:eastAsia="Times New Roman" w:hAnsi="Times New Roman" w:cs="Times New Roman"/>
          <w:vertAlign w:val="superscript"/>
        </w:rPr>
        <w:t>a</w:t>
      </w:r>
      <w:proofErr w:type="gramEnd"/>
      <w:r w:rsidRPr="000A345D">
        <w:rPr>
          <w:rFonts w:ascii="Times New Roman" w:eastAsia="Times New Roman" w:hAnsi="Times New Roman" w:cs="Times New Roman"/>
        </w:rPr>
        <w:t xml:space="preserve"> European Commission,</w:t>
      </w:r>
    </w:p>
    <w:p w:rsidR="006962E0" w:rsidRPr="000A345D" w:rsidRDefault="006962E0" w:rsidP="0039417B">
      <w:pPr>
        <w:rPr>
          <w:rFonts w:ascii="Times New Roman" w:eastAsia="Times New Roman" w:hAnsi="Times New Roman" w:cs="Times New Roman"/>
        </w:rPr>
      </w:pPr>
      <w:r>
        <w:rPr>
          <w:rFonts w:ascii="Times New Roman" w:eastAsia="Times New Roman" w:hAnsi="Times New Roman" w:cs="Times New Roman"/>
        </w:rPr>
        <w:t xml:space="preserve"> </w:t>
      </w:r>
      <w:r w:rsidRPr="00011E99">
        <w:rPr>
          <w:rFonts w:ascii="Times New Roman" w:eastAsia="Times New Roman" w:hAnsi="Times New Roman" w:cs="Times New Roman"/>
        </w:rPr>
        <w:t>Joint Research Centre</w:t>
      </w:r>
      <w:r w:rsidRPr="000A345D">
        <w:rPr>
          <w:rFonts w:ascii="Times New Roman" w:eastAsia="Times New Roman" w:hAnsi="Times New Roman" w:cs="Times New Roman"/>
        </w:rPr>
        <w:t>,</w:t>
      </w:r>
    </w:p>
    <w:p w:rsidR="006962E0" w:rsidRPr="000A345D" w:rsidRDefault="006962E0" w:rsidP="0039417B">
      <w:pPr>
        <w:rPr>
          <w:rFonts w:ascii="Times New Roman" w:eastAsia="Times New Roman" w:hAnsi="Times New Roman" w:cs="Times New Roman"/>
        </w:rPr>
      </w:pPr>
      <w:r>
        <w:rPr>
          <w:rFonts w:ascii="Times New Roman" w:eastAsia="Times New Roman" w:hAnsi="Times New Roman" w:cs="Times New Roman"/>
        </w:rPr>
        <w:t xml:space="preserve"> </w:t>
      </w:r>
      <w:r w:rsidRPr="00011E99">
        <w:rPr>
          <w:rFonts w:ascii="Times New Roman" w:eastAsia="Times New Roman" w:hAnsi="Times New Roman" w:cs="Times New Roman"/>
        </w:rPr>
        <w:t>Institute for Transuranium Elements</w:t>
      </w:r>
    </w:p>
    <w:p w:rsidR="006962E0" w:rsidRPr="000A345D" w:rsidRDefault="006962E0" w:rsidP="0039417B">
      <w:pPr>
        <w:rPr>
          <w:rFonts w:ascii="Times New Roman" w:eastAsia="Times New Roman" w:hAnsi="Times New Roman" w:cs="Times New Roman"/>
        </w:rPr>
      </w:pPr>
      <w:r>
        <w:rPr>
          <w:rFonts w:ascii="Times New Roman" w:eastAsia="Times New Roman" w:hAnsi="Times New Roman" w:cs="Times New Roman"/>
        </w:rPr>
        <w:t xml:space="preserve"> </w:t>
      </w:r>
      <w:proofErr w:type="spellStart"/>
      <w:r w:rsidRPr="000A345D">
        <w:rPr>
          <w:rFonts w:ascii="Times New Roman" w:eastAsia="Times New Roman" w:hAnsi="Times New Roman" w:cs="Times New Roman"/>
        </w:rPr>
        <w:t>Postfach</w:t>
      </w:r>
      <w:proofErr w:type="spellEnd"/>
      <w:r w:rsidRPr="000A345D">
        <w:rPr>
          <w:rFonts w:ascii="Times New Roman" w:eastAsia="Times New Roman" w:hAnsi="Times New Roman" w:cs="Times New Roman"/>
        </w:rPr>
        <w:t xml:space="preserve"> 2340, 76125</w:t>
      </w:r>
    </w:p>
    <w:p w:rsidR="006962E0" w:rsidRPr="00011E99" w:rsidRDefault="006962E0" w:rsidP="0039417B">
      <w:pPr>
        <w:rPr>
          <w:rFonts w:ascii="Times New Roman" w:eastAsia="Times New Roman" w:hAnsi="Times New Roman" w:cs="Times New Roman"/>
        </w:rPr>
      </w:pPr>
      <w:r>
        <w:rPr>
          <w:rFonts w:ascii="Times New Roman" w:eastAsia="Times New Roman" w:hAnsi="Times New Roman" w:cs="Times New Roman"/>
        </w:rPr>
        <w:t xml:space="preserve"> </w:t>
      </w:r>
      <w:r w:rsidRPr="00011E99">
        <w:rPr>
          <w:rFonts w:ascii="Times New Roman" w:eastAsia="Times New Roman" w:hAnsi="Times New Roman" w:cs="Times New Roman"/>
        </w:rPr>
        <w:t>Karlsruhe, Germany</w:t>
      </w:r>
    </w:p>
    <w:p w:rsidR="006962E0" w:rsidRPr="000A345D" w:rsidRDefault="006962E0" w:rsidP="004337D6">
      <w:pPr>
        <w:jc w:val="both"/>
        <w:rPr>
          <w:rFonts w:ascii="Times New Roman" w:eastAsia="Times New Roman" w:hAnsi="Times New Roman" w:cs="Times New Roman"/>
          <w:vertAlign w:val="superscript"/>
        </w:rPr>
      </w:pPr>
    </w:p>
    <w:p w:rsidR="006962E0" w:rsidRPr="000A345D" w:rsidRDefault="006962E0" w:rsidP="004337D6">
      <w:pPr>
        <w:jc w:val="both"/>
        <w:rPr>
          <w:rFonts w:ascii="Times New Roman" w:eastAsia="Times New Roman" w:hAnsi="Times New Roman" w:cs="Times New Roman"/>
        </w:rPr>
      </w:pPr>
      <w:proofErr w:type="gramStart"/>
      <w:r w:rsidRPr="000A345D">
        <w:rPr>
          <w:rFonts w:ascii="Times New Roman" w:eastAsia="Times New Roman" w:hAnsi="Times New Roman" w:cs="Times New Roman"/>
          <w:vertAlign w:val="superscript"/>
        </w:rPr>
        <w:t>b</w:t>
      </w:r>
      <w:proofErr w:type="gramEnd"/>
      <w:r w:rsidRPr="00011E99">
        <w:rPr>
          <w:rFonts w:ascii="Times New Roman" w:eastAsia="Times New Roman" w:hAnsi="Times New Roman" w:cs="Times New Roman"/>
        </w:rPr>
        <w:t xml:space="preserve"> Korea At</w:t>
      </w:r>
      <w:r w:rsidRPr="000A345D">
        <w:rPr>
          <w:rFonts w:ascii="Times New Roman" w:eastAsia="Times New Roman" w:hAnsi="Times New Roman" w:cs="Times New Roman"/>
        </w:rPr>
        <w:t>omic Energy Research Institute,</w:t>
      </w:r>
    </w:p>
    <w:p w:rsidR="006962E0" w:rsidRPr="000A345D" w:rsidRDefault="006962E0" w:rsidP="004337D6">
      <w:pPr>
        <w:jc w:val="both"/>
        <w:rPr>
          <w:rFonts w:ascii="Times New Roman" w:eastAsia="Times New Roman" w:hAnsi="Times New Roman" w:cs="Times New Roman"/>
        </w:rPr>
      </w:pPr>
      <w:r>
        <w:rPr>
          <w:rFonts w:ascii="Times New Roman" w:eastAsia="Times New Roman" w:hAnsi="Times New Roman" w:cs="Times New Roman"/>
        </w:rPr>
        <w:t xml:space="preserve"> </w:t>
      </w:r>
      <w:r w:rsidRPr="000A345D">
        <w:rPr>
          <w:rFonts w:ascii="Times New Roman" w:eastAsia="Times New Roman" w:hAnsi="Times New Roman" w:cs="Times New Roman"/>
        </w:rPr>
        <w:t>Daejeon, 305-353,</w:t>
      </w:r>
    </w:p>
    <w:p w:rsidR="006962E0" w:rsidRPr="00011E99" w:rsidRDefault="006962E0" w:rsidP="004337D6">
      <w:pPr>
        <w:jc w:val="both"/>
        <w:rPr>
          <w:rFonts w:ascii="Times New Roman" w:eastAsia="Times New Roman" w:hAnsi="Times New Roman" w:cs="Times New Roman"/>
        </w:rPr>
      </w:pPr>
      <w:r>
        <w:rPr>
          <w:rFonts w:ascii="Times New Roman" w:eastAsia="Times New Roman" w:hAnsi="Times New Roman" w:cs="Times New Roman"/>
        </w:rPr>
        <w:t xml:space="preserve"> </w:t>
      </w:r>
      <w:r w:rsidRPr="00011E99">
        <w:rPr>
          <w:rFonts w:ascii="Times New Roman" w:eastAsia="Times New Roman" w:hAnsi="Times New Roman" w:cs="Times New Roman"/>
        </w:rPr>
        <w:t>Republic of Korea</w:t>
      </w:r>
    </w:p>
    <w:p w:rsidR="006962E0" w:rsidRDefault="006962E0" w:rsidP="004337D6">
      <w:pPr>
        <w:jc w:val="both"/>
        <w:rPr>
          <w:rFonts w:ascii="Times New Roman" w:eastAsia="Calibri" w:hAnsi="Times New Roman" w:cs="Times New Roman"/>
          <w:sz w:val="20"/>
          <w:szCs w:val="20"/>
        </w:rPr>
      </w:pPr>
    </w:p>
    <w:p w:rsidR="006962E0" w:rsidRPr="00782876" w:rsidRDefault="006962E0" w:rsidP="004337D6">
      <w:pPr>
        <w:jc w:val="both"/>
        <w:rPr>
          <w:rFonts w:ascii="Times New Roman" w:eastAsia="Calibri" w:hAnsi="Times New Roman" w:cs="Times New Roman"/>
          <w:sz w:val="20"/>
          <w:szCs w:val="20"/>
        </w:rPr>
      </w:pPr>
    </w:p>
    <w:p w:rsidR="006962E0" w:rsidRPr="00A97B16" w:rsidRDefault="006962E0" w:rsidP="004337D6">
      <w:pPr>
        <w:jc w:val="both"/>
        <w:rPr>
          <w:rFonts w:ascii="Times New Roman" w:hAnsi="Times New Roman" w:cs="Times New Roman"/>
          <w:sz w:val="20"/>
          <w:szCs w:val="20"/>
        </w:rPr>
      </w:pPr>
      <w:r w:rsidRPr="00A97B16">
        <w:rPr>
          <w:rFonts w:ascii="Times New Roman" w:hAnsi="Times New Roman" w:cs="Times New Roman"/>
          <w:b/>
          <w:sz w:val="20"/>
          <w:szCs w:val="20"/>
        </w:rPr>
        <w:t xml:space="preserve">Abstract. </w:t>
      </w:r>
      <w:r w:rsidRPr="00A97B16">
        <w:rPr>
          <w:rFonts w:ascii="Times New Roman" w:hAnsi="Times New Roman" w:cs="Times New Roman"/>
          <w:sz w:val="20"/>
          <w:szCs w:val="20"/>
        </w:rPr>
        <w:t>A novel method has been developed for the measurement of the</w:t>
      </w:r>
      <w:r>
        <w:rPr>
          <w:rFonts w:ascii="Times New Roman" w:hAnsi="Times New Roman" w:cs="Times New Roman"/>
          <w:sz w:val="20"/>
          <w:szCs w:val="20"/>
        </w:rPr>
        <w:t xml:space="preserve"> </w:t>
      </w:r>
      <w:proofErr w:type="gramStart"/>
      <w:r w:rsidRPr="004329E4">
        <w:rPr>
          <w:rFonts w:ascii="Times New Roman" w:hAnsi="Times New Roman" w:cs="Times New Roman"/>
          <w:i/>
          <w:sz w:val="20"/>
          <w:szCs w:val="20"/>
        </w:rPr>
        <w:t>n</w:t>
      </w:r>
      <w:r>
        <w:rPr>
          <w:rFonts w:ascii="Times New Roman" w:hAnsi="Times New Roman" w:cs="Times New Roman"/>
          <w:sz w:val="20"/>
          <w:szCs w:val="20"/>
        </w:rPr>
        <w:t>(</w:t>
      </w:r>
      <w:proofErr w:type="gramEnd"/>
      <w:r w:rsidRPr="00A97B16">
        <w:rPr>
          <w:rFonts w:ascii="Times New Roman" w:hAnsi="Times New Roman" w:cs="Times New Roman"/>
          <w:sz w:val="20"/>
          <w:szCs w:val="20"/>
          <w:vertAlign w:val="superscript"/>
        </w:rPr>
        <w:t>34</w:t>
      </w:r>
      <w:r w:rsidRPr="00A97B16">
        <w:rPr>
          <w:rFonts w:ascii="Times New Roman" w:hAnsi="Times New Roman" w:cs="Times New Roman"/>
          <w:sz w:val="20"/>
          <w:szCs w:val="20"/>
        </w:rPr>
        <w:t>S</w:t>
      </w:r>
      <w:r>
        <w:rPr>
          <w:rFonts w:ascii="Times New Roman" w:hAnsi="Times New Roman" w:cs="Times New Roman"/>
          <w:sz w:val="20"/>
          <w:szCs w:val="20"/>
        </w:rPr>
        <w:t>)</w:t>
      </w:r>
      <w:r w:rsidRPr="00A97B16">
        <w:rPr>
          <w:rFonts w:ascii="Times New Roman" w:hAnsi="Times New Roman" w:cs="Times New Roman"/>
          <w:sz w:val="20"/>
          <w:szCs w:val="20"/>
        </w:rPr>
        <w:t>/</w:t>
      </w:r>
      <w:r w:rsidRPr="004329E4">
        <w:rPr>
          <w:rFonts w:ascii="Times New Roman" w:hAnsi="Times New Roman" w:cs="Times New Roman"/>
          <w:i/>
          <w:sz w:val="20"/>
          <w:szCs w:val="20"/>
        </w:rPr>
        <w:t>n</w:t>
      </w:r>
      <w:r>
        <w:rPr>
          <w:rFonts w:ascii="Times New Roman" w:hAnsi="Times New Roman" w:cs="Times New Roman"/>
          <w:sz w:val="20"/>
          <w:szCs w:val="20"/>
        </w:rPr>
        <w:t>(</w:t>
      </w:r>
      <w:r w:rsidRPr="00A97B16">
        <w:rPr>
          <w:rFonts w:ascii="Times New Roman" w:hAnsi="Times New Roman" w:cs="Times New Roman"/>
          <w:sz w:val="20"/>
          <w:szCs w:val="20"/>
          <w:vertAlign w:val="superscript"/>
        </w:rPr>
        <w:t>32</w:t>
      </w:r>
      <w:r w:rsidRPr="00A97B16">
        <w:rPr>
          <w:rFonts w:ascii="Times New Roman" w:hAnsi="Times New Roman" w:cs="Times New Roman"/>
          <w:sz w:val="20"/>
          <w:szCs w:val="20"/>
        </w:rPr>
        <w:t>S</w:t>
      </w:r>
      <w:r>
        <w:rPr>
          <w:rFonts w:ascii="Times New Roman" w:hAnsi="Times New Roman" w:cs="Times New Roman"/>
          <w:sz w:val="20"/>
          <w:szCs w:val="20"/>
        </w:rPr>
        <w:t>)</w:t>
      </w:r>
      <w:r w:rsidRPr="00A97B16">
        <w:rPr>
          <w:rFonts w:ascii="Times New Roman" w:hAnsi="Times New Roman" w:cs="Times New Roman"/>
          <w:sz w:val="20"/>
          <w:szCs w:val="20"/>
        </w:rPr>
        <w:t xml:space="preserve"> isotope ratio in uranium ore concentrate (yellow cake) samples for the origin assessment in nuclear forensics. The leachable sulphate is separated and pre-concentrated by anion exchange separation followed by the </w:t>
      </w:r>
      <w:proofErr w:type="gramStart"/>
      <w:r w:rsidRPr="004329E4">
        <w:rPr>
          <w:rFonts w:ascii="Times New Roman" w:hAnsi="Times New Roman" w:cs="Times New Roman"/>
          <w:i/>
          <w:sz w:val="20"/>
          <w:szCs w:val="20"/>
        </w:rPr>
        <w:t>n</w:t>
      </w:r>
      <w:r>
        <w:rPr>
          <w:rFonts w:ascii="Times New Roman" w:hAnsi="Times New Roman" w:cs="Times New Roman"/>
          <w:sz w:val="20"/>
          <w:szCs w:val="20"/>
        </w:rPr>
        <w:t>(</w:t>
      </w:r>
      <w:proofErr w:type="gramEnd"/>
      <w:r w:rsidRPr="00A97B16">
        <w:rPr>
          <w:rFonts w:ascii="Times New Roman" w:hAnsi="Times New Roman" w:cs="Times New Roman"/>
          <w:sz w:val="20"/>
          <w:szCs w:val="20"/>
          <w:vertAlign w:val="superscript"/>
        </w:rPr>
        <w:t>34</w:t>
      </w:r>
      <w:r w:rsidRPr="00A97B16">
        <w:rPr>
          <w:rFonts w:ascii="Times New Roman" w:hAnsi="Times New Roman" w:cs="Times New Roman"/>
          <w:sz w:val="20"/>
          <w:szCs w:val="20"/>
        </w:rPr>
        <w:t>S</w:t>
      </w:r>
      <w:r>
        <w:rPr>
          <w:rFonts w:ascii="Times New Roman" w:hAnsi="Times New Roman" w:cs="Times New Roman"/>
          <w:sz w:val="20"/>
          <w:szCs w:val="20"/>
        </w:rPr>
        <w:t>)</w:t>
      </w:r>
      <w:r w:rsidRPr="00A97B16">
        <w:rPr>
          <w:rFonts w:ascii="Times New Roman" w:hAnsi="Times New Roman" w:cs="Times New Roman"/>
          <w:sz w:val="20"/>
          <w:szCs w:val="20"/>
        </w:rPr>
        <w:t>/</w:t>
      </w:r>
      <w:r w:rsidRPr="004329E4">
        <w:rPr>
          <w:rFonts w:ascii="Times New Roman" w:hAnsi="Times New Roman" w:cs="Times New Roman"/>
          <w:i/>
          <w:sz w:val="20"/>
          <w:szCs w:val="20"/>
        </w:rPr>
        <w:t>n</w:t>
      </w:r>
      <w:r>
        <w:rPr>
          <w:rFonts w:ascii="Times New Roman" w:hAnsi="Times New Roman" w:cs="Times New Roman"/>
          <w:sz w:val="20"/>
          <w:szCs w:val="20"/>
        </w:rPr>
        <w:t>(</w:t>
      </w:r>
      <w:r w:rsidRPr="00A97B16">
        <w:rPr>
          <w:rFonts w:ascii="Times New Roman" w:hAnsi="Times New Roman" w:cs="Times New Roman"/>
          <w:sz w:val="20"/>
          <w:szCs w:val="20"/>
          <w:vertAlign w:val="superscript"/>
        </w:rPr>
        <w:t>32</w:t>
      </w:r>
      <w:r w:rsidRPr="00A97B16">
        <w:rPr>
          <w:rFonts w:ascii="Times New Roman" w:hAnsi="Times New Roman" w:cs="Times New Roman"/>
          <w:sz w:val="20"/>
          <w:szCs w:val="20"/>
        </w:rPr>
        <w:t>S</w:t>
      </w:r>
      <w:r>
        <w:rPr>
          <w:rFonts w:ascii="Times New Roman" w:hAnsi="Times New Roman" w:cs="Times New Roman"/>
          <w:sz w:val="20"/>
          <w:szCs w:val="20"/>
        </w:rPr>
        <w:t xml:space="preserve">) </w:t>
      </w:r>
      <w:r w:rsidRPr="00A97B16">
        <w:rPr>
          <w:rFonts w:ascii="Times New Roman" w:hAnsi="Times New Roman" w:cs="Times New Roman"/>
          <w:sz w:val="20"/>
          <w:szCs w:val="20"/>
        </w:rPr>
        <w:t>ratio measurement using multi-collector inductively coupled plas</w:t>
      </w:r>
      <w:r>
        <w:rPr>
          <w:rFonts w:ascii="Times New Roman" w:hAnsi="Times New Roman" w:cs="Times New Roman"/>
          <w:sz w:val="20"/>
          <w:szCs w:val="20"/>
        </w:rPr>
        <w:t>ma mass spectrometry</w:t>
      </w:r>
      <w:r w:rsidRPr="00A97B16">
        <w:rPr>
          <w:rFonts w:ascii="Times New Roman" w:hAnsi="Times New Roman" w:cs="Times New Roman"/>
          <w:sz w:val="20"/>
          <w:szCs w:val="20"/>
        </w:rPr>
        <w:t xml:space="preserve">. The method was validated by the measurement of standard reference materials (IAEA-S-2, IAEA-S-3 and IAEA-S-4) and the </w:t>
      </w:r>
      <w:r w:rsidRPr="00523024">
        <w:rPr>
          <w:rFonts w:ascii="Symbol" w:hAnsi="Symbol" w:cs="Times New Roman"/>
          <w:sz w:val="20"/>
          <w:szCs w:val="20"/>
        </w:rPr>
        <w:t></w:t>
      </w:r>
      <w:r w:rsidRPr="00A97B16">
        <w:rPr>
          <w:rFonts w:ascii="Times New Roman" w:hAnsi="Times New Roman" w:cs="Times New Roman"/>
          <w:sz w:val="20"/>
          <w:szCs w:val="20"/>
          <w:vertAlign w:val="superscript"/>
        </w:rPr>
        <w:t>34</w:t>
      </w:r>
      <w:r w:rsidRPr="00A97B16">
        <w:rPr>
          <w:rFonts w:ascii="Times New Roman" w:hAnsi="Times New Roman" w:cs="Times New Roman"/>
          <w:sz w:val="20"/>
          <w:szCs w:val="20"/>
        </w:rPr>
        <w:t xml:space="preserve">S value could be determined with an </w:t>
      </w:r>
      <w:r>
        <w:rPr>
          <w:rFonts w:ascii="Times New Roman" w:hAnsi="Times New Roman" w:cs="Times New Roman"/>
          <w:sz w:val="20"/>
          <w:szCs w:val="20"/>
        </w:rPr>
        <w:t xml:space="preserve">expanded </w:t>
      </w:r>
      <w:r w:rsidRPr="00A97B16">
        <w:rPr>
          <w:rFonts w:ascii="Times New Roman" w:hAnsi="Times New Roman" w:cs="Times New Roman"/>
          <w:sz w:val="20"/>
          <w:szCs w:val="20"/>
        </w:rPr>
        <w:t xml:space="preserve">uncertainty </w:t>
      </w:r>
      <w:r w:rsidRPr="00A97B16">
        <w:rPr>
          <w:rFonts w:ascii="Times New Roman" w:hAnsi="Times New Roman" w:cs="Times New Roman"/>
          <w:sz w:val="20"/>
          <w:szCs w:val="20"/>
          <w:lang w:eastAsia="ko-KR"/>
        </w:rPr>
        <w:t>between 0.45‰ and 1.9‰ expressed with a coverage factor of 2</w:t>
      </w:r>
      <w:r w:rsidRPr="00A97B16">
        <w:rPr>
          <w:rFonts w:ascii="Times New Roman" w:hAnsi="Times New Roman" w:cs="Times New Roman"/>
          <w:sz w:val="20"/>
          <w:szCs w:val="20"/>
        </w:rPr>
        <w:t>. The method was then applied for the analysis of uranium ore concentrates of world-wide origin</w:t>
      </w:r>
      <w:r>
        <w:rPr>
          <w:rFonts w:ascii="Times New Roman" w:hAnsi="Times New Roman" w:cs="Times New Roman"/>
          <w:sz w:val="20"/>
          <w:szCs w:val="20"/>
        </w:rPr>
        <w:t xml:space="preserve">. </w:t>
      </w:r>
      <w:r w:rsidRPr="00A97B16">
        <w:rPr>
          <w:rFonts w:ascii="Times New Roman" w:hAnsi="Times New Roman" w:cs="Times New Roman"/>
          <w:sz w:val="20"/>
          <w:szCs w:val="20"/>
        </w:rPr>
        <w:t xml:space="preserve">In the studied materials distinct </w:t>
      </w:r>
      <w:proofErr w:type="gramStart"/>
      <w:r w:rsidRPr="004329E4">
        <w:rPr>
          <w:rFonts w:ascii="Times New Roman" w:hAnsi="Times New Roman" w:cs="Times New Roman"/>
          <w:i/>
          <w:sz w:val="20"/>
          <w:szCs w:val="20"/>
        </w:rPr>
        <w:t>n</w:t>
      </w:r>
      <w:r>
        <w:rPr>
          <w:rFonts w:ascii="Times New Roman" w:hAnsi="Times New Roman" w:cs="Times New Roman"/>
          <w:sz w:val="20"/>
          <w:szCs w:val="20"/>
        </w:rPr>
        <w:t>(</w:t>
      </w:r>
      <w:proofErr w:type="gramEnd"/>
      <w:r w:rsidRPr="00A97B16">
        <w:rPr>
          <w:rFonts w:ascii="Times New Roman" w:hAnsi="Times New Roman" w:cs="Times New Roman"/>
          <w:sz w:val="20"/>
          <w:szCs w:val="20"/>
          <w:vertAlign w:val="superscript"/>
        </w:rPr>
        <w:t>34</w:t>
      </w:r>
      <w:r w:rsidRPr="00A97B16">
        <w:rPr>
          <w:rFonts w:ascii="Times New Roman" w:hAnsi="Times New Roman" w:cs="Times New Roman"/>
          <w:sz w:val="20"/>
          <w:szCs w:val="20"/>
        </w:rPr>
        <w:t>S</w:t>
      </w:r>
      <w:r>
        <w:rPr>
          <w:rFonts w:ascii="Times New Roman" w:hAnsi="Times New Roman" w:cs="Times New Roman"/>
          <w:sz w:val="20"/>
          <w:szCs w:val="20"/>
        </w:rPr>
        <w:t>)</w:t>
      </w:r>
      <w:r w:rsidRPr="00A97B16">
        <w:rPr>
          <w:rFonts w:ascii="Times New Roman" w:hAnsi="Times New Roman" w:cs="Times New Roman"/>
          <w:sz w:val="20"/>
          <w:szCs w:val="20"/>
        </w:rPr>
        <w:t>/</w:t>
      </w:r>
      <w:r w:rsidRPr="004329E4">
        <w:rPr>
          <w:rFonts w:ascii="Times New Roman" w:hAnsi="Times New Roman" w:cs="Times New Roman"/>
          <w:i/>
          <w:sz w:val="20"/>
          <w:szCs w:val="20"/>
        </w:rPr>
        <w:t>n</w:t>
      </w:r>
      <w:r>
        <w:rPr>
          <w:rFonts w:ascii="Times New Roman" w:hAnsi="Times New Roman" w:cs="Times New Roman"/>
          <w:sz w:val="20"/>
          <w:szCs w:val="20"/>
        </w:rPr>
        <w:t>(</w:t>
      </w:r>
      <w:r w:rsidRPr="00A97B16">
        <w:rPr>
          <w:rFonts w:ascii="Times New Roman" w:hAnsi="Times New Roman" w:cs="Times New Roman"/>
          <w:sz w:val="20"/>
          <w:szCs w:val="20"/>
          <w:vertAlign w:val="superscript"/>
        </w:rPr>
        <w:t>32</w:t>
      </w:r>
      <w:r w:rsidRPr="00A97B16">
        <w:rPr>
          <w:rFonts w:ascii="Times New Roman" w:hAnsi="Times New Roman" w:cs="Times New Roman"/>
          <w:sz w:val="20"/>
          <w:szCs w:val="20"/>
        </w:rPr>
        <w:t>S</w:t>
      </w:r>
      <w:r>
        <w:rPr>
          <w:rFonts w:ascii="Times New Roman" w:hAnsi="Times New Roman" w:cs="Times New Roman"/>
          <w:sz w:val="20"/>
          <w:szCs w:val="20"/>
        </w:rPr>
        <w:t>)</w:t>
      </w:r>
      <w:r w:rsidRPr="00A97B16">
        <w:rPr>
          <w:rFonts w:ascii="Times New Roman" w:hAnsi="Times New Roman" w:cs="Times New Roman"/>
          <w:sz w:val="20"/>
          <w:szCs w:val="20"/>
        </w:rPr>
        <w:t>isotope ratios could be observed, which can be a promising signature for the nuclear forensic investigations to identify the source of unknown nuclear materials.</w:t>
      </w:r>
      <w:r w:rsidRPr="006C7014">
        <w:rPr>
          <w:rFonts w:ascii="Times New Roman" w:hAnsi="Times New Roman" w:cs="Times New Roman"/>
          <w:sz w:val="20"/>
          <w:szCs w:val="20"/>
        </w:rPr>
        <w:t xml:space="preserve"> </w:t>
      </w:r>
      <w:r>
        <w:rPr>
          <w:rFonts w:ascii="Times New Roman" w:hAnsi="Times New Roman" w:cs="Times New Roman"/>
          <w:sz w:val="20"/>
          <w:szCs w:val="20"/>
        </w:rPr>
        <w:t>By the investigation of the sulphur isotope ratio variation during UOC production from ore to U</w:t>
      </w:r>
      <w:r w:rsidRPr="00523024">
        <w:rPr>
          <w:rFonts w:ascii="Times New Roman" w:hAnsi="Times New Roman" w:cs="Times New Roman"/>
          <w:sz w:val="20"/>
          <w:szCs w:val="20"/>
          <w:vertAlign w:val="subscript"/>
        </w:rPr>
        <w:t>3</w:t>
      </w:r>
      <w:r>
        <w:rPr>
          <w:rFonts w:ascii="Times New Roman" w:hAnsi="Times New Roman" w:cs="Times New Roman"/>
          <w:sz w:val="20"/>
          <w:szCs w:val="20"/>
        </w:rPr>
        <w:t>O</w:t>
      </w:r>
      <w:r w:rsidRPr="00523024">
        <w:rPr>
          <w:rFonts w:ascii="Times New Roman" w:hAnsi="Times New Roman" w:cs="Times New Roman"/>
          <w:sz w:val="20"/>
          <w:szCs w:val="20"/>
          <w:vertAlign w:val="subscript"/>
        </w:rPr>
        <w:t>8</w:t>
      </w:r>
      <w:r>
        <w:rPr>
          <w:rFonts w:ascii="Times New Roman" w:hAnsi="Times New Roman" w:cs="Times New Roman"/>
          <w:sz w:val="20"/>
          <w:szCs w:val="20"/>
        </w:rPr>
        <w:t xml:space="preserve"> product it was shown that process reagents have radical effect on the </w:t>
      </w:r>
      <w:proofErr w:type="gramStart"/>
      <w:r w:rsidRPr="004329E4">
        <w:rPr>
          <w:rFonts w:ascii="Times New Roman" w:hAnsi="Times New Roman" w:cs="Times New Roman"/>
          <w:i/>
          <w:sz w:val="20"/>
          <w:szCs w:val="20"/>
        </w:rPr>
        <w:t>n</w:t>
      </w:r>
      <w:r>
        <w:rPr>
          <w:rFonts w:ascii="Times New Roman" w:hAnsi="Times New Roman" w:cs="Times New Roman"/>
          <w:sz w:val="20"/>
          <w:szCs w:val="20"/>
        </w:rPr>
        <w:t>(</w:t>
      </w:r>
      <w:proofErr w:type="gramEnd"/>
      <w:r w:rsidRPr="00A97B16">
        <w:rPr>
          <w:rFonts w:ascii="Times New Roman" w:hAnsi="Times New Roman" w:cs="Times New Roman"/>
          <w:sz w:val="20"/>
          <w:szCs w:val="20"/>
          <w:vertAlign w:val="superscript"/>
        </w:rPr>
        <w:t>34</w:t>
      </w:r>
      <w:r w:rsidRPr="00A97B16">
        <w:rPr>
          <w:rFonts w:ascii="Times New Roman" w:hAnsi="Times New Roman" w:cs="Times New Roman"/>
          <w:sz w:val="20"/>
          <w:szCs w:val="20"/>
        </w:rPr>
        <w:t>S</w:t>
      </w:r>
      <w:r>
        <w:rPr>
          <w:rFonts w:ascii="Times New Roman" w:hAnsi="Times New Roman" w:cs="Times New Roman"/>
          <w:sz w:val="20"/>
          <w:szCs w:val="20"/>
        </w:rPr>
        <w:t>)</w:t>
      </w:r>
      <w:r w:rsidRPr="00A97B16">
        <w:rPr>
          <w:rFonts w:ascii="Times New Roman" w:hAnsi="Times New Roman" w:cs="Times New Roman"/>
          <w:sz w:val="20"/>
          <w:szCs w:val="20"/>
        </w:rPr>
        <w:t>/</w:t>
      </w:r>
      <w:r w:rsidRPr="004329E4">
        <w:rPr>
          <w:rFonts w:ascii="Times New Roman" w:hAnsi="Times New Roman" w:cs="Times New Roman"/>
          <w:i/>
          <w:sz w:val="20"/>
          <w:szCs w:val="20"/>
        </w:rPr>
        <w:t>n</w:t>
      </w:r>
      <w:r>
        <w:rPr>
          <w:rFonts w:ascii="Times New Roman" w:hAnsi="Times New Roman" w:cs="Times New Roman"/>
          <w:sz w:val="20"/>
          <w:szCs w:val="20"/>
        </w:rPr>
        <w:t>(</w:t>
      </w:r>
      <w:r w:rsidRPr="00A97B16">
        <w:rPr>
          <w:rFonts w:ascii="Times New Roman" w:hAnsi="Times New Roman" w:cs="Times New Roman"/>
          <w:sz w:val="20"/>
          <w:szCs w:val="20"/>
          <w:vertAlign w:val="superscript"/>
        </w:rPr>
        <w:t>32</w:t>
      </w:r>
      <w:r w:rsidRPr="00A97B16">
        <w:rPr>
          <w:rFonts w:ascii="Times New Roman" w:hAnsi="Times New Roman" w:cs="Times New Roman"/>
          <w:sz w:val="20"/>
          <w:szCs w:val="20"/>
        </w:rPr>
        <w:t>S</w:t>
      </w:r>
      <w:r>
        <w:rPr>
          <w:rFonts w:ascii="Times New Roman" w:hAnsi="Times New Roman" w:cs="Times New Roman"/>
          <w:sz w:val="20"/>
          <w:szCs w:val="20"/>
        </w:rPr>
        <w:t>), thus the sulphur isotope ratio is in most cases a process-related signature.</w:t>
      </w:r>
    </w:p>
    <w:p w:rsidR="006962E0" w:rsidRDefault="006962E0" w:rsidP="004337D6">
      <w:pPr>
        <w:jc w:val="both"/>
        <w:rPr>
          <w:rFonts w:ascii="Times New Roman" w:hAnsi="Times New Roman" w:cs="Times New Roman"/>
          <w:b/>
        </w:rPr>
      </w:pPr>
    </w:p>
    <w:p w:rsidR="006962E0" w:rsidRDefault="006962E0" w:rsidP="004337D6">
      <w:pPr>
        <w:jc w:val="both"/>
        <w:rPr>
          <w:rFonts w:ascii="Times New Roman" w:hAnsi="Times New Roman" w:cs="Times New Roman"/>
          <w:b/>
        </w:rPr>
      </w:pPr>
    </w:p>
    <w:p w:rsidR="006962E0" w:rsidRPr="00403C8A" w:rsidRDefault="006962E0" w:rsidP="004337D6">
      <w:pPr>
        <w:jc w:val="both"/>
        <w:rPr>
          <w:rFonts w:ascii="Times New Roman" w:hAnsi="Times New Roman" w:cs="Times New Roman"/>
          <w:b/>
        </w:rPr>
      </w:pPr>
      <w:r>
        <w:rPr>
          <w:rFonts w:ascii="Times New Roman" w:hAnsi="Times New Roman" w:cs="Times New Roman"/>
          <w:b/>
        </w:rPr>
        <w:t xml:space="preserve">1. </w:t>
      </w:r>
      <w:r w:rsidRPr="00403C8A">
        <w:rPr>
          <w:rFonts w:ascii="Times New Roman" w:hAnsi="Times New Roman" w:cs="Times New Roman"/>
          <w:b/>
        </w:rPr>
        <w:t>Introduction</w:t>
      </w:r>
    </w:p>
    <w:p w:rsidR="006962E0" w:rsidRPr="00403C8A" w:rsidRDefault="006962E0" w:rsidP="004337D6">
      <w:pPr>
        <w:pStyle w:val="BodyText"/>
        <w:spacing w:after="0" w:line="240" w:lineRule="auto"/>
        <w:rPr>
          <w:szCs w:val="22"/>
        </w:rPr>
      </w:pPr>
    </w:p>
    <w:p w:rsidR="006962E0" w:rsidRDefault="006962E0" w:rsidP="004337D6">
      <w:pPr>
        <w:pStyle w:val="BodyText"/>
        <w:spacing w:after="0" w:line="240" w:lineRule="auto"/>
        <w:rPr>
          <w:szCs w:val="22"/>
        </w:rPr>
      </w:pPr>
      <w:proofErr w:type="gramStart"/>
      <w:r w:rsidRPr="00403C8A">
        <w:rPr>
          <w:szCs w:val="22"/>
        </w:rPr>
        <w:t xml:space="preserve">As an answer to the illicit trafficking of nuclear materials in the 1990s a new scientific topic has emerged, commonly referred to now as </w:t>
      </w:r>
      <w:r>
        <w:rPr>
          <w:i/>
          <w:szCs w:val="22"/>
        </w:rPr>
        <w:t>nuclear forensics</w:t>
      </w:r>
      <w:r>
        <w:rPr>
          <w:szCs w:val="22"/>
        </w:rPr>
        <w:t xml:space="preserve"> </w:t>
      </w:r>
      <w:r>
        <w:rPr>
          <w:noProof/>
          <w:szCs w:val="22"/>
        </w:rPr>
        <w:t>[1]</w:t>
      </w:r>
      <w:r>
        <w:rPr>
          <w:szCs w:val="22"/>
        </w:rPr>
        <w:t>.</w:t>
      </w:r>
      <w:proofErr w:type="gramEnd"/>
      <w:r>
        <w:rPr>
          <w:szCs w:val="22"/>
        </w:rPr>
        <w:t xml:space="preserve"> </w:t>
      </w:r>
      <w:r w:rsidRPr="00403C8A">
        <w:rPr>
          <w:szCs w:val="22"/>
        </w:rPr>
        <w:t>The aim of the nuclear forensic investigations is to identify the hazard and origin of the confiscated or found nuclear materials and ultimately strengthen security measures and prevent nuclear terrorism thereafter. Over the last few years several signatures of nuclear materials have been investigated and developed to establish the links between the measurable parameters of the unknown material in question and the source of the nuclear materials. These measurable parameters or signatures include e.g. elemental or anionic impurities, isotopic composition, structural analysis, morphology and age determination</w:t>
      </w:r>
      <w:r>
        <w:rPr>
          <w:szCs w:val="22"/>
        </w:rPr>
        <w:t xml:space="preserve"> </w:t>
      </w:r>
      <w:r>
        <w:rPr>
          <w:noProof/>
          <w:szCs w:val="22"/>
        </w:rPr>
        <w:t>[1-6]</w:t>
      </w:r>
      <w:r w:rsidRPr="00403C8A">
        <w:rPr>
          <w:szCs w:val="22"/>
        </w:rPr>
        <w:t xml:space="preserve">. This complex dataset can give information about the source of uranium ore or feed materials, process and the production facility. </w:t>
      </w:r>
    </w:p>
    <w:p w:rsidR="006962E0" w:rsidRDefault="006962E0" w:rsidP="004337D6">
      <w:pPr>
        <w:pStyle w:val="BodyText"/>
        <w:spacing w:after="0" w:line="240" w:lineRule="auto"/>
        <w:rPr>
          <w:szCs w:val="22"/>
        </w:rPr>
      </w:pPr>
    </w:p>
    <w:p w:rsidR="006962E0" w:rsidRPr="00403C8A" w:rsidRDefault="006962E0" w:rsidP="004337D6">
      <w:pPr>
        <w:pStyle w:val="BodyText"/>
        <w:spacing w:after="0" w:line="240" w:lineRule="auto"/>
        <w:rPr>
          <w:rFonts w:eastAsia="Malgun Gothic"/>
          <w:szCs w:val="22"/>
          <w:lang w:eastAsia="ko-KR"/>
        </w:rPr>
      </w:pPr>
      <w:r>
        <w:rPr>
          <w:szCs w:val="22"/>
        </w:rPr>
        <w:t xml:space="preserve">Among the other signatures the natural sulphur isotope variation also gives a possibility to discriminate samples of different origin. </w:t>
      </w:r>
      <w:r w:rsidRPr="00403C8A">
        <w:rPr>
          <w:szCs w:val="22"/>
        </w:rPr>
        <w:t>The sulphur isotope abundance shows relatively high variation in nature due to the large relative mass difference between its isotopes, the variety of chemical forms and the widespread occurrences in nature</w:t>
      </w:r>
      <w:r>
        <w:rPr>
          <w:szCs w:val="22"/>
        </w:rPr>
        <w:t xml:space="preserve"> </w:t>
      </w:r>
      <w:r>
        <w:rPr>
          <w:noProof/>
          <w:szCs w:val="22"/>
        </w:rPr>
        <w:t>[7]</w:t>
      </w:r>
      <w:r w:rsidRPr="00403C8A">
        <w:rPr>
          <w:szCs w:val="22"/>
        </w:rPr>
        <w:t>.</w:t>
      </w:r>
    </w:p>
    <w:p w:rsidR="006962E0" w:rsidRDefault="006962E0" w:rsidP="004337D6">
      <w:pPr>
        <w:pStyle w:val="08ArticleText"/>
        <w:spacing w:line="240" w:lineRule="auto"/>
        <w:rPr>
          <w:sz w:val="22"/>
          <w:szCs w:val="22"/>
          <w:lang w:eastAsia="ko-KR"/>
        </w:rPr>
      </w:pPr>
    </w:p>
    <w:p w:rsidR="006962E0" w:rsidRDefault="006962E0" w:rsidP="004337D6">
      <w:pPr>
        <w:pStyle w:val="08ArticleText"/>
        <w:spacing w:line="240" w:lineRule="auto"/>
        <w:rPr>
          <w:sz w:val="22"/>
          <w:szCs w:val="22"/>
          <w:lang w:eastAsia="hu-HU"/>
        </w:rPr>
      </w:pPr>
      <w:r w:rsidRPr="00403C8A">
        <w:rPr>
          <w:sz w:val="22"/>
          <w:szCs w:val="22"/>
          <w:lang w:eastAsia="ko-KR"/>
        </w:rPr>
        <w:t>T</w:t>
      </w:r>
      <w:r w:rsidRPr="00403C8A">
        <w:rPr>
          <w:sz w:val="22"/>
          <w:szCs w:val="22"/>
          <w:lang w:eastAsia="hu-HU"/>
        </w:rPr>
        <w:t xml:space="preserve">he sulphur variation is generally expressed as the amount ratio of </w:t>
      </w:r>
      <w:r w:rsidRPr="00403C8A">
        <w:rPr>
          <w:i/>
          <w:sz w:val="22"/>
          <w:szCs w:val="22"/>
          <w:lang w:eastAsia="hu-HU"/>
        </w:rPr>
        <w:t>n</w:t>
      </w:r>
      <w:r w:rsidRPr="00403C8A">
        <w:rPr>
          <w:sz w:val="22"/>
          <w:szCs w:val="22"/>
          <w:lang w:eastAsia="hu-HU"/>
        </w:rPr>
        <w:t>(</w:t>
      </w:r>
      <w:r w:rsidRPr="00403C8A">
        <w:rPr>
          <w:sz w:val="22"/>
          <w:szCs w:val="22"/>
          <w:vertAlign w:val="superscript"/>
          <w:lang w:eastAsia="hu-HU"/>
        </w:rPr>
        <w:t>34</w:t>
      </w:r>
      <w:r w:rsidRPr="00403C8A">
        <w:rPr>
          <w:sz w:val="22"/>
          <w:szCs w:val="22"/>
          <w:lang w:eastAsia="hu-HU"/>
        </w:rPr>
        <w:t>S)/</w:t>
      </w:r>
      <w:r w:rsidRPr="00403C8A">
        <w:rPr>
          <w:i/>
          <w:sz w:val="22"/>
          <w:szCs w:val="22"/>
          <w:lang w:eastAsia="hu-HU"/>
        </w:rPr>
        <w:t>n</w:t>
      </w:r>
      <w:r w:rsidRPr="00403C8A">
        <w:rPr>
          <w:sz w:val="22"/>
          <w:szCs w:val="22"/>
          <w:lang w:eastAsia="hu-HU"/>
        </w:rPr>
        <w:t>(</w:t>
      </w:r>
      <w:r w:rsidRPr="00403C8A">
        <w:rPr>
          <w:sz w:val="22"/>
          <w:szCs w:val="22"/>
          <w:vertAlign w:val="superscript"/>
          <w:lang w:eastAsia="hu-HU"/>
        </w:rPr>
        <w:t>32</w:t>
      </w:r>
      <w:r w:rsidRPr="00403C8A">
        <w:rPr>
          <w:sz w:val="22"/>
          <w:szCs w:val="22"/>
          <w:lang w:eastAsia="hu-HU"/>
        </w:rPr>
        <w:t>S) of the two principal sulphur isotopes relative to the IAEA V-CDT (</w:t>
      </w:r>
      <w:r w:rsidRPr="00403C8A">
        <w:rPr>
          <w:sz w:val="22"/>
          <w:szCs w:val="22"/>
          <w:lang w:eastAsia="ko-KR"/>
        </w:rPr>
        <w:t xml:space="preserve">Vienna </w:t>
      </w:r>
      <w:proofErr w:type="spellStart"/>
      <w:r w:rsidRPr="00403C8A">
        <w:rPr>
          <w:sz w:val="22"/>
          <w:szCs w:val="22"/>
          <w:lang w:eastAsia="ko-KR"/>
        </w:rPr>
        <w:t>Cañon</w:t>
      </w:r>
      <w:proofErr w:type="spellEnd"/>
      <w:r w:rsidRPr="00403C8A">
        <w:rPr>
          <w:sz w:val="22"/>
          <w:szCs w:val="22"/>
          <w:lang w:eastAsia="ko-KR"/>
        </w:rPr>
        <w:t xml:space="preserve"> Diablo </w:t>
      </w:r>
      <w:proofErr w:type="spellStart"/>
      <w:r w:rsidRPr="00403C8A">
        <w:rPr>
          <w:sz w:val="22"/>
          <w:szCs w:val="22"/>
          <w:lang w:eastAsia="ko-KR"/>
        </w:rPr>
        <w:t>Troilite</w:t>
      </w:r>
      <w:proofErr w:type="spellEnd"/>
      <w:r w:rsidRPr="00403C8A">
        <w:rPr>
          <w:sz w:val="22"/>
          <w:szCs w:val="22"/>
          <w:lang w:eastAsia="ko-KR"/>
        </w:rPr>
        <w:t xml:space="preserve"> meteorite</w:t>
      </w:r>
      <w:r w:rsidRPr="00403C8A">
        <w:rPr>
          <w:sz w:val="22"/>
          <w:szCs w:val="22"/>
          <w:lang w:eastAsia="hu-HU"/>
        </w:rPr>
        <w:t>) standard in parts per thousand (</w:t>
      </w:r>
      <w:proofErr w:type="spellStart"/>
      <w:r w:rsidRPr="00403C8A">
        <w:rPr>
          <w:sz w:val="22"/>
          <w:szCs w:val="22"/>
          <w:lang w:eastAsia="hu-HU"/>
        </w:rPr>
        <w:t>permil</w:t>
      </w:r>
      <w:proofErr w:type="spellEnd"/>
      <w:r w:rsidRPr="00403C8A">
        <w:rPr>
          <w:sz w:val="22"/>
          <w:szCs w:val="22"/>
          <w:lang w:eastAsia="hu-HU"/>
        </w:rPr>
        <w:t xml:space="preserve">, </w:t>
      </w:r>
      <w:r w:rsidRPr="00403C8A">
        <w:rPr>
          <w:sz w:val="22"/>
          <w:szCs w:val="22"/>
          <w:lang w:eastAsia="ko-KR"/>
        </w:rPr>
        <w:t>‰</w:t>
      </w:r>
      <w:r w:rsidRPr="00403C8A">
        <w:rPr>
          <w:sz w:val="22"/>
          <w:szCs w:val="22"/>
          <w:lang w:eastAsia="hu-HU"/>
        </w:rPr>
        <w:t>)</w:t>
      </w:r>
      <w:r>
        <w:rPr>
          <w:sz w:val="22"/>
          <w:szCs w:val="22"/>
          <w:lang w:eastAsia="hu-HU"/>
        </w:rPr>
        <w:t xml:space="preserve"> </w:t>
      </w:r>
      <w:r>
        <w:rPr>
          <w:noProof/>
          <w:sz w:val="22"/>
          <w:szCs w:val="22"/>
          <w:lang w:eastAsia="hu-HU"/>
        </w:rPr>
        <w:t>[8]</w:t>
      </w:r>
      <w:r w:rsidRPr="00403C8A">
        <w:rPr>
          <w:sz w:val="22"/>
          <w:szCs w:val="22"/>
          <w:lang w:eastAsia="hu-HU"/>
        </w:rPr>
        <w:t>.</w:t>
      </w:r>
      <w:r>
        <w:rPr>
          <w:sz w:val="22"/>
          <w:szCs w:val="22"/>
          <w:lang w:eastAsia="hu-HU"/>
        </w:rPr>
        <w:t xml:space="preserve"> </w:t>
      </w:r>
      <w:r w:rsidRPr="00403C8A">
        <w:rPr>
          <w:sz w:val="22"/>
          <w:szCs w:val="22"/>
          <w:lang w:eastAsia="hu-HU"/>
        </w:rPr>
        <w:t xml:space="preserve">The </w:t>
      </w:r>
      <w:r w:rsidRPr="00403C8A">
        <w:rPr>
          <w:rFonts w:ascii="Symbol" w:hAnsi="Symbol"/>
          <w:sz w:val="22"/>
          <w:szCs w:val="22"/>
          <w:lang w:eastAsia="hu-HU"/>
        </w:rPr>
        <w:t></w:t>
      </w:r>
      <w:r w:rsidRPr="00403C8A">
        <w:rPr>
          <w:sz w:val="22"/>
          <w:szCs w:val="22"/>
          <w:vertAlign w:val="superscript"/>
          <w:lang w:eastAsia="hu-HU"/>
        </w:rPr>
        <w:t>34</w:t>
      </w:r>
      <w:r w:rsidRPr="00403C8A">
        <w:rPr>
          <w:sz w:val="22"/>
          <w:szCs w:val="22"/>
          <w:lang w:eastAsia="hu-HU"/>
        </w:rPr>
        <w:t xml:space="preserve">S values of samples relative to the V-CDT scale in </w:t>
      </w:r>
      <w:r w:rsidRPr="00403C8A">
        <w:rPr>
          <w:sz w:val="22"/>
          <w:szCs w:val="22"/>
          <w:lang w:eastAsia="ko-KR"/>
        </w:rPr>
        <w:t xml:space="preserve">‰ </w:t>
      </w:r>
      <w:r w:rsidRPr="00403C8A">
        <w:rPr>
          <w:sz w:val="22"/>
          <w:szCs w:val="22"/>
          <w:lang w:eastAsia="hu-HU"/>
        </w:rPr>
        <w:t xml:space="preserve">are calculated using the following equation: </w:t>
      </w:r>
    </w:p>
    <w:p w:rsidR="006962E0" w:rsidRDefault="006962E0" w:rsidP="004337D6">
      <w:pPr>
        <w:pStyle w:val="08ArticleText"/>
        <w:spacing w:line="240" w:lineRule="auto"/>
        <w:rPr>
          <w:sz w:val="22"/>
          <w:szCs w:val="22"/>
          <w:lang w:eastAsia="hu-HU"/>
        </w:rPr>
      </w:pPr>
    </w:p>
    <w:p w:rsidR="006962E0" w:rsidRDefault="006962E0" w:rsidP="004337D6">
      <w:pPr>
        <w:pStyle w:val="08ArticleText"/>
        <w:spacing w:line="240" w:lineRule="auto"/>
        <w:rPr>
          <w:sz w:val="22"/>
          <w:szCs w:val="22"/>
          <w:lang w:eastAsia="hu-HU"/>
        </w:rPr>
      </w:pPr>
    </w:p>
    <w:p w:rsidR="006962E0" w:rsidRDefault="006962E0" w:rsidP="004337D6">
      <w:pPr>
        <w:pStyle w:val="08ArticleText"/>
        <w:spacing w:line="240" w:lineRule="auto"/>
        <w:rPr>
          <w:sz w:val="22"/>
          <w:szCs w:val="22"/>
          <w:lang w:eastAsia="hu-HU"/>
        </w:rPr>
      </w:pPr>
    </w:p>
    <w:p w:rsidR="006962E0" w:rsidRPr="000A345D" w:rsidRDefault="006962E0" w:rsidP="000A345D">
      <w:pPr>
        <w:pStyle w:val="G1aFigureImage"/>
        <w:jc w:val="left"/>
        <w:rPr>
          <w:sz w:val="22"/>
          <w:szCs w:val="22"/>
        </w:rPr>
      </w:pPr>
      <w:r w:rsidRPr="00403C8A">
        <w:lastRenderedPageBreak/>
        <w:tab/>
      </w:r>
      <w:r>
        <w:tab/>
      </w:r>
      <w:r w:rsidR="00BC5300" w:rsidRPr="000A345D">
        <w:rPr>
          <w:position w:val="-74"/>
        </w:rPr>
        <w:object w:dxaOrig="4020" w:dyaOrig="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3.8pt;height:60.85pt" o:ole="">
            <v:imagedata r:id="rId7" o:title=""/>
          </v:shape>
          <o:OLEObject Type="Embed" ProgID="Equation.3" ShapeID="_x0000_i1027" DrawAspect="Content" ObjectID="_1465042494" r:id="rId8"/>
        </w:object>
      </w:r>
      <w:r>
        <w:tab/>
      </w:r>
      <w:r>
        <w:tab/>
      </w:r>
      <w:r>
        <w:tab/>
      </w:r>
      <w:r>
        <w:tab/>
      </w:r>
      <w:r w:rsidRPr="000A345D">
        <w:rPr>
          <w:sz w:val="22"/>
          <w:szCs w:val="22"/>
        </w:rPr>
        <w:t>(1)</w:t>
      </w:r>
    </w:p>
    <w:p w:rsidR="006962E0" w:rsidRDefault="006962E0" w:rsidP="004337D6">
      <w:pPr>
        <w:pStyle w:val="BodyText"/>
        <w:spacing w:after="0" w:line="240" w:lineRule="auto"/>
        <w:rPr>
          <w:szCs w:val="22"/>
          <w:lang w:eastAsia="ko-KR"/>
        </w:rPr>
      </w:pPr>
    </w:p>
    <w:p w:rsidR="006962E0" w:rsidRPr="00403C8A" w:rsidRDefault="006962E0" w:rsidP="004337D6">
      <w:pPr>
        <w:pStyle w:val="BodyText"/>
        <w:spacing w:after="0" w:line="240" w:lineRule="auto"/>
        <w:rPr>
          <w:rFonts w:eastAsia="Malgun Gothic"/>
          <w:szCs w:val="22"/>
          <w:lang w:eastAsia="ko-KR"/>
        </w:rPr>
      </w:pPr>
      <w:proofErr w:type="gramStart"/>
      <w:r>
        <w:rPr>
          <w:szCs w:val="22"/>
          <w:lang w:eastAsia="ko-KR"/>
        </w:rPr>
        <w:t>where</w:t>
      </w:r>
      <w:proofErr w:type="gramEnd"/>
      <w:r>
        <w:rPr>
          <w:szCs w:val="22"/>
          <w:lang w:eastAsia="ko-KR"/>
        </w:rPr>
        <w:t xml:space="preserve"> </w:t>
      </w:r>
      <w:r w:rsidRPr="00403C8A">
        <w:rPr>
          <w:i/>
          <w:szCs w:val="22"/>
          <w:lang w:eastAsia="ko-KR"/>
        </w:rPr>
        <w:t>(</w:t>
      </w:r>
      <w:r w:rsidRPr="00403C8A">
        <w:rPr>
          <w:i/>
          <w:szCs w:val="22"/>
          <w:vertAlign w:val="superscript"/>
          <w:lang w:eastAsia="ko-KR"/>
        </w:rPr>
        <w:t>34</w:t>
      </w:r>
      <w:r w:rsidRPr="00403C8A">
        <w:rPr>
          <w:i/>
          <w:szCs w:val="22"/>
          <w:lang w:eastAsia="ko-KR"/>
        </w:rPr>
        <w:t>S/</w:t>
      </w:r>
      <w:r w:rsidRPr="00403C8A">
        <w:rPr>
          <w:i/>
          <w:szCs w:val="22"/>
          <w:vertAlign w:val="superscript"/>
          <w:lang w:eastAsia="ko-KR"/>
        </w:rPr>
        <w:t>32</w:t>
      </w:r>
      <w:r w:rsidRPr="00403C8A">
        <w:rPr>
          <w:i/>
          <w:szCs w:val="22"/>
          <w:lang w:eastAsia="ko-KR"/>
        </w:rPr>
        <w:t>S)</w:t>
      </w:r>
      <w:r w:rsidRPr="00403C8A">
        <w:rPr>
          <w:i/>
          <w:szCs w:val="22"/>
          <w:vertAlign w:val="subscript"/>
          <w:lang w:eastAsia="ko-KR"/>
        </w:rPr>
        <w:t>sample</w:t>
      </w:r>
      <w:r w:rsidRPr="00403C8A">
        <w:rPr>
          <w:szCs w:val="22"/>
          <w:lang w:eastAsia="ko-KR"/>
        </w:rPr>
        <w:t xml:space="preserve"> and </w:t>
      </w:r>
      <w:r w:rsidRPr="00403C8A">
        <w:rPr>
          <w:i/>
          <w:szCs w:val="22"/>
          <w:lang w:eastAsia="ko-KR"/>
        </w:rPr>
        <w:t>(</w:t>
      </w:r>
      <w:r w:rsidRPr="00403C8A">
        <w:rPr>
          <w:i/>
          <w:szCs w:val="22"/>
          <w:vertAlign w:val="superscript"/>
          <w:lang w:eastAsia="ko-KR"/>
        </w:rPr>
        <w:t>34</w:t>
      </w:r>
      <w:r w:rsidRPr="00403C8A">
        <w:rPr>
          <w:i/>
          <w:szCs w:val="22"/>
          <w:lang w:eastAsia="ko-KR"/>
        </w:rPr>
        <w:t>S/</w:t>
      </w:r>
      <w:r w:rsidRPr="00403C8A">
        <w:rPr>
          <w:i/>
          <w:szCs w:val="22"/>
          <w:vertAlign w:val="superscript"/>
          <w:lang w:eastAsia="ko-KR"/>
        </w:rPr>
        <w:t>32</w:t>
      </w:r>
      <w:r w:rsidRPr="00403C8A">
        <w:rPr>
          <w:i/>
          <w:szCs w:val="22"/>
          <w:lang w:eastAsia="ko-KR"/>
        </w:rPr>
        <w:t>S)</w:t>
      </w:r>
      <w:r w:rsidRPr="00403C8A">
        <w:rPr>
          <w:i/>
          <w:szCs w:val="22"/>
          <w:vertAlign w:val="subscript"/>
          <w:lang w:eastAsia="ko-KR"/>
        </w:rPr>
        <w:t>V-CDT</w:t>
      </w:r>
      <w:r w:rsidRPr="00403C8A">
        <w:rPr>
          <w:szCs w:val="22"/>
          <w:lang w:eastAsia="ko-KR"/>
        </w:rPr>
        <w:t xml:space="preserve"> are the </w:t>
      </w:r>
      <w:r w:rsidRPr="00403C8A">
        <w:rPr>
          <w:i/>
          <w:szCs w:val="22"/>
          <w:lang w:eastAsia="ko-KR"/>
        </w:rPr>
        <w:t>n</w:t>
      </w:r>
      <w:r w:rsidRPr="00403C8A">
        <w:rPr>
          <w:szCs w:val="22"/>
          <w:lang w:eastAsia="ko-KR"/>
        </w:rPr>
        <w:t>(</w:t>
      </w:r>
      <w:r w:rsidRPr="00403C8A">
        <w:rPr>
          <w:szCs w:val="22"/>
          <w:vertAlign w:val="superscript"/>
          <w:lang w:eastAsia="ko-KR"/>
        </w:rPr>
        <w:t>34</w:t>
      </w:r>
      <w:r w:rsidRPr="00403C8A">
        <w:rPr>
          <w:szCs w:val="22"/>
          <w:lang w:eastAsia="ko-KR"/>
        </w:rPr>
        <w:t>S)/</w:t>
      </w:r>
      <w:r w:rsidRPr="00403C8A">
        <w:rPr>
          <w:i/>
          <w:szCs w:val="22"/>
          <w:lang w:eastAsia="ko-KR"/>
        </w:rPr>
        <w:t>n</w:t>
      </w:r>
      <w:r w:rsidRPr="00403C8A">
        <w:rPr>
          <w:szCs w:val="22"/>
          <w:lang w:eastAsia="ko-KR"/>
        </w:rPr>
        <w:t>(</w:t>
      </w:r>
      <w:r w:rsidRPr="00403C8A">
        <w:rPr>
          <w:szCs w:val="22"/>
          <w:vertAlign w:val="superscript"/>
          <w:lang w:eastAsia="ko-KR"/>
        </w:rPr>
        <w:t>32</w:t>
      </w:r>
      <w:r w:rsidRPr="00403C8A">
        <w:rPr>
          <w:szCs w:val="22"/>
          <w:lang w:eastAsia="ko-KR"/>
        </w:rPr>
        <w:t xml:space="preserve">S) of ratio of sample and IAEA V-CDT standard, respectively. The </w:t>
      </w:r>
      <w:r w:rsidRPr="00403C8A">
        <w:rPr>
          <w:i/>
          <w:szCs w:val="22"/>
          <w:lang w:eastAsia="ko-KR"/>
        </w:rPr>
        <w:t>(</w:t>
      </w:r>
      <w:r w:rsidRPr="00403C8A">
        <w:rPr>
          <w:i/>
          <w:szCs w:val="22"/>
          <w:vertAlign w:val="superscript"/>
          <w:lang w:eastAsia="ko-KR"/>
        </w:rPr>
        <w:t>34</w:t>
      </w:r>
      <w:r w:rsidRPr="00403C8A">
        <w:rPr>
          <w:i/>
          <w:szCs w:val="22"/>
          <w:lang w:eastAsia="ko-KR"/>
        </w:rPr>
        <w:t>S/</w:t>
      </w:r>
      <w:r w:rsidRPr="00403C8A">
        <w:rPr>
          <w:i/>
          <w:szCs w:val="22"/>
          <w:vertAlign w:val="superscript"/>
          <w:lang w:eastAsia="ko-KR"/>
        </w:rPr>
        <w:t>32</w:t>
      </w:r>
      <w:r w:rsidRPr="00403C8A">
        <w:rPr>
          <w:i/>
          <w:szCs w:val="22"/>
          <w:lang w:eastAsia="ko-KR"/>
        </w:rPr>
        <w:t>S</w:t>
      </w:r>
      <w:proofErr w:type="gramStart"/>
      <w:r w:rsidRPr="00403C8A">
        <w:rPr>
          <w:i/>
          <w:szCs w:val="22"/>
          <w:lang w:eastAsia="ko-KR"/>
        </w:rPr>
        <w:t>)</w:t>
      </w:r>
      <w:r w:rsidRPr="00403C8A">
        <w:rPr>
          <w:i/>
          <w:szCs w:val="22"/>
          <w:vertAlign w:val="subscript"/>
          <w:lang w:eastAsia="ko-KR"/>
        </w:rPr>
        <w:t>V</w:t>
      </w:r>
      <w:proofErr w:type="gramEnd"/>
      <w:r w:rsidRPr="00403C8A">
        <w:rPr>
          <w:i/>
          <w:szCs w:val="22"/>
          <w:vertAlign w:val="subscript"/>
          <w:lang w:eastAsia="ko-KR"/>
        </w:rPr>
        <w:t>-CDT</w:t>
      </w:r>
      <w:r w:rsidRPr="00403C8A">
        <w:rPr>
          <w:szCs w:val="22"/>
          <w:lang w:eastAsia="ko-KR"/>
        </w:rPr>
        <w:t xml:space="preserve"> is defined as 0.0441626 ± 0.0000078 (</w:t>
      </w:r>
      <w:r w:rsidRPr="00403C8A">
        <w:rPr>
          <w:i/>
          <w:szCs w:val="22"/>
          <w:lang w:eastAsia="ko-KR"/>
        </w:rPr>
        <w:t>k</w:t>
      </w:r>
      <w:r w:rsidRPr="00403C8A">
        <w:rPr>
          <w:szCs w:val="22"/>
          <w:lang w:eastAsia="ko-KR"/>
        </w:rPr>
        <w:t xml:space="preserve"> = 2)</w:t>
      </w:r>
      <w:r>
        <w:rPr>
          <w:szCs w:val="22"/>
          <w:lang w:eastAsia="ko-KR"/>
        </w:rPr>
        <w:t xml:space="preserve"> </w:t>
      </w:r>
      <w:r>
        <w:rPr>
          <w:noProof/>
          <w:szCs w:val="22"/>
          <w:lang w:eastAsia="ko-KR"/>
        </w:rPr>
        <w:t>[9, 10]</w:t>
      </w:r>
      <w:r w:rsidRPr="00403C8A">
        <w:rPr>
          <w:szCs w:val="22"/>
          <w:lang w:eastAsia="ko-KR"/>
        </w:rPr>
        <w:t xml:space="preserve">.  </w:t>
      </w:r>
    </w:p>
    <w:p w:rsidR="006962E0" w:rsidRPr="00403C8A" w:rsidRDefault="006962E0" w:rsidP="004337D6">
      <w:pPr>
        <w:pStyle w:val="BodyText"/>
        <w:spacing w:after="0" w:line="240" w:lineRule="auto"/>
        <w:rPr>
          <w:rFonts w:eastAsia="Malgun Gothic"/>
          <w:szCs w:val="22"/>
          <w:lang w:eastAsia="ko-KR"/>
        </w:rPr>
      </w:pPr>
    </w:p>
    <w:p w:rsidR="006962E0" w:rsidRPr="00403C8A" w:rsidRDefault="006962E0" w:rsidP="00F86869">
      <w:pPr>
        <w:pStyle w:val="BodyText"/>
        <w:spacing w:after="0" w:line="240" w:lineRule="auto"/>
        <w:rPr>
          <w:szCs w:val="22"/>
        </w:rPr>
      </w:pPr>
      <w:r w:rsidRPr="00403C8A">
        <w:rPr>
          <w:rFonts w:eastAsia="Malgun Gothic"/>
          <w:szCs w:val="22"/>
          <w:lang w:eastAsia="ko-KR"/>
        </w:rPr>
        <w:t>T</w:t>
      </w:r>
      <w:r w:rsidRPr="00403C8A">
        <w:rPr>
          <w:szCs w:val="22"/>
        </w:rPr>
        <w:t xml:space="preserve">ypically, natural materials with oxidized sulphur have </w:t>
      </w:r>
      <w:r w:rsidRPr="00403C8A">
        <w:rPr>
          <w:rFonts w:ascii="Symbol" w:hAnsi="Symbol"/>
          <w:szCs w:val="22"/>
        </w:rPr>
        <w:t></w:t>
      </w:r>
      <w:r w:rsidRPr="00403C8A">
        <w:rPr>
          <w:szCs w:val="22"/>
          <w:vertAlign w:val="superscript"/>
        </w:rPr>
        <w:t>34</w:t>
      </w:r>
      <w:r w:rsidRPr="00403C8A">
        <w:rPr>
          <w:szCs w:val="22"/>
        </w:rPr>
        <w:t>S values between +5 ‰ and +25 ‰, while for materials with reduced sulphur it ranges between -5 ‰ and +15 ‰</w:t>
      </w:r>
      <w:r>
        <w:rPr>
          <w:szCs w:val="22"/>
        </w:rPr>
        <w:t xml:space="preserve"> </w:t>
      </w:r>
      <w:r>
        <w:rPr>
          <w:noProof/>
          <w:szCs w:val="22"/>
        </w:rPr>
        <w:t>[11]</w:t>
      </w:r>
      <w:r w:rsidRPr="00403C8A">
        <w:rPr>
          <w:szCs w:val="22"/>
        </w:rPr>
        <w:t>. The sulphur isotope ratio in uranium ore deposits is also reported to exhibit large variation, such as in the sandstone-type uranium deposits of the Colorado Plateau and Wyoming (-20.5 to -17.8 ‰) or in the uranium roll-type deposit in South Texas, USA (-25 to -40 ‰). However, as the sulphur content in the nuclear material derives not only from the feedstock (ore), but is also introduced into the process stream as process chemical (e.g. as H</w:t>
      </w:r>
      <w:r w:rsidRPr="00403C8A">
        <w:rPr>
          <w:szCs w:val="22"/>
          <w:vertAlign w:val="subscript"/>
        </w:rPr>
        <w:t>2</w:t>
      </w:r>
      <w:r w:rsidRPr="00403C8A">
        <w:rPr>
          <w:szCs w:val="22"/>
        </w:rPr>
        <w:t>SO</w:t>
      </w:r>
      <w:r w:rsidRPr="00403C8A">
        <w:rPr>
          <w:szCs w:val="22"/>
          <w:vertAlign w:val="subscript"/>
        </w:rPr>
        <w:t>4</w:t>
      </w:r>
      <w:r w:rsidRPr="00403C8A">
        <w:rPr>
          <w:szCs w:val="22"/>
        </w:rPr>
        <w:t xml:space="preserve"> with an approximate </w:t>
      </w:r>
      <w:r w:rsidRPr="00403C8A">
        <w:rPr>
          <w:rFonts w:ascii="Symbol" w:hAnsi="Symbol"/>
          <w:szCs w:val="22"/>
        </w:rPr>
        <w:t></w:t>
      </w:r>
      <w:r w:rsidRPr="00403C8A">
        <w:rPr>
          <w:szCs w:val="22"/>
          <w:vertAlign w:val="superscript"/>
        </w:rPr>
        <w:t>34</w:t>
      </w:r>
      <w:r w:rsidRPr="00403C8A">
        <w:rPr>
          <w:szCs w:val="22"/>
        </w:rPr>
        <w:t xml:space="preserve">S value of -5 to +15 ‰), its contribution to the final </w:t>
      </w:r>
      <w:r w:rsidRPr="00403C8A">
        <w:rPr>
          <w:rFonts w:ascii="Symbol" w:hAnsi="Symbol"/>
          <w:szCs w:val="22"/>
        </w:rPr>
        <w:t></w:t>
      </w:r>
      <w:r w:rsidRPr="00403C8A">
        <w:rPr>
          <w:szCs w:val="22"/>
          <w:vertAlign w:val="superscript"/>
        </w:rPr>
        <w:t>34</w:t>
      </w:r>
      <w:r w:rsidRPr="00403C8A">
        <w:rPr>
          <w:szCs w:val="22"/>
        </w:rPr>
        <w:t xml:space="preserve">S value in the product has to be considered. Therefore, it is expected that sulphur isotopic composition can be indicative both for the process (chemicals used) and the ore type depending on the hydrometallurgical production route. </w:t>
      </w:r>
    </w:p>
    <w:p w:rsidR="006962E0" w:rsidRDefault="006962E0" w:rsidP="00F86869">
      <w:pPr>
        <w:pStyle w:val="08ArticleText"/>
        <w:spacing w:line="240" w:lineRule="auto"/>
        <w:rPr>
          <w:sz w:val="22"/>
          <w:szCs w:val="22"/>
        </w:rPr>
      </w:pPr>
    </w:p>
    <w:p w:rsidR="006962E0" w:rsidRPr="00403C8A" w:rsidRDefault="006962E0" w:rsidP="00F86869">
      <w:pPr>
        <w:pStyle w:val="08ArticleText"/>
        <w:spacing w:line="240" w:lineRule="auto"/>
        <w:rPr>
          <w:sz w:val="22"/>
          <w:szCs w:val="22"/>
          <w:lang w:eastAsia="hu-HU"/>
        </w:rPr>
      </w:pPr>
      <w:r w:rsidRPr="00403C8A">
        <w:rPr>
          <w:sz w:val="22"/>
          <w:szCs w:val="22"/>
        </w:rPr>
        <w:t xml:space="preserve">In order to investigate if the sulphur isotopic composition is a meaningful signature in nuclear forensics, a novel method has been developed and validated for the measurement of </w:t>
      </w:r>
      <w:r w:rsidRPr="004329E4">
        <w:rPr>
          <w:i/>
          <w:sz w:val="20"/>
          <w:szCs w:val="20"/>
        </w:rPr>
        <w:t>n</w:t>
      </w:r>
      <w:r>
        <w:rPr>
          <w:sz w:val="20"/>
          <w:szCs w:val="20"/>
        </w:rPr>
        <w:t>(</w:t>
      </w:r>
      <w:r w:rsidRPr="00A97B16">
        <w:rPr>
          <w:sz w:val="20"/>
          <w:szCs w:val="20"/>
          <w:vertAlign w:val="superscript"/>
        </w:rPr>
        <w:t>34</w:t>
      </w:r>
      <w:r w:rsidRPr="00A97B16">
        <w:rPr>
          <w:sz w:val="20"/>
          <w:szCs w:val="20"/>
        </w:rPr>
        <w:t>S</w:t>
      </w:r>
      <w:r>
        <w:rPr>
          <w:sz w:val="20"/>
          <w:szCs w:val="20"/>
        </w:rPr>
        <w:t>)</w:t>
      </w:r>
      <w:r w:rsidRPr="00A97B16">
        <w:rPr>
          <w:sz w:val="20"/>
          <w:szCs w:val="20"/>
        </w:rPr>
        <w:t>/</w:t>
      </w:r>
      <w:r w:rsidRPr="004329E4">
        <w:rPr>
          <w:i/>
          <w:sz w:val="20"/>
          <w:szCs w:val="20"/>
        </w:rPr>
        <w:t>n</w:t>
      </w:r>
      <w:r>
        <w:rPr>
          <w:sz w:val="20"/>
          <w:szCs w:val="20"/>
        </w:rPr>
        <w:t>(</w:t>
      </w:r>
      <w:r w:rsidRPr="00A97B16">
        <w:rPr>
          <w:sz w:val="20"/>
          <w:szCs w:val="20"/>
          <w:vertAlign w:val="superscript"/>
        </w:rPr>
        <w:t>32</w:t>
      </w:r>
      <w:r w:rsidRPr="00A97B16">
        <w:rPr>
          <w:sz w:val="20"/>
          <w:szCs w:val="20"/>
        </w:rPr>
        <w:t>S</w:t>
      </w:r>
      <w:r>
        <w:rPr>
          <w:sz w:val="20"/>
          <w:szCs w:val="20"/>
        </w:rPr>
        <w:t xml:space="preserve">) </w:t>
      </w:r>
      <w:r w:rsidRPr="00403C8A">
        <w:rPr>
          <w:sz w:val="22"/>
          <w:szCs w:val="22"/>
        </w:rPr>
        <w:t>isotope ratio in uranium ore concentrates (yellow cakes)</w:t>
      </w:r>
      <w:r>
        <w:rPr>
          <w:sz w:val="22"/>
          <w:szCs w:val="22"/>
        </w:rPr>
        <w:t xml:space="preserve"> </w:t>
      </w:r>
      <w:r>
        <w:rPr>
          <w:noProof/>
          <w:sz w:val="22"/>
          <w:szCs w:val="22"/>
        </w:rPr>
        <w:t>[11]</w:t>
      </w:r>
      <w:r w:rsidRPr="00403C8A">
        <w:rPr>
          <w:sz w:val="22"/>
          <w:szCs w:val="22"/>
        </w:rPr>
        <w:t>.</w:t>
      </w:r>
      <w:r>
        <w:rPr>
          <w:sz w:val="22"/>
          <w:szCs w:val="22"/>
        </w:rPr>
        <w:t xml:space="preserve"> </w:t>
      </w:r>
      <w:r w:rsidRPr="00403C8A">
        <w:rPr>
          <w:sz w:val="22"/>
          <w:szCs w:val="22"/>
        </w:rPr>
        <w:t xml:space="preserve">The developed ion exchange separation method effectively separates and pre-concentrates sulphate from uranium and the possibly interfering matrix components, such as cations. The measurement was performed by multi-collector inductively coupled plasma mass spectrometry. </w:t>
      </w:r>
      <w:r w:rsidRPr="00403C8A">
        <w:rPr>
          <w:sz w:val="22"/>
          <w:szCs w:val="22"/>
          <w:lang w:eastAsia="hu-HU"/>
        </w:rPr>
        <w:t>The applicability of the sulphur isotope ratio as a possible signature for nuclear forensics was tested by the measurement of several UOCs of world-wide origin</w:t>
      </w:r>
      <w:r>
        <w:rPr>
          <w:sz w:val="22"/>
          <w:szCs w:val="22"/>
          <w:lang w:eastAsia="hu-HU"/>
        </w:rPr>
        <w:t>, and also its variation was investigated during the UOC production from uranium ore to U</w:t>
      </w:r>
      <w:r w:rsidRPr="00B37E4B">
        <w:rPr>
          <w:sz w:val="22"/>
          <w:szCs w:val="22"/>
          <w:vertAlign w:val="subscript"/>
          <w:lang w:eastAsia="hu-HU"/>
        </w:rPr>
        <w:t>3</w:t>
      </w:r>
      <w:r>
        <w:rPr>
          <w:sz w:val="22"/>
          <w:szCs w:val="22"/>
          <w:lang w:eastAsia="hu-HU"/>
        </w:rPr>
        <w:t>O</w:t>
      </w:r>
      <w:r w:rsidRPr="00B37E4B">
        <w:rPr>
          <w:sz w:val="22"/>
          <w:szCs w:val="22"/>
          <w:vertAlign w:val="subscript"/>
          <w:lang w:eastAsia="hu-HU"/>
        </w:rPr>
        <w:t>8</w:t>
      </w:r>
      <w:r w:rsidRPr="00403C8A">
        <w:rPr>
          <w:sz w:val="22"/>
          <w:szCs w:val="22"/>
          <w:lang w:eastAsia="hu-HU"/>
        </w:rPr>
        <w:t xml:space="preserve">. </w:t>
      </w:r>
    </w:p>
    <w:p w:rsidR="006962E0" w:rsidRPr="00403C8A" w:rsidRDefault="006962E0" w:rsidP="004337D6">
      <w:pPr>
        <w:pStyle w:val="BodyText"/>
        <w:spacing w:after="0" w:line="240" w:lineRule="auto"/>
        <w:rPr>
          <w:szCs w:val="22"/>
        </w:rPr>
      </w:pPr>
    </w:p>
    <w:p w:rsidR="006962E0" w:rsidRPr="00403C8A" w:rsidRDefault="006962E0" w:rsidP="004337D6">
      <w:pPr>
        <w:pStyle w:val="04AHeading"/>
        <w:spacing w:before="0" w:after="0" w:line="240" w:lineRule="auto"/>
        <w:jc w:val="both"/>
        <w:rPr>
          <w:szCs w:val="22"/>
        </w:rPr>
      </w:pPr>
      <w:r w:rsidRPr="00403C8A">
        <w:rPr>
          <w:szCs w:val="22"/>
        </w:rPr>
        <w:t>2. Experimental</w:t>
      </w:r>
    </w:p>
    <w:p w:rsidR="006962E0" w:rsidRDefault="006962E0" w:rsidP="004337D6">
      <w:pPr>
        <w:pStyle w:val="05BHeading"/>
        <w:spacing w:before="0" w:after="0" w:line="240" w:lineRule="auto"/>
        <w:rPr>
          <w:i/>
          <w:sz w:val="22"/>
          <w:szCs w:val="22"/>
        </w:rPr>
      </w:pPr>
    </w:p>
    <w:p w:rsidR="006962E0" w:rsidRPr="00380C46" w:rsidRDefault="006962E0" w:rsidP="004337D6">
      <w:pPr>
        <w:pStyle w:val="05BHeading"/>
        <w:spacing w:before="0" w:after="0" w:line="240" w:lineRule="auto"/>
        <w:rPr>
          <w:i/>
          <w:sz w:val="22"/>
          <w:szCs w:val="22"/>
        </w:rPr>
      </w:pPr>
      <w:r w:rsidRPr="00380C46">
        <w:rPr>
          <w:i/>
          <w:sz w:val="22"/>
          <w:szCs w:val="22"/>
        </w:rPr>
        <w:t>2.1. Instrumentation</w:t>
      </w:r>
    </w:p>
    <w:p w:rsidR="006962E0" w:rsidRDefault="006962E0" w:rsidP="004337D6">
      <w:pPr>
        <w:pStyle w:val="BodyText"/>
        <w:spacing w:after="0" w:line="240" w:lineRule="auto"/>
        <w:rPr>
          <w:szCs w:val="22"/>
        </w:rPr>
      </w:pPr>
    </w:p>
    <w:p w:rsidR="006962E0" w:rsidRDefault="006962E0" w:rsidP="004337D6">
      <w:pPr>
        <w:pStyle w:val="BodyText"/>
        <w:spacing w:after="0" w:line="240" w:lineRule="auto"/>
        <w:rPr>
          <w:szCs w:val="22"/>
        </w:rPr>
      </w:pPr>
      <w:r w:rsidRPr="00403C8A">
        <w:rPr>
          <w:szCs w:val="22"/>
        </w:rPr>
        <w:t xml:space="preserve">A </w:t>
      </w:r>
      <w:proofErr w:type="spellStart"/>
      <w:r w:rsidRPr="00403C8A">
        <w:rPr>
          <w:szCs w:val="22"/>
        </w:rPr>
        <w:t>NuPlasma</w:t>
      </w:r>
      <w:proofErr w:type="spellEnd"/>
      <w:r w:rsidRPr="00403C8A">
        <w:rPr>
          <w:szCs w:val="22"/>
        </w:rPr>
        <w:t>™ (NU Instruments, Oxford, United Kingdom) double-focusing multi-collector inductively coupled mass spectrometer (MC-ICP-MS), equipped with 11 Faraday collectors and 3 discrete dynode electrode multipliers was used for the sulphur isotope ratio measurements. The instrument was operated at low mass resolution mode (</w:t>
      </w:r>
      <w:r w:rsidRPr="00403C8A">
        <w:rPr>
          <w:i/>
          <w:szCs w:val="22"/>
        </w:rPr>
        <w:t>R</w:t>
      </w:r>
      <w:r w:rsidRPr="00403C8A">
        <w:rPr>
          <w:szCs w:val="22"/>
        </w:rPr>
        <w:t xml:space="preserve"> = 300). The samples were introduced into the plasma using a low-flow Teflon </w:t>
      </w:r>
      <w:proofErr w:type="spellStart"/>
      <w:r w:rsidRPr="00403C8A">
        <w:rPr>
          <w:szCs w:val="22"/>
        </w:rPr>
        <w:t>microconcentric</w:t>
      </w:r>
      <w:proofErr w:type="spellEnd"/>
      <w:r w:rsidRPr="00403C8A">
        <w:rPr>
          <w:szCs w:val="22"/>
        </w:rPr>
        <w:t xml:space="preserve"> nebulizer operated in a self-aspirating mode in combination with a desolvation unit (DSN-100, NU Instruments, </w:t>
      </w:r>
      <w:proofErr w:type="gramStart"/>
      <w:r w:rsidRPr="00403C8A">
        <w:rPr>
          <w:szCs w:val="22"/>
        </w:rPr>
        <w:t>Oxford</w:t>
      </w:r>
      <w:proofErr w:type="gramEnd"/>
      <w:r w:rsidRPr="00403C8A">
        <w:rPr>
          <w:szCs w:val="22"/>
        </w:rPr>
        <w:t>, United Kingdom).</w:t>
      </w:r>
    </w:p>
    <w:p w:rsidR="006962E0" w:rsidRDefault="006962E0" w:rsidP="004337D6">
      <w:pPr>
        <w:pStyle w:val="BodyText"/>
        <w:spacing w:after="0" w:line="240" w:lineRule="auto"/>
        <w:rPr>
          <w:szCs w:val="22"/>
        </w:rPr>
      </w:pPr>
    </w:p>
    <w:p w:rsidR="006962E0" w:rsidRPr="00403C8A" w:rsidRDefault="006962E0" w:rsidP="004337D6">
      <w:pPr>
        <w:pStyle w:val="BodyText"/>
        <w:spacing w:after="0" w:line="240" w:lineRule="auto"/>
        <w:rPr>
          <w:szCs w:val="22"/>
        </w:rPr>
      </w:pPr>
      <w:r w:rsidRPr="00021127">
        <w:rPr>
          <w:rFonts w:eastAsia="Batang"/>
          <w:lang w:eastAsia="ko-KR"/>
        </w:rPr>
        <w:t xml:space="preserve">The anion (sulphate) measurements were performed by ion chromatography </w:t>
      </w:r>
      <w:r w:rsidRPr="00021127">
        <w:rPr>
          <w:rFonts w:eastAsia="Batang" w:hint="eastAsia"/>
          <w:lang w:eastAsia="ko-KR"/>
        </w:rPr>
        <w:t>(</w:t>
      </w:r>
      <w:r w:rsidRPr="00021127">
        <w:rPr>
          <w:rFonts w:eastAsia="Batang"/>
          <w:lang w:eastAsia="ko-KR"/>
        </w:rPr>
        <w:t>Advanced Compact IC 861</w:t>
      </w:r>
      <w:r w:rsidRPr="00021127">
        <w:rPr>
          <w:rFonts w:eastAsia="Batang" w:hint="eastAsia"/>
          <w:lang w:eastAsia="ko-KR"/>
        </w:rPr>
        <w:t xml:space="preserve">, </w:t>
      </w:r>
      <w:proofErr w:type="spellStart"/>
      <w:r w:rsidRPr="00021127">
        <w:rPr>
          <w:rFonts w:eastAsia="Batang"/>
          <w:lang w:eastAsia="ko-KR"/>
        </w:rPr>
        <w:t>Metrohm</w:t>
      </w:r>
      <w:proofErr w:type="spellEnd"/>
      <w:r w:rsidRPr="00021127">
        <w:rPr>
          <w:rFonts w:eastAsia="Batang"/>
          <w:lang w:eastAsia="ko-KR"/>
        </w:rPr>
        <w:t xml:space="preserve">, Switzerland). The ion chromatograph is equipped with a chemical suppressor (Module MSM II) and a conductivity detector. The separation of </w:t>
      </w:r>
      <w:r w:rsidRPr="00021127">
        <w:rPr>
          <w:rFonts w:eastAsia="Batang" w:hint="eastAsia"/>
          <w:lang w:eastAsia="ko-KR"/>
        </w:rPr>
        <w:t>sulphate</w:t>
      </w:r>
      <w:r w:rsidRPr="00021127">
        <w:rPr>
          <w:rFonts w:eastAsia="Batang"/>
          <w:lang w:eastAsia="ko-KR"/>
        </w:rPr>
        <w:t xml:space="preserve"> was carried out using </w:t>
      </w:r>
      <w:r w:rsidRPr="00021127">
        <w:rPr>
          <w:rFonts w:eastAsia="Batang" w:hint="eastAsia"/>
          <w:lang w:eastAsia="ko-KR"/>
        </w:rPr>
        <w:t xml:space="preserve">an anion exchange </w:t>
      </w:r>
      <w:r w:rsidRPr="00021127">
        <w:rPr>
          <w:rFonts w:eastAsia="Batang"/>
          <w:lang w:eastAsia="ko-KR"/>
        </w:rPr>
        <w:t>column</w:t>
      </w:r>
      <w:r w:rsidRPr="00021127">
        <w:rPr>
          <w:rFonts w:eastAsia="Batang" w:hint="eastAsia"/>
          <w:lang w:eastAsia="ko-KR"/>
        </w:rPr>
        <w:t xml:space="preserve"> (</w:t>
      </w:r>
      <w:r w:rsidRPr="00021127">
        <w:rPr>
          <w:rFonts w:eastAsia="Batang"/>
          <w:lang w:eastAsia="ko-KR"/>
        </w:rPr>
        <w:t xml:space="preserve">METROSEP A </w:t>
      </w:r>
      <w:proofErr w:type="spellStart"/>
      <w:r w:rsidRPr="00021127">
        <w:rPr>
          <w:rFonts w:eastAsia="Batang"/>
          <w:lang w:eastAsia="ko-KR"/>
        </w:rPr>
        <w:t>supp</w:t>
      </w:r>
      <w:proofErr w:type="spellEnd"/>
      <w:r w:rsidRPr="00021127">
        <w:rPr>
          <w:rFonts w:eastAsia="Batang"/>
          <w:lang w:eastAsia="ko-KR"/>
        </w:rPr>
        <w:t xml:space="preserve"> 5</w:t>
      </w:r>
      <w:r w:rsidRPr="00021127">
        <w:rPr>
          <w:rFonts w:eastAsia="Batang" w:hint="eastAsia"/>
          <w:lang w:eastAsia="ko-KR"/>
        </w:rPr>
        <w:t xml:space="preserve">, </w:t>
      </w:r>
      <w:r w:rsidRPr="00021127">
        <w:rPr>
          <w:rFonts w:eastAsia="Batang"/>
          <w:lang w:eastAsia="ko-KR"/>
        </w:rPr>
        <w:t>150 × 4.0 mm I.D.) preceded wi</w:t>
      </w:r>
      <w:r w:rsidRPr="00021127">
        <w:rPr>
          <w:rFonts w:eastAsia="Batang" w:hint="eastAsia"/>
          <w:lang w:eastAsia="ko-KR"/>
        </w:rPr>
        <w:t>th a</w:t>
      </w:r>
      <w:r w:rsidRPr="00021127">
        <w:rPr>
          <w:rFonts w:eastAsia="Batang"/>
          <w:lang w:eastAsia="ko-KR"/>
        </w:rPr>
        <w:t xml:space="preserve"> guard column (METROSEP Anion Dual 1</w:t>
      </w:r>
      <w:r w:rsidRPr="00021127">
        <w:rPr>
          <w:rFonts w:eastAsia="Batang" w:hint="eastAsia"/>
          <w:lang w:eastAsia="ko-KR"/>
        </w:rPr>
        <w:t xml:space="preserve">, </w:t>
      </w:r>
      <w:r w:rsidRPr="00021127">
        <w:rPr>
          <w:rFonts w:eastAsia="Batang"/>
          <w:lang w:eastAsia="ko-KR"/>
        </w:rPr>
        <w:t>50 × 4.6 mm I.D.).</w:t>
      </w:r>
    </w:p>
    <w:p w:rsidR="006962E0" w:rsidRDefault="006962E0" w:rsidP="004337D6">
      <w:pPr>
        <w:pStyle w:val="05BHeading"/>
        <w:spacing w:before="0" w:after="0" w:line="240" w:lineRule="auto"/>
        <w:rPr>
          <w:i/>
          <w:sz w:val="22"/>
          <w:szCs w:val="22"/>
        </w:rPr>
      </w:pPr>
    </w:p>
    <w:p w:rsidR="006962E0" w:rsidRPr="00380C46" w:rsidRDefault="006962E0" w:rsidP="004337D6">
      <w:pPr>
        <w:pStyle w:val="05BHeading"/>
        <w:spacing w:before="0" w:after="0" w:line="240" w:lineRule="auto"/>
        <w:rPr>
          <w:i/>
          <w:sz w:val="22"/>
          <w:szCs w:val="22"/>
        </w:rPr>
      </w:pPr>
      <w:r w:rsidRPr="00380C46">
        <w:rPr>
          <w:i/>
          <w:sz w:val="22"/>
          <w:szCs w:val="22"/>
        </w:rPr>
        <w:t>2.2. Reagents and materials</w:t>
      </w:r>
    </w:p>
    <w:p w:rsidR="006962E0" w:rsidRDefault="006962E0" w:rsidP="004337D6">
      <w:pPr>
        <w:pStyle w:val="BodyText"/>
        <w:spacing w:after="0" w:line="240" w:lineRule="auto"/>
        <w:rPr>
          <w:szCs w:val="22"/>
        </w:rPr>
      </w:pPr>
    </w:p>
    <w:p w:rsidR="006962E0" w:rsidRPr="00403C8A" w:rsidRDefault="006962E0" w:rsidP="004337D6">
      <w:pPr>
        <w:pStyle w:val="BodyText"/>
        <w:spacing w:after="0" w:line="240" w:lineRule="auto"/>
        <w:rPr>
          <w:szCs w:val="22"/>
        </w:rPr>
      </w:pPr>
      <w:r w:rsidRPr="00403C8A">
        <w:rPr>
          <w:szCs w:val="22"/>
        </w:rPr>
        <w:t xml:space="preserve">For dilutions ultra-pure water was used (UHQ System, USF </w:t>
      </w:r>
      <w:proofErr w:type="spellStart"/>
      <w:r w:rsidRPr="00403C8A">
        <w:rPr>
          <w:szCs w:val="22"/>
        </w:rPr>
        <w:t>Elga</w:t>
      </w:r>
      <w:proofErr w:type="spellEnd"/>
      <w:r w:rsidRPr="00403C8A">
        <w:rPr>
          <w:szCs w:val="22"/>
        </w:rPr>
        <w:t xml:space="preserve">, Germany). </w:t>
      </w:r>
      <w:proofErr w:type="spellStart"/>
      <w:r w:rsidRPr="00403C8A">
        <w:rPr>
          <w:szCs w:val="22"/>
        </w:rPr>
        <w:t>Suprapur</w:t>
      </w:r>
      <w:proofErr w:type="spellEnd"/>
      <w:r w:rsidRPr="00403C8A">
        <w:rPr>
          <w:szCs w:val="22"/>
        </w:rPr>
        <w:t xml:space="preserve"> grade nitric acid (Merck, Darmstadt, Germany) was used for the sample preparation. All other reagents used were of analytical grade.</w:t>
      </w:r>
      <w:r w:rsidRPr="00403C8A">
        <w:rPr>
          <w:szCs w:val="22"/>
          <w:lang w:eastAsia="ko-KR"/>
        </w:rPr>
        <w:t xml:space="preserve"> </w:t>
      </w:r>
      <w:r w:rsidRPr="00403C8A">
        <w:rPr>
          <w:szCs w:val="22"/>
        </w:rPr>
        <w:t xml:space="preserve">To prevent anionic contamination during the measurement, all lab ware was washed three times with ultra-pure water, dried in a laminar flow bench and stored in clean zipped bags. New and cleaned </w:t>
      </w:r>
      <w:proofErr w:type="spellStart"/>
      <w:r w:rsidRPr="00403C8A">
        <w:rPr>
          <w:szCs w:val="22"/>
        </w:rPr>
        <w:t>labware</w:t>
      </w:r>
      <w:proofErr w:type="spellEnd"/>
      <w:r w:rsidRPr="00403C8A">
        <w:rPr>
          <w:szCs w:val="22"/>
        </w:rPr>
        <w:t xml:space="preserve"> was used for each sample.</w:t>
      </w:r>
    </w:p>
    <w:p w:rsidR="006962E0" w:rsidRDefault="006962E0" w:rsidP="004337D6">
      <w:pPr>
        <w:pStyle w:val="08ArticleText"/>
        <w:spacing w:line="240" w:lineRule="auto"/>
        <w:rPr>
          <w:rFonts w:eastAsia="Batang"/>
          <w:sz w:val="22"/>
          <w:szCs w:val="22"/>
          <w:lang w:eastAsia="ko-KR"/>
        </w:rPr>
      </w:pPr>
    </w:p>
    <w:p w:rsidR="006962E0" w:rsidRPr="00403C8A" w:rsidRDefault="006962E0" w:rsidP="004337D6">
      <w:pPr>
        <w:pStyle w:val="08ArticleText"/>
        <w:spacing w:line="240" w:lineRule="auto"/>
        <w:rPr>
          <w:rFonts w:eastAsia="Batang"/>
          <w:sz w:val="22"/>
          <w:szCs w:val="22"/>
          <w:lang w:eastAsia="ko-KR"/>
        </w:rPr>
      </w:pPr>
      <w:r w:rsidRPr="00403C8A">
        <w:rPr>
          <w:rFonts w:eastAsia="Batang"/>
          <w:sz w:val="22"/>
          <w:szCs w:val="22"/>
          <w:lang w:eastAsia="ko-KR"/>
        </w:rPr>
        <w:lastRenderedPageBreak/>
        <w:t xml:space="preserve">To validate the developed method, sulphur isotope ratio certified reference materials purchased from the International Atomic Energy Agency (IAEA) were used. For the analysis approximately 80 mg of the IAEA standards (S-1, S-2, S-3, </w:t>
      </w:r>
      <w:proofErr w:type="gramStart"/>
      <w:r w:rsidRPr="00403C8A">
        <w:rPr>
          <w:rFonts w:eastAsia="Batang"/>
          <w:sz w:val="22"/>
          <w:szCs w:val="22"/>
          <w:lang w:eastAsia="ko-KR"/>
        </w:rPr>
        <w:t>S</w:t>
      </w:r>
      <w:proofErr w:type="gramEnd"/>
      <w:r w:rsidRPr="00403C8A">
        <w:rPr>
          <w:rFonts w:eastAsia="Batang"/>
          <w:sz w:val="22"/>
          <w:szCs w:val="22"/>
          <w:lang w:eastAsia="ko-KR"/>
        </w:rPr>
        <w:t xml:space="preserve">-4) were weighed into a screw-cap Teflon vial and dissolved in 5 mL of nitric acid while heating to 95 °C on a hotplate for 6 hours. After cooling to room temperature, sulphate concentrations in these stock solutions were measured by </w:t>
      </w:r>
      <w:r>
        <w:rPr>
          <w:rFonts w:eastAsia="Batang"/>
          <w:sz w:val="22"/>
          <w:szCs w:val="22"/>
          <w:lang w:eastAsia="ko-KR"/>
        </w:rPr>
        <w:t>ion chromatography (</w:t>
      </w:r>
      <w:r w:rsidRPr="00403C8A">
        <w:rPr>
          <w:rFonts w:eastAsia="Batang"/>
          <w:sz w:val="22"/>
          <w:szCs w:val="22"/>
          <w:lang w:eastAsia="ko-KR"/>
        </w:rPr>
        <w:t>IC</w:t>
      </w:r>
      <w:r>
        <w:rPr>
          <w:rFonts w:eastAsia="Batang"/>
          <w:sz w:val="22"/>
          <w:szCs w:val="22"/>
          <w:lang w:eastAsia="ko-KR"/>
        </w:rPr>
        <w:t>)</w:t>
      </w:r>
      <w:r w:rsidRPr="00403C8A">
        <w:rPr>
          <w:rFonts w:eastAsia="Batang"/>
          <w:sz w:val="22"/>
          <w:szCs w:val="22"/>
          <w:lang w:eastAsia="ko-KR"/>
        </w:rPr>
        <w:t xml:space="preserve">. These stock solutions were subsequently diluted to 2 </w:t>
      </w:r>
      <w:r w:rsidRPr="00403C8A">
        <w:rPr>
          <w:rFonts w:ascii="Symbol" w:eastAsia="Batang" w:hAnsi="Symbol"/>
          <w:sz w:val="22"/>
          <w:szCs w:val="22"/>
          <w:lang w:eastAsia="ko-KR"/>
        </w:rPr>
        <w:t></w:t>
      </w:r>
      <w:r w:rsidRPr="00403C8A">
        <w:rPr>
          <w:rFonts w:eastAsia="Batang"/>
          <w:sz w:val="22"/>
          <w:szCs w:val="22"/>
          <w:lang w:eastAsia="ko-KR"/>
        </w:rPr>
        <w:t>g mL</w:t>
      </w:r>
      <w:r w:rsidRPr="00403C8A">
        <w:rPr>
          <w:rFonts w:eastAsia="Batang"/>
          <w:sz w:val="22"/>
          <w:szCs w:val="22"/>
          <w:vertAlign w:val="superscript"/>
          <w:lang w:eastAsia="ko-KR"/>
        </w:rPr>
        <w:t>-1</w:t>
      </w:r>
      <w:r w:rsidRPr="00403C8A">
        <w:rPr>
          <w:rFonts w:eastAsia="Batang"/>
          <w:sz w:val="22"/>
          <w:szCs w:val="22"/>
          <w:lang w:eastAsia="ko-KR"/>
        </w:rPr>
        <w:t xml:space="preserve"> (expressed as sulphur) in 1% HNO</w:t>
      </w:r>
      <w:r w:rsidRPr="00403C8A">
        <w:rPr>
          <w:rFonts w:eastAsia="Batang"/>
          <w:sz w:val="22"/>
          <w:szCs w:val="22"/>
          <w:vertAlign w:val="subscript"/>
          <w:lang w:eastAsia="ko-KR"/>
        </w:rPr>
        <w:t>3</w:t>
      </w:r>
      <w:r w:rsidRPr="00403C8A">
        <w:rPr>
          <w:rFonts w:eastAsia="Batang"/>
          <w:sz w:val="22"/>
          <w:szCs w:val="22"/>
          <w:lang w:eastAsia="ko-KR"/>
        </w:rPr>
        <w:t xml:space="preserve"> for the sulphur isotope ratio measurement.</w:t>
      </w:r>
    </w:p>
    <w:p w:rsidR="006962E0" w:rsidRDefault="006962E0" w:rsidP="004337D6">
      <w:pPr>
        <w:pStyle w:val="08ArticleText"/>
        <w:spacing w:line="240" w:lineRule="auto"/>
        <w:rPr>
          <w:rFonts w:eastAsia="Batang"/>
          <w:sz w:val="22"/>
          <w:szCs w:val="22"/>
          <w:lang w:eastAsia="ko-KR"/>
        </w:rPr>
      </w:pPr>
    </w:p>
    <w:p w:rsidR="006962E0" w:rsidRDefault="006962E0" w:rsidP="004337D6">
      <w:pPr>
        <w:pStyle w:val="08ArticleText"/>
        <w:spacing w:line="240" w:lineRule="auto"/>
        <w:rPr>
          <w:rFonts w:eastAsia="Batang"/>
          <w:sz w:val="22"/>
          <w:szCs w:val="22"/>
          <w:lang w:eastAsia="ko-KR"/>
        </w:rPr>
      </w:pPr>
      <w:r w:rsidRPr="00403C8A">
        <w:rPr>
          <w:rFonts w:eastAsia="Batang"/>
          <w:sz w:val="22"/>
          <w:szCs w:val="22"/>
          <w:lang w:eastAsia="ko-KR"/>
        </w:rPr>
        <w:t>A total of 18 uranium ore concentrates originating from different mines were included in this study. The chemical compositions of the investigated uranium ore concentrates vary depending on the milling process applied in the different facilities.</w:t>
      </w:r>
      <w:r>
        <w:rPr>
          <w:rFonts w:eastAsia="Batang"/>
          <w:sz w:val="22"/>
          <w:szCs w:val="22"/>
          <w:lang w:eastAsia="ko-KR"/>
        </w:rPr>
        <w:t xml:space="preserve"> The samples investigated for the variation of sulphur isotope ratio variation during UOC production were obtained from an undisclosed UOC production facility. The</w:t>
      </w:r>
      <w:r w:rsidR="003B2815">
        <w:rPr>
          <w:rFonts w:eastAsia="Batang"/>
          <w:sz w:val="22"/>
          <w:szCs w:val="22"/>
          <w:lang w:eastAsia="ko-KR"/>
        </w:rPr>
        <w:t>re the</w:t>
      </w:r>
      <w:r>
        <w:rPr>
          <w:rFonts w:eastAsia="Batang"/>
          <w:sz w:val="22"/>
          <w:szCs w:val="22"/>
          <w:lang w:eastAsia="ko-KR"/>
        </w:rPr>
        <w:t xml:space="preserve"> UOC production is carried out </w:t>
      </w:r>
      <w:r w:rsidR="003B2815">
        <w:rPr>
          <w:rFonts w:eastAsia="Batang"/>
          <w:sz w:val="22"/>
          <w:szCs w:val="22"/>
          <w:lang w:eastAsia="ko-KR"/>
        </w:rPr>
        <w:t>in the following</w:t>
      </w:r>
      <w:r>
        <w:rPr>
          <w:rFonts w:eastAsia="Batang"/>
          <w:sz w:val="22"/>
          <w:szCs w:val="22"/>
          <w:lang w:eastAsia="ko-KR"/>
        </w:rPr>
        <w:t xml:space="preserve"> five stages: </w:t>
      </w:r>
    </w:p>
    <w:p w:rsidR="006962E0" w:rsidRDefault="006962E0" w:rsidP="004337D6">
      <w:pPr>
        <w:pStyle w:val="08ArticleText"/>
        <w:spacing w:line="240" w:lineRule="auto"/>
        <w:rPr>
          <w:rFonts w:eastAsia="Batang"/>
          <w:sz w:val="22"/>
          <w:szCs w:val="22"/>
          <w:lang w:eastAsia="ko-KR"/>
        </w:rPr>
      </w:pPr>
    </w:p>
    <w:p w:rsidR="006962E0" w:rsidRPr="00992225" w:rsidRDefault="006962E0" w:rsidP="004337D6">
      <w:pPr>
        <w:pStyle w:val="08ArticleText"/>
        <w:spacing w:line="240" w:lineRule="auto"/>
        <w:rPr>
          <w:rFonts w:eastAsia="Batang"/>
          <w:sz w:val="22"/>
          <w:szCs w:val="22"/>
          <w:lang w:eastAsia="ko-KR"/>
        </w:rPr>
      </w:pPr>
      <w:r w:rsidRPr="00992225">
        <w:rPr>
          <w:rFonts w:eastAsia="Batang"/>
          <w:sz w:val="22"/>
          <w:szCs w:val="22"/>
          <w:lang w:eastAsia="ko-KR"/>
        </w:rPr>
        <w:t>(a) Sulphuric acid leaching of the uranium ore</w:t>
      </w:r>
    </w:p>
    <w:p w:rsidR="006962E0" w:rsidRPr="00992225" w:rsidRDefault="006962E0" w:rsidP="004337D6">
      <w:pPr>
        <w:pStyle w:val="08ArticleText"/>
        <w:spacing w:line="240" w:lineRule="auto"/>
        <w:rPr>
          <w:rFonts w:eastAsia="Batang"/>
          <w:sz w:val="22"/>
          <w:szCs w:val="22"/>
          <w:lang w:eastAsia="ko-KR"/>
        </w:rPr>
      </w:pPr>
      <w:r w:rsidRPr="00992225">
        <w:rPr>
          <w:rFonts w:eastAsia="Batang"/>
          <w:sz w:val="22"/>
          <w:szCs w:val="22"/>
          <w:lang w:eastAsia="ko-KR"/>
        </w:rPr>
        <w:t xml:space="preserve">(b) Ion exchange separation </w:t>
      </w:r>
    </w:p>
    <w:p w:rsidR="006962E0" w:rsidRPr="00992225" w:rsidRDefault="006962E0" w:rsidP="004337D6">
      <w:pPr>
        <w:pStyle w:val="08ArticleText"/>
        <w:spacing w:line="240" w:lineRule="auto"/>
        <w:rPr>
          <w:rFonts w:eastAsia="Batang"/>
          <w:sz w:val="22"/>
          <w:szCs w:val="22"/>
          <w:lang w:eastAsia="ko-KR"/>
        </w:rPr>
      </w:pPr>
      <w:r w:rsidRPr="00992225">
        <w:rPr>
          <w:rFonts w:eastAsia="Batang"/>
          <w:sz w:val="22"/>
          <w:szCs w:val="22"/>
          <w:lang w:eastAsia="ko-KR"/>
        </w:rPr>
        <w:t>(c) Solvent extraction</w:t>
      </w:r>
    </w:p>
    <w:p w:rsidR="006962E0" w:rsidRPr="00992225" w:rsidRDefault="006962E0" w:rsidP="004337D6">
      <w:pPr>
        <w:pStyle w:val="08ArticleText"/>
        <w:spacing w:line="240" w:lineRule="auto"/>
        <w:rPr>
          <w:rFonts w:eastAsia="Batang"/>
          <w:sz w:val="22"/>
          <w:szCs w:val="22"/>
          <w:lang w:eastAsia="ko-KR"/>
        </w:rPr>
      </w:pPr>
      <w:r w:rsidRPr="00992225">
        <w:rPr>
          <w:rFonts w:eastAsia="Batang"/>
          <w:sz w:val="22"/>
          <w:szCs w:val="22"/>
          <w:lang w:eastAsia="ko-KR"/>
        </w:rPr>
        <w:t>(d) ADU precipitation using ammonia</w:t>
      </w:r>
    </w:p>
    <w:p w:rsidR="006962E0" w:rsidRPr="00992225" w:rsidRDefault="006962E0" w:rsidP="004337D6">
      <w:pPr>
        <w:pStyle w:val="08ArticleText"/>
        <w:spacing w:line="240" w:lineRule="auto"/>
        <w:rPr>
          <w:rFonts w:eastAsia="Batang"/>
          <w:sz w:val="22"/>
          <w:szCs w:val="22"/>
          <w:lang w:eastAsia="ko-KR"/>
        </w:rPr>
      </w:pPr>
      <w:r w:rsidRPr="00992225">
        <w:rPr>
          <w:rFonts w:eastAsia="Batang"/>
          <w:sz w:val="22"/>
          <w:szCs w:val="22"/>
          <w:lang w:eastAsia="ko-KR"/>
        </w:rPr>
        <w:t>(e) Calcination to U</w:t>
      </w:r>
      <w:r w:rsidRPr="00992225">
        <w:rPr>
          <w:rFonts w:eastAsia="Batang"/>
          <w:sz w:val="22"/>
          <w:szCs w:val="22"/>
          <w:vertAlign w:val="subscript"/>
          <w:lang w:eastAsia="ko-KR"/>
        </w:rPr>
        <w:t>3</w:t>
      </w:r>
      <w:r w:rsidRPr="00992225">
        <w:rPr>
          <w:rFonts w:eastAsia="Batang"/>
          <w:sz w:val="22"/>
          <w:szCs w:val="22"/>
          <w:lang w:eastAsia="ko-KR"/>
        </w:rPr>
        <w:t>O</w:t>
      </w:r>
      <w:r w:rsidRPr="00992225">
        <w:rPr>
          <w:rFonts w:eastAsia="Batang"/>
          <w:sz w:val="22"/>
          <w:szCs w:val="22"/>
          <w:vertAlign w:val="subscript"/>
          <w:lang w:eastAsia="ko-KR"/>
        </w:rPr>
        <w:t>8</w:t>
      </w:r>
    </w:p>
    <w:p w:rsidR="006962E0" w:rsidRPr="00992225" w:rsidRDefault="006962E0" w:rsidP="004337D6">
      <w:pPr>
        <w:pStyle w:val="BodyText"/>
        <w:spacing w:after="0" w:line="240" w:lineRule="auto"/>
        <w:rPr>
          <w:szCs w:val="22"/>
        </w:rPr>
      </w:pPr>
    </w:p>
    <w:p w:rsidR="006962E0" w:rsidRPr="00992225" w:rsidRDefault="006962E0" w:rsidP="004337D6">
      <w:pPr>
        <w:pStyle w:val="BodyText"/>
        <w:spacing w:after="0" w:line="240" w:lineRule="auto"/>
        <w:rPr>
          <w:szCs w:val="22"/>
        </w:rPr>
      </w:pPr>
      <w:r w:rsidRPr="00992225">
        <w:rPr>
          <w:szCs w:val="22"/>
        </w:rPr>
        <w:t>One</w:t>
      </w:r>
      <w:r w:rsidR="003B2815">
        <w:rPr>
          <w:szCs w:val="22"/>
        </w:rPr>
        <w:t xml:space="preserve"> production </w:t>
      </w:r>
      <w:r w:rsidRPr="00992225">
        <w:rPr>
          <w:szCs w:val="22"/>
        </w:rPr>
        <w:t>batch was followed during the</w:t>
      </w:r>
      <w:r w:rsidR="003B2815">
        <w:rPr>
          <w:szCs w:val="22"/>
        </w:rPr>
        <w:t xml:space="preserve"> UOC</w:t>
      </w:r>
      <w:r w:rsidRPr="00992225">
        <w:rPr>
          <w:szCs w:val="22"/>
        </w:rPr>
        <w:t xml:space="preserve"> production, and samples </w:t>
      </w:r>
      <w:r w:rsidR="003B2815">
        <w:rPr>
          <w:szCs w:val="22"/>
        </w:rPr>
        <w:t xml:space="preserve">were </w:t>
      </w:r>
      <w:r w:rsidRPr="00992225">
        <w:rPr>
          <w:szCs w:val="22"/>
        </w:rPr>
        <w:t xml:space="preserve">taken </w:t>
      </w:r>
      <w:r w:rsidR="003B2815">
        <w:rPr>
          <w:szCs w:val="22"/>
        </w:rPr>
        <w:t xml:space="preserve">from the various stages. The sampled materials </w:t>
      </w:r>
      <w:r w:rsidRPr="00992225">
        <w:rPr>
          <w:szCs w:val="22"/>
        </w:rPr>
        <w:t xml:space="preserve">are assumed to be </w:t>
      </w:r>
      <w:r>
        <w:rPr>
          <w:szCs w:val="22"/>
        </w:rPr>
        <w:t xml:space="preserve">representative of the </w:t>
      </w:r>
      <w:r w:rsidR="003B2815">
        <w:rPr>
          <w:szCs w:val="22"/>
        </w:rPr>
        <w:t xml:space="preserve">investigated </w:t>
      </w:r>
      <w:r w:rsidR="003B2815">
        <w:rPr>
          <w:szCs w:val="22"/>
        </w:rPr>
        <w:t>single UOC production batch</w:t>
      </w:r>
      <w:r>
        <w:rPr>
          <w:szCs w:val="22"/>
        </w:rPr>
        <w:t>.</w:t>
      </w:r>
    </w:p>
    <w:p w:rsidR="006962E0" w:rsidRPr="00AB0879" w:rsidRDefault="006962E0" w:rsidP="004337D6">
      <w:pPr>
        <w:pStyle w:val="BodyText"/>
        <w:spacing w:after="0" w:line="240" w:lineRule="auto"/>
        <w:rPr>
          <w:szCs w:val="22"/>
        </w:rPr>
      </w:pPr>
    </w:p>
    <w:p w:rsidR="006962E0" w:rsidRPr="00380C46" w:rsidRDefault="006962E0" w:rsidP="004337D6">
      <w:pPr>
        <w:pStyle w:val="05BHeading"/>
        <w:spacing w:before="0" w:after="0" w:line="240" w:lineRule="auto"/>
        <w:rPr>
          <w:i/>
          <w:sz w:val="22"/>
          <w:szCs w:val="22"/>
        </w:rPr>
      </w:pPr>
      <w:r w:rsidRPr="00380C46">
        <w:rPr>
          <w:i/>
          <w:sz w:val="22"/>
          <w:szCs w:val="22"/>
        </w:rPr>
        <w:t xml:space="preserve">2.3. Separation of sulphate by ion exchange </w:t>
      </w:r>
    </w:p>
    <w:p w:rsidR="006962E0" w:rsidRDefault="006962E0" w:rsidP="004337D6">
      <w:pPr>
        <w:pStyle w:val="08ArticleText"/>
        <w:spacing w:line="240" w:lineRule="auto"/>
        <w:rPr>
          <w:sz w:val="22"/>
          <w:szCs w:val="22"/>
        </w:rPr>
      </w:pPr>
    </w:p>
    <w:p w:rsidR="006962E0" w:rsidRDefault="006962E0" w:rsidP="004337D6">
      <w:pPr>
        <w:pStyle w:val="08ArticleText"/>
        <w:spacing w:line="240" w:lineRule="auto"/>
        <w:rPr>
          <w:sz w:val="22"/>
          <w:szCs w:val="22"/>
        </w:rPr>
      </w:pPr>
      <w:r w:rsidRPr="00403C8A">
        <w:rPr>
          <w:sz w:val="22"/>
          <w:szCs w:val="22"/>
        </w:rPr>
        <w:t xml:space="preserve">100 – 300 mg of sample depending on the sulphur concentration was taken and 10 mL ultra-pure water was added in pre-cleaned plastic bottle. </w:t>
      </w:r>
      <w:r w:rsidRPr="00403C8A">
        <w:rPr>
          <w:sz w:val="22"/>
          <w:szCs w:val="22"/>
          <w:lang w:eastAsia="ko-KR"/>
        </w:rPr>
        <w:t xml:space="preserve"> </w:t>
      </w:r>
      <w:r w:rsidRPr="00403C8A">
        <w:rPr>
          <w:sz w:val="22"/>
          <w:szCs w:val="22"/>
        </w:rPr>
        <w:t xml:space="preserve">The samples were leached for 24 hours at room temperature and filtered with pre-rinsed 0.45 </w:t>
      </w:r>
      <w:r w:rsidRPr="00403C8A">
        <w:rPr>
          <w:rFonts w:ascii="Symbol" w:hAnsi="Symbol"/>
          <w:sz w:val="22"/>
          <w:szCs w:val="22"/>
          <w:lang w:eastAsia="ko-KR"/>
        </w:rPr>
        <w:t></w:t>
      </w:r>
      <w:r w:rsidRPr="00403C8A">
        <w:rPr>
          <w:sz w:val="22"/>
          <w:szCs w:val="22"/>
        </w:rPr>
        <w:t>m cellulose acetate syringe filters (Nalgene, USA) befo</w:t>
      </w:r>
      <w:r>
        <w:rPr>
          <w:sz w:val="22"/>
          <w:szCs w:val="22"/>
        </w:rPr>
        <w:t>re the ion exchange separation.</w:t>
      </w:r>
    </w:p>
    <w:p w:rsidR="006962E0" w:rsidRDefault="006962E0" w:rsidP="004337D6">
      <w:pPr>
        <w:pStyle w:val="08ArticleText"/>
        <w:spacing w:line="240" w:lineRule="auto"/>
        <w:rPr>
          <w:sz w:val="22"/>
          <w:szCs w:val="22"/>
        </w:rPr>
      </w:pPr>
    </w:p>
    <w:p w:rsidR="006962E0" w:rsidRPr="00403C8A" w:rsidRDefault="006962E0" w:rsidP="004337D6">
      <w:pPr>
        <w:pStyle w:val="08ArticleText"/>
        <w:spacing w:line="240" w:lineRule="auto"/>
        <w:rPr>
          <w:sz w:val="22"/>
          <w:szCs w:val="22"/>
        </w:rPr>
      </w:pPr>
      <w:r w:rsidRPr="00403C8A">
        <w:rPr>
          <w:sz w:val="22"/>
          <w:szCs w:val="22"/>
        </w:rPr>
        <w:t>For the separation of SO</w:t>
      </w:r>
      <w:r w:rsidRPr="00403C8A">
        <w:rPr>
          <w:sz w:val="22"/>
          <w:szCs w:val="22"/>
          <w:vertAlign w:val="subscript"/>
        </w:rPr>
        <w:t>4</w:t>
      </w:r>
      <w:r w:rsidRPr="00403C8A">
        <w:rPr>
          <w:sz w:val="22"/>
          <w:szCs w:val="22"/>
          <w:vertAlign w:val="superscript"/>
        </w:rPr>
        <w:t>2-</w:t>
      </w:r>
      <w:r w:rsidRPr="00403C8A">
        <w:rPr>
          <w:b/>
          <w:sz w:val="22"/>
          <w:szCs w:val="22"/>
        </w:rPr>
        <w:t xml:space="preserve"> </w:t>
      </w:r>
      <w:r w:rsidRPr="00403C8A">
        <w:rPr>
          <w:sz w:val="22"/>
          <w:szCs w:val="22"/>
        </w:rPr>
        <w:t xml:space="preserve">from the leaching solution </w:t>
      </w:r>
      <w:r w:rsidRPr="00403C8A">
        <w:rPr>
          <w:sz w:val="22"/>
          <w:szCs w:val="22"/>
          <w:lang w:eastAsia="ko-KR"/>
        </w:rPr>
        <w:t>a</w:t>
      </w:r>
      <w:r w:rsidRPr="00403C8A">
        <w:rPr>
          <w:sz w:val="22"/>
          <w:szCs w:val="22"/>
        </w:rPr>
        <w:t>nion exchange resin (AG 1-X4, Cl</w:t>
      </w:r>
      <w:r w:rsidRPr="00403C8A">
        <w:rPr>
          <w:sz w:val="22"/>
          <w:szCs w:val="22"/>
          <w:vertAlign w:val="superscript"/>
        </w:rPr>
        <w:t>-</w:t>
      </w:r>
      <w:r w:rsidRPr="00403C8A">
        <w:rPr>
          <w:sz w:val="22"/>
          <w:szCs w:val="22"/>
        </w:rPr>
        <w:t xml:space="preserve"> form, 100 – 200 mesh, Bio-Rad Laboratories, USA) was applied. New column was used for every sample to avoid the risk of cross-contamination. </w:t>
      </w:r>
      <w:r w:rsidRPr="00403C8A">
        <w:rPr>
          <w:color w:val="292526"/>
          <w:sz w:val="22"/>
          <w:szCs w:val="22"/>
        </w:rPr>
        <w:t>For the column preparation,</w:t>
      </w:r>
      <w:r w:rsidRPr="00403C8A">
        <w:rPr>
          <w:sz w:val="22"/>
          <w:szCs w:val="22"/>
        </w:rPr>
        <w:t xml:space="preserve"> 1 m</w:t>
      </w:r>
      <w:r w:rsidRPr="00403C8A">
        <w:rPr>
          <w:sz w:val="22"/>
          <w:szCs w:val="22"/>
          <w:lang w:eastAsia="ko-KR"/>
        </w:rPr>
        <w:t>L</w:t>
      </w:r>
      <w:r w:rsidRPr="00403C8A">
        <w:rPr>
          <w:sz w:val="22"/>
          <w:szCs w:val="22"/>
        </w:rPr>
        <w:t xml:space="preserve"> of the resin was placed in a poly-prep column (0.8 x 4 cm, Bio-Rad Laboratories, USA)</w:t>
      </w:r>
      <w:r w:rsidRPr="00403C8A">
        <w:rPr>
          <w:sz w:val="22"/>
          <w:szCs w:val="22"/>
          <w:lang w:eastAsia="ko-KR"/>
        </w:rPr>
        <w:t xml:space="preserve"> </w:t>
      </w:r>
      <w:r w:rsidRPr="00403C8A">
        <w:rPr>
          <w:sz w:val="22"/>
          <w:szCs w:val="22"/>
        </w:rPr>
        <w:t xml:space="preserve">and porous polyethylene frit </w:t>
      </w:r>
      <w:r w:rsidRPr="00403C8A">
        <w:rPr>
          <w:color w:val="292526"/>
          <w:sz w:val="22"/>
          <w:szCs w:val="22"/>
        </w:rPr>
        <w:t xml:space="preserve">(120 </w:t>
      </w:r>
      <w:r w:rsidRPr="00403C8A">
        <w:rPr>
          <w:rFonts w:ascii="Symbol" w:hAnsi="Symbol"/>
          <w:color w:val="292526"/>
          <w:sz w:val="22"/>
          <w:szCs w:val="22"/>
        </w:rPr>
        <w:t></w:t>
      </w:r>
      <w:r w:rsidRPr="00403C8A">
        <w:rPr>
          <w:color w:val="292526"/>
          <w:sz w:val="22"/>
          <w:szCs w:val="22"/>
        </w:rPr>
        <w:t xml:space="preserve">m pore size, </w:t>
      </w:r>
      <w:proofErr w:type="spellStart"/>
      <w:r w:rsidRPr="00403C8A">
        <w:rPr>
          <w:color w:val="292526"/>
          <w:sz w:val="22"/>
          <w:szCs w:val="22"/>
        </w:rPr>
        <w:t>Reichelt</w:t>
      </w:r>
      <w:proofErr w:type="spellEnd"/>
      <w:r w:rsidRPr="00403C8A">
        <w:rPr>
          <w:color w:val="292526"/>
          <w:sz w:val="22"/>
          <w:szCs w:val="22"/>
        </w:rPr>
        <w:t xml:space="preserve"> </w:t>
      </w:r>
      <w:proofErr w:type="spellStart"/>
      <w:r w:rsidRPr="00403C8A">
        <w:rPr>
          <w:color w:val="292526"/>
          <w:sz w:val="22"/>
          <w:szCs w:val="22"/>
        </w:rPr>
        <w:t>Chemietechnik</w:t>
      </w:r>
      <w:proofErr w:type="spellEnd"/>
      <w:r w:rsidRPr="00403C8A">
        <w:rPr>
          <w:color w:val="292526"/>
          <w:sz w:val="22"/>
          <w:szCs w:val="22"/>
        </w:rPr>
        <w:t xml:space="preserve"> Heidelberg, Germany)</w:t>
      </w:r>
      <w:r w:rsidRPr="00403C8A">
        <w:rPr>
          <w:sz w:val="22"/>
          <w:szCs w:val="22"/>
        </w:rPr>
        <w:t xml:space="preserve"> was placed on the top to avoid mixing. Before use, the resin was </w:t>
      </w:r>
      <w:r w:rsidRPr="00403C8A">
        <w:rPr>
          <w:color w:val="000000"/>
          <w:sz w:val="22"/>
          <w:szCs w:val="22"/>
        </w:rPr>
        <w:t>converted into nitrate form by elution with 10 m</w:t>
      </w:r>
      <w:r w:rsidRPr="00403C8A">
        <w:rPr>
          <w:color w:val="000000"/>
          <w:sz w:val="22"/>
          <w:szCs w:val="22"/>
          <w:lang w:eastAsia="ko-KR"/>
        </w:rPr>
        <w:t>L</w:t>
      </w:r>
      <w:r w:rsidRPr="00403C8A">
        <w:rPr>
          <w:color w:val="000000"/>
          <w:sz w:val="22"/>
          <w:szCs w:val="22"/>
        </w:rPr>
        <w:t xml:space="preserve"> </w:t>
      </w:r>
      <w:r w:rsidRPr="00403C8A">
        <w:rPr>
          <w:color w:val="000000"/>
          <w:sz w:val="22"/>
          <w:szCs w:val="22"/>
          <w:lang w:eastAsia="ko-KR"/>
        </w:rPr>
        <w:t xml:space="preserve">of </w:t>
      </w:r>
      <w:r w:rsidRPr="00403C8A">
        <w:rPr>
          <w:color w:val="000000"/>
          <w:sz w:val="22"/>
          <w:szCs w:val="22"/>
        </w:rPr>
        <w:t>3 M HNO</w:t>
      </w:r>
      <w:r w:rsidRPr="00403C8A">
        <w:rPr>
          <w:color w:val="000000"/>
          <w:position w:val="-4"/>
          <w:sz w:val="22"/>
          <w:szCs w:val="22"/>
        </w:rPr>
        <w:t xml:space="preserve">3 </w:t>
      </w:r>
      <w:r w:rsidRPr="00403C8A">
        <w:rPr>
          <w:color w:val="000000"/>
          <w:sz w:val="22"/>
          <w:szCs w:val="22"/>
          <w:lang w:eastAsia="ko-KR"/>
        </w:rPr>
        <w:t>and</w:t>
      </w:r>
      <w:r w:rsidRPr="00403C8A">
        <w:rPr>
          <w:color w:val="000000"/>
          <w:sz w:val="22"/>
          <w:szCs w:val="22"/>
        </w:rPr>
        <w:t xml:space="preserve"> pre-conditioned with 10 m</w:t>
      </w:r>
      <w:r w:rsidRPr="00403C8A">
        <w:rPr>
          <w:color w:val="000000"/>
          <w:sz w:val="22"/>
          <w:szCs w:val="22"/>
          <w:lang w:eastAsia="ko-KR"/>
        </w:rPr>
        <w:t>L</w:t>
      </w:r>
      <w:r w:rsidRPr="00403C8A">
        <w:rPr>
          <w:color w:val="000000"/>
          <w:sz w:val="22"/>
          <w:szCs w:val="22"/>
        </w:rPr>
        <w:t xml:space="preserve"> </w:t>
      </w:r>
      <w:r w:rsidRPr="00403C8A">
        <w:rPr>
          <w:color w:val="000000"/>
          <w:sz w:val="22"/>
          <w:szCs w:val="22"/>
          <w:lang w:eastAsia="ko-KR"/>
        </w:rPr>
        <w:t xml:space="preserve">of </w:t>
      </w:r>
      <w:r w:rsidRPr="00403C8A">
        <w:rPr>
          <w:color w:val="000000"/>
          <w:sz w:val="22"/>
          <w:szCs w:val="22"/>
        </w:rPr>
        <w:t>0.03 M HNO</w:t>
      </w:r>
      <w:r w:rsidRPr="00403C8A">
        <w:rPr>
          <w:color w:val="000000"/>
          <w:sz w:val="22"/>
          <w:szCs w:val="22"/>
          <w:vertAlign w:val="subscript"/>
        </w:rPr>
        <w:t>3</w:t>
      </w:r>
      <w:r w:rsidRPr="00403C8A">
        <w:rPr>
          <w:color w:val="000000"/>
          <w:sz w:val="22"/>
          <w:szCs w:val="22"/>
        </w:rPr>
        <w:t>.</w:t>
      </w:r>
      <w:r w:rsidRPr="00403C8A">
        <w:rPr>
          <w:color w:val="000000"/>
          <w:sz w:val="22"/>
          <w:szCs w:val="22"/>
          <w:lang w:eastAsia="ko-KR"/>
        </w:rPr>
        <w:t xml:space="preserve"> The f</w:t>
      </w:r>
      <w:r w:rsidRPr="00403C8A">
        <w:rPr>
          <w:color w:val="000000"/>
          <w:sz w:val="22"/>
          <w:szCs w:val="22"/>
        </w:rPr>
        <w:t>low rate for the resin column was about 0.6-0.7 m</w:t>
      </w:r>
      <w:r w:rsidRPr="00403C8A">
        <w:rPr>
          <w:color w:val="000000"/>
          <w:sz w:val="22"/>
          <w:szCs w:val="22"/>
          <w:lang w:eastAsia="ko-KR"/>
        </w:rPr>
        <w:t xml:space="preserve">L </w:t>
      </w:r>
      <w:r w:rsidRPr="00403C8A">
        <w:rPr>
          <w:color w:val="000000"/>
          <w:sz w:val="22"/>
          <w:szCs w:val="22"/>
        </w:rPr>
        <w:t>min</w:t>
      </w:r>
      <w:r w:rsidRPr="00403C8A">
        <w:rPr>
          <w:color w:val="000000"/>
          <w:sz w:val="22"/>
          <w:szCs w:val="22"/>
          <w:vertAlign w:val="superscript"/>
        </w:rPr>
        <w:t>-1</w:t>
      </w:r>
      <w:r w:rsidRPr="00403C8A">
        <w:rPr>
          <w:color w:val="000000"/>
          <w:sz w:val="22"/>
          <w:szCs w:val="22"/>
          <w:lang w:eastAsia="ko-KR"/>
        </w:rPr>
        <w:t xml:space="preserve">. </w:t>
      </w:r>
      <w:r w:rsidRPr="00403C8A">
        <w:rPr>
          <w:rFonts w:ascii="AdvPS497E2" w:eastAsia="Batang" w:hAnsi="AdvPS497E2" w:cs="AdvPS497E2"/>
          <w:sz w:val="22"/>
          <w:szCs w:val="22"/>
          <w:lang w:eastAsia="ko-KR"/>
        </w:rPr>
        <w:t>Before loading, the resin was conditioned again with 10 mL of 0.03 M HNO</w:t>
      </w:r>
      <w:r w:rsidRPr="00403C8A">
        <w:rPr>
          <w:rFonts w:ascii="AdvPS497E2" w:eastAsia="Batang" w:hAnsi="AdvPS497E2" w:cs="AdvPS497E2"/>
          <w:sz w:val="22"/>
          <w:szCs w:val="22"/>
          <w:vertAlign w:val="subscript"/>
          <w:lang w:eastAsia="ko-KR"/>
        </w:rPr>
        <w:t>3</w:t>
      </w:r>
      <w:r w:rsidRPr="00403C8A">
        <w:rPr>
          <w:rFonts w:ascii="AdvPS497E2" w:eastAsia="Batang" w:hAnsi="AdvPS497E2" w:cs="AdvPS497E2"/>
          <w:sz w:val="22"/>
          <w:szCs w:val="22"/>
          <w:lang w:eastAsia="ko-KR"/>
        </w:rPr>
        <w:t>. After loading, the resin was washed with 10 mL of  0.03 M HNO</w:t>
      </w:r>
      <w:r w:rsidRPr="00403C8A">
        <w:rPr>
          <w:rFonts w:ascii="AdvPS497E2" w:eastAsia="Batang" w:hAnsi="AdvPS497E2" w:cs="AdvPS497E2"/>
          <w:sz w:val="22"/>
          <w:szCs w:val="22"/>
          <w:vertAlign w:val="subscript"/>
          <w:lang w:eastAsia="ko-KR"/>
        </w:rPr>
        <w:t>3</w:t>
      </w:r>
      <w:r w:rsidRPr="00403C8A">
        <w:rPr>
          <w:rFonts w:ascii="AdvPS497E2" w:eastAsia="Batang" w:hAnsi="AdvPS497E2" w:cs="AdvPS497E2"/>
          <w:sz w:val="22"/>
          <w:szCs w:val="22"/>
          <w:lang w:eastAsia="ko-KR"/>
        </w:rPr>
        <w:t xml:space="preserve"> and subsequently </w:t>
      </w:r>
      <w:r w:rsidRPr="00403C8A">
        <w:rPr>
          <w:sz w:val="22"/>
          <w:szCs w:val="22"/>
        </w:rPr>
        <w:t>SO</w:t>
      </w:r>
      <w:r w:rsidRPr="00403C8A">
        <w:rPr>
          <w:sz w:val="22"/>
          <w:szCs w:val="22"/>
          <w:vertAlign w:val="subscript"/>
        </w:rPr>
        <w:t>4</w:t>
      </w:r>
      <w:r w:rsidRPr="00403C8A">
        <w:rPr>
          <w:sz w:val="22"/>
          <w:szCs w:val="22"/>
          <w:vertAlign w:val="superscript"/>
        </w:rPr>
        <w:t>2-</w:t>
      </w:r>
      <w:r w:rsidRPr="00403C8A">
        <w:rPr>
          <w:rFonts w:ascii="AdvPS497E2" w:eastAsia="Batang" w:hAnsi="AdvPS497E2" w:cs="AdvPS497E2"/>
          <w:sz w:val="22"/>
          <w:szCs w:val="22"/>
          <w:lang w:eastAsia="ko-KR"/>
        </w:rPr>
        <w:t xml:space="preserve"> was eluted using 3 mL of 0.3 M  HNO</w:t>
      </w:r>
      <w:r w:rsidRPr="00403C8A">
        <w:rPr>
          <w:rFonts w:ascii="AdvPS497E2" w:eastAsia="Batang" w:hAnsi="AdvPS497E2" w:cs="AdvPS497E2"/>
          <w:sz w:val="22"/>
          <w:szCs w:val="22"/>
          <w:vertAlign w:val="subscript"/>
          <w:lang w:eastAsia="ko-KR"/>
        </w:rPr>
        <w:t>3</w:t>
      </w:r>
      <w:r w:rsidRPr="00403C8A">
        <w:rPr>
          <w:rFonts w:ascii="AdvPS497E2" w:eastAsia="Batang" w:hAnsi="AdvPS497E2" w:cs="AdvPS497E2"/>
          <w:sz w:val="22"/>
          <w:szCs w:val="22"/>
          <w:lang w:eastAsia="ko-KR"/>
        </w:rPr>
        <w:t>. An aliquot was taken for the r</w:t>
      </w:r>
      <w:r w:rsidRPr="00403C8A">
        <w:rPr>
          <w:sz w:val="22"/>
          <w:szCs w:val="22"/>
          <w:lang w:eastAsia="ko-KR"/>
        </w:rPr>
        <w:t xml:space="preserve">ecovery measurement of </w:t>
      </w:r>
      <w:r w:rsidRPr="00403C8A">
        <w:rPr>
          <w:sz w:val="22"/>
          <w:szCs w:val="22"/>
        </w:rPr>
        <w:t>SO</w:t>
      </w:r>
      <w:r w:rsidRPr="00403C8A">
        <w:rPr>
          <w:sz w:val="22"/>
          <w:szCs w:val="22"/>
          <w:vertAlign w:val="subscript"/>
        </w:rPr>
        <w:t>4</w:t>
      </w:r>
      <w:r w:rsidRPr="00403C8A">
        <w:rPr>
          <w:sz w:val="22"/>
          <w:szCs w:val="22"/>
          <w:vertAlign w:val="superscript"/>
        </w:rPr>
        <w:t>2-</w:t>
      </w:r>
      <w:r w:rsidRPr="00403C8A">
        <w:rPr>
          <w:sz w:val="22"/>
          <w:szCs w:val="22"/>
          <w:lang w:eastAsia="ko-KR"/>
        </w:rPr>
        <w:t xml:space="preserve"> by ion chromatography. </w:t>
      </w:r>
      <w:r>
        <w:rPr>
          <w:sz w:val="22"/>
          <w:szCs w:val="22"/>
          <w:lang w:eastAsia="ko-KR"/>
        </w:rPr>
        <w:t xml:space="preserve">Further details can be found elsewhere </w:t>
      </w:r>
      <w:r>
        <w:rPr>
          <w:noProof/>
          <w:sz w:val="22"/>
          <w:szCs w:val="22"/>
          <w:lang w:eastAsia="ko-KR"/>
        </w:rPr>
        <w:t>[11]</w:t>
      </w:r>
      <w:r>
        <w:rPr>
          <w:sz w:val="22"/>
          <w:szCs w:val="22"/>
          <w:lang w:eastAsia="ko-KR"/>
        </w:rPr>
        <w:t>.</w:t>
      </w:r>
    </w:p>
    <w:p w:rsidR="006962E0" w:rsidRDefault="006962E0" w:rsidP="004337D6">
      <w:pPr>
        <w:pStyle w:val="05BHeading"/>
        <w:spacing w:before="0" w:after="0" w:line="240" w:lineRule="auto"/>
        <w:rPr>
          <w:i/>
          <w:sz w:val="22"/>
          <w:szCs w:val="22"/>
        </w:rPr>
      </w:pPr>
    </w:p>
    <w:p w:rsidR="006962E0" w:rsidRPr="00380C46" w:rsidRDefault="006962E0" w:rsidP="004337D6">
      <w:pPr>
        <w:pStyle w:val="05BHeading"/>
        <w:spacing w:before="0" w:after="0" w:line="240" w:lineRule="auto"/>
        <w:rPr>
          <w:i/>
          <w:sz w:val="22"/>
          <w:szCs w:val="22"/>
        </w:rPr>
      </w:pPr>
      <w:r w:rsidRPr="00380C46">
        <w:rPr>
          <w:i/>
          <w:sz w:val="22"/>
          <w:szCs w:val="22"/>
        </w:rPr>
        <w:t xml:space="preserve">2.4. Measurement of </w:t>
      </w:r>
      <w:r w:rsidRPr="00380C46">
        <w:rPr>
          <w:i/>
          <w:sz w:val="22"/>
          <w:szCs w:val="22"/>
          <w:vertAlign w:val="superscript"/>
        </w:rPr>
        <w:t>34</w:t>
      </w:r>
      <w:r w:rsidRPr="00380C46">
        <w:rPr>
          <w:i/>
          <w:sz w:val="22"/>
          <w:szCs w:val="22"/>
        </w:rPr>
        <w:t>S/</w:t>
      </w:r>
      <w:r w:rsidRPr="00380C46">
        <w:rPr>
          <w:i/>
          <w:sz w:val="22"/>
          <w:szCs w:val="22"/>
          <w:vertAlign w:val="superscript"/>
        </w:rPr>
        <w:t>32</w:t>
      </w:r>
      <w:r w:rsidRPr="00380C46">
        <w:rPr>
          <w:i/>
          <w:sz w:val="22"/>
          <w:szCs w:val="22"/>
        </w:rPr>
        <w:t>S by MC-ICP-MS</w:t>
      </w:r>
    </w:p>
    <w:p w:rsidR="006962E0" w:rsidRDefault="006962E0" w:rsidP="004337D6">
      <w:pPr>
        <w:pStyle w:val="08ArticleText"/>
        <w:spacing w:line="240" w:lineRule="auto"/>
        <w:rPr>
          <w:rFonts w:eastAsia="Batang"/>
          <w:sz w:val="22"/>
          <w:szCs w:val="22"/>
          <w:lang w:eastAsia="ko-KR"/>
        </w:rPr>
      </w:pPr>
    </w:p>
    <w:p w:rsidR="006962E0" w:rsidRDefault="006962E0" w:rsidP="004337D6">
      <w:pPr>
        <w:pStyle w:val="08ArticleText"/>
        <w:spacing w:line="240" w:lineRule="auto"/>
        <w:rPr>
          <w:rFonts w:eastAsia="Batang"/>
          <w:sz w:val="22"/>
          <w:szCs w:val="22"/>
          <w:lang w:eastAsia="ko-KR"/>
        </w:rPr>
      </w:pPr>
      <w:r w:rsidRPr="00403C8A">
        <w:rPr>
          <w:rFonts w:eastAsia="Batang"/>
          <w:sz w:val="22"/>
          <w:szCs w:val="22"/>
          <w:lang w:eastAsia="ko-KR"/>
        </w:rPr>
        <w:t>During the sulphur isotope ratio ICP-MS analysis dominantly two types of isobaric interferences need to be taken into account to achieve accurate results:</w:t>
      </w:r>
      <w:r w:rsidRPr="00403C8A">
        <w:rPr>
          <w:sz w:val="22"/>
          <w:szCs w:val="22"/>
        </w:rPr>
        <w:t xml:space="preserve"> doubly charged metals ions (e.g. </w:t>
      </w:r>
      <w:r w:rsidRPr="00403C8A">
        <w:rPr>
          <w:sz w:val="22"/>
          <w:szCs w:val="22"/>
          <w:vertAlign w:val="superscript"/>
          <w:lang w:eastAsia="ko-KR"/>
        </w:rPr>
        <w:t>64</w:t>
      </w:r>
      <w:r w:rsidRPr="00403C8A">
        <w:rPr>
          <w:sz w:val="22"/>
          <w:szCs w:val="22"/>
          <w:lang w:eastAsia="ko-KR"/>
        </w:rPr>
        <w:t>Ni</w:t>
      </w:r>
      <w:r w:rsidRPr="00403C8A">
        <w:rPr>
          <w:sz w:val="22"/>
          <w:szCs w:val="22"/>
          <w:vertAlign w:val="superscript"/>
          <w:lang w:eastAsia="ko-KR"/>
        </w:rPr>
        <w:t>2+</w:t>
      </w:r>
      <w:r w:rsidRPr="00403C8A">
        <w:rPr>
          <w:sz w:val="22"/>
          <w:szCs w:val="22"/>
          <w:lang w:eastAsia="ko-KR"/>
        </w:rPr>
        <w:t xml:space="preserve">, </w:t>
      </w:r>
      <w:r w:rsidRPr="00403C8A">
        <w:rPr>
          <w:sz w:val="22"/>
          <w:szCs w:val="22"/>
          <w:vertAlign w:val="superscript"/>
          <w:lang w:eastAsia="ko-KR"/>
        </w:rPr>
        <w:t>64</w:t>
      </w:r>
      <w:r w:rsidRPr="00403C8A">
        <w:rPr>
          <w:sz w:val="22"/>
          <w:szCs w:val="22"/>
          <w:lang w:eastAsia="ko-KR"/>
        </w:rPr>
        <w:t>Zn</w:t>
      </w:r>
      <w:r w:rsidRPr="00403C8A">
        <w:rPr>
          <w:sz w:val="22"/>
          <w:szCs w:val="22"/>
          <w:vertAlign w:val="superscript"/>
          <w:lang w:eastAsia="ko-KR"/>
        </w:rPr>
        <w:t>2+</w:t>
      </w:r>
      <w:r w:rsidRPr="00403C8A">
        <w:rPr>
          <w:sz w:val="22"/>
          <w:szCs w:val="22"/>
          <w:lang w:eastAsia="ko-KR"/>
        </w:rPr>
        <w:t xml:space="preserve"> or </w:t>
      </w:r>
      <w:r w:rsidRPr="00403C8A">
        <w:rPr>
          <w:sz w:val="22"/>
          <w:szCs w:val="22"/>
          <w:vertAlign w:val="superscript"/>
          <w:lang w:eastAsia="ko-KR"/>
        </w:rPr>
        <w:t>68</w:t>
      </w:r>
      <w:r w:rsidRPr="00403C8A">
        <w:rPr>
          <w:sz w:val="22"/>
          <w:szCs w:val="22"/>
          <w:lang w:eastAsia="ko-KR"/>
        </w:rPr>
        <w:t>Zn</w:t>
      </w:r>
      <w:r w:rsidRPr="00403C8A">
        <w:rPr>
          <w:sz w:val="22"/>
          <w:szCs w:val="22"/>
          <w:vertAlign w:val="superscript"/>
          <w:lang w:eastAsia="ko-KR"/>
        </w:rPr>
        <w:t>2+</w:t>
      </w:r>
      <w:r w:rsidRPr="00403C8A">
        <w:rPr>
          <w:sz w:val="22"/>
          <w:szCs w:val="22"/>
          <w:lang w:eastAsia="ko-KR"/>
        </w:rPr>
        <w:t xml:space="preserve">) </w:t>
      </w:r>
      <w:r w:rsidRPr="00403C8A">
        <w:rPr>
          <w:sz w:val="22"/>
          <w:szCs w:val="22"/>
        </w:rPr>
        <w:t xml:space="preserve">and oxide/hydrate molecular ions (e.g. </w:t>
      </w:r>
      <w:r w:rsidRPr="00403C8A">
        <w:rPr>
          <w:sz w:val="22"/>
          <w:szCs w:val="22"/>
          <w:vertAlign w:val="superscript"/>
        </w:rPr>
        <w:t>16</w:t>
      </w:r>
      <w:r w:rsidRPr="00403C8A">
        <w:rPr>
          <w:sz w:val="22"/>
          <w:szCs w:val="22"/>
        </w:rPr>
        <w:t>O</w:t>
      </w:r>
      <w:r w:rsidRPr="00403C8A">
        <w:rPr>
          <w:sz w:val="22"/>
          <w:szCs w:val="22"/>
          <w:vertAlign w:val="subscript"/>
        </w:rPr>
        <w:t>2</w:t>
      </w:r>
      <w:r w:rsidRPr="00403C8A">
        <w:rPr>
          <w:sz w:val="22"/>
          <w:szCs w:val="22"/>
          <w:vertAlign w:val="superscript"/>
        </w:rPr>
        <w:t>+</w:t>
      </w:r>
      <w:r w:rsidRPr="00403C8A">
        <w:rPr>
          <w:sz w:val="22"/>
          <w:szCs w:val="22"/>
        </w:rPr>
        <w:t xml:space="preserve">, </w:t>
      </w:r>
      <w:r w:rsidRPr="00403C8A">
        <w:rPr>
          <w:sz w:val="22"/>
          <w:szCs w:val="22"/>
          <w:vertAlign w:val="superscript"/>
        </w:rPr>
        <w:t>1</w:t>
      </w:r>
      <w:r w:rsidRPr="00403C8A">
        <w:rPr>
          <w:sz w:val="22"/>
          <w:szCs w:val="22"/>
        </w:rPr>
        <w:t>H</w:t>
      </w:r>
      <w:r w:rsidRPr="00403C8A">
        <w:rPr>
          <w:sz w:val="22"/>
          <w:szCs w:val="22"/>
          <w:vertAlign w:val="superscript"/>
        </w:rPr>
        <w:t>16</w:t>
      </w:r>
      <w:r w:rsidRPr="00403C8A">
        <w:rPr>
          <w:sz w:val="22"/>
          <w:szCs w:val="22"/>
        </w:rPr>
        <w:t>O</w:t>
      </w:r>
      <w:r w:rsidRPr="00403C8A">
        <w:rPr>
          <w:sz w:val="22"/>
          <w:szCs w:val="22"/>
          <w:vertAlign w:val="subscript"/>
        </w:rPr>
        <w:t>2</w:t>
      </w:r>
      <w:r w:rsidRPr="00403C8A">
        <w:rPr>
          <w:sz w:val="22"/>
          <w:szCs w:val="22"/>
          <w:vertAlign w:val="superscript"/>
        </w:rPr>
        <w:t>+</w:t>
      </w:r>
      <w:r w:rsidRPr="00403C8A">
        <w:rPr>
          <w:sz w:val="22"/>
          <w:szCs w:val="22"/>
        </w:rPr>
        <w:t xml:space="preserve"> or </w:t>
      </w:r>
      <w:r w:rsidRPr="00403C8A">
        <w:rPr>
          <w:sz w:val="22"/>
          <w:szCs w:val="22"/>
          <w:vertAlign w:val="superscript"/>
        </w:rPr>
        <w:t>16</w:t>
      </w:r>
      <w:r w:rsidRPr="00403C8A">
        <w:rPr>
          <w:sz w:val="22"/>
          <w:szCs w:val="22"/>
        </w:rPr>
        <w:t>O</w:t>
      </w:r>
      <w:r w:rsidRPr="00403C8A">
        <w:rPr>
          <w:sz w:val="22"/>
          <w:szCs w:val="22"/>
          <w:vertAlign w:val="superscript"/>
        </w:rPr>
        <w:t>18</w:t>
      </w:r>
      <w:r w:rsidRPr="00403C8A">
        <w:rPr>
          <w:sz w:val="22"/>
          <w:szCs w:val="22"/>
        </w:rPr>
        <w:t>O</w:t>
      </w:r>
      <w:r w:rsidRPr="00403C8A">
        <w:rPr>
          <w:sz w:val="22"/>
          <w:szCs w:val="22"/>
          <w:vertAlign w:val="superscript"/>
        </w:rPr>
        <w:t>+</w:t>
      </w:r>
      <w:r w:rsidRPr="00403C8A">
        <w:rPr>
          <w:sz w:val="22"/>
          <w:szCs w:val="22"/>
        </w:rPr>
        <w:t>).</w:t>
      </w:r>
      <w:r w:rsidRPr="00403C8A">
        <w:rPr>
          <w:sz w:val="22"/>
          <w:szCs w:val="22"/>
          <w:lang w:eastAsia="ko-KR"/>
        </w:rPr>
        <w:t xml:space="preserve"> Doubly charged isobaric interferences can be efficiently removed by using a prior chemical separation by the ion exchange process.</w:t>
      </w:r>
      <w:r>
        <w:rPr>
          <w:sz w:val="22"/>
          <w:szCs w:val="22"/>
          <w:lang w:eastAsia="ko-KR"/>
        </w:rPr>
        <w:t xml:space="preserve"> </w:t>
      </w:r>
      <w:r w:rsidRPr="00403C8A">
        <w:rPr>
          <w:sz w:val="22"/>
          <w:szCs w:val="22"/>
        </w:rPr>
        <w:t>On the other hand, the significant interferences by oxygen and hydrogen containing polyatomic ions cannot be eliminated using only chemical separation</w:t>
      </w:r>
      <w:r w:rsidRPr="00403C8A">
        <w:rPr>
          <w:sz w:val="22"/>
          <w:szCs w:val="22"/>
          <w:lang w:eastAsia="ko-KR"/>
        </w:rPr>
        <w:t>. In our method the</w:t>
      </w:r>
      <w:r w:rsidRPr="00403C8A">
        <w:rPr>
          <w:sz w:val="22"/>
          <w:szCs w:val="22"/>
        </w:rPr>
        <w:t xml:space="preserve"> oxide and hydrate species were eliminated by the application of a desolvation system</w:t>
      </w:r>
      <w:r w:rsidRPr="00403C8A">
        <w:rPr>
          <w:sz w:val="22"/>
          <w:szCs w:val="22"/>
          <w:lang w:eastAsia="ko-KR"/>
        </w:rPr>
        <w:t>.</w:t>
      </w:r>
      <w:r w:rsidRPr="00403C8A">
        <w:rPr>
          <w:rFonts w:eastAsia="Batang"/>
          <w:sz w:val="22"/>
          <w:szCs w:val="22"/>
          <w:lang w:eastAsia="ko-KR"/>
        </w:rPr>
        <w:t xml:space="preserve"> </w:t>
      </w:r>
      <w:r w:rsidRPr="00403C8A">
        <w:rPr>
          <w:sz w:val="22"/>
          <w:szCs w:val="22"/>
          <w:lang w:eastAsia="ko-KR"/>
        </w:rPr>
        <w:t>The background intensities for 1% HNO</w:t>
      </w:r>
      <w:r w:rsidRPr="00403C8A">
        <w:rPr>
          <w:sz w:val="22"/>
          <w:szCs w:val="22"/>
          <w:vertAlign w:val="subscript"/>
          <w:lang w:eastAsia="ko-KR"/>
        </w:rPr>
        <w:t>3</w:t>
      </w:r>
      <w:r w:rsidRPr="00403C8A">
        <w:rPr>
          <w:sz w:val="22"/>
          <w:szCs w:val="22"/>
          <w:lang w:eastAsia="ko-KR"/>
        </w:rPr>
        <w:t xml:space="preserve"> solution at </w:t>
      </w:r>
      <w:r w:rsidRPr="00403C8A">
        <w:rPr>
          <w:i/>
          <w:sz w:val="22"/>
          <w:szCs w:val="22"/>
          <w:lang w:eastAsia="ko-KR"/>
        </w:rPr>
        <w:t>m</w:t>
      </w:r>
      <w:r w:rsidRPr="00403C8A">
        <w:rPr>
          <w:sz w:val="22"/>
          <w:szCs w:val="22"/>
          <w:lang w:eastAsia="ko-KR"/>
        </w:rPr>
        <w:t>/</w:t>
      </w:r>
      <w:r w:rsidRPr="00403C8A">
        <w:rPr>
          <w:i/>
          <w:sz w:val="22"/>
          <w:szCs w:val="22"/>
          <w:lang w:eastAsia="ko-KR"/>
        </w:rPr>
        <w:t>z</w:t>
      </w:r>
      <w:r w:rsidRPr="00403C8A">
        <w:rPr>
          <w:sz w:val="22"/>
          <w:szCs w:val="22"/>
          <w:lang w:eastAsia="ko-KR"/>
        </w:rPr>
        <w:t xml:space="preserve"> = 32 and </w:t>
      </w:r>
      <w:r w:rsidRPr="00403C8A">
        <w:rPr>
          <w:i/>
          <w:sz w:val="22"/>
          <w:szCs w:val="22"/>
          <w:lang w:eastAsia="ko-KR"/>
        </w:rPr>
        <w:t>m</w:t>
      </w:r>
      <w:r w:rsidRPr="00403C8A">
        <w:rPr>
          <w:sz w:val="22"/>
          <w:szCs w:val="22"/>
          <w:lang w:eastAsia="ko-KR"/>
        </w:rPr>
        <w:t>/</w:t>
      </w:r>
      <w:r w:rsidRPr="00403C8A">
        <w:rPr>
          <w:i/>
          <w:sz w:val="22"/>
          <w:szCs w:val="22"/>
          <w:lang w:eastAsia="ko-KR"/>
        </w:rPr>
        <w:t>z</w:t>
      </w:r>
      <w:r w:rsidRPr="00403C8A">
        <w:rPr>
          <w:sz w:val="22"/>
          <w:szCs w:val="22"/>
          <w:lang w:eastAsia="ko-KR"/>
        </w:rPr>
        <w:t xml:space="preserve"> = 34 were about 0.2 V and 0.006 V, respectively. In comparison, the intensities of </w:t>
      </w:r>
      <w:r w:rsidRPr="00403C8A">
        <w:rPr>
          <w:sz w:val="22"/>
          <w:szCs w:val="22"/>
        </w:rPr>
        <w:t xml:space="preserve">2 </w:t>
      </w:r>
      <w:r w:rsidRPr="00403C8A">
        <w:rPr>
          <w:rFonts w:ascii="Symbol" w:hAnsi="Symbol"/>
          <w:sz w:val="22"/>
          <w:szCs w:val="22"/>
        </w:rPr>
        <w:t></w:t>
      </w:r>
      <w:r w:rsidRPr="00403C8A">
        <w:rPr>
          <w:sz w:val="22"/>
          <w:szCs w:val="22"/>
        </w:rPr>
        <w:t>g mL</w:t>
      </w:r>
      <w:r w:rsidRPr="00403C8A">
        <w:rPr>
          <w:sz w:val="22"/>
          <w:szCs w:val="22"/>
          <w:vertAlign w:val="superscript"/>
        </w:rPr>
        <w:t>-1</w:t>
      </w:r>
      <w:r w:rsidRPr="00403C8A">
        <w:rPr>
          <w:sz w:val="22"/>
          <w:szCs w:val="22"/>
        </w:rPr>
        <w:t xml:space="preserve"> S standard were </w:t>
      </w:r>
      <w:r w:rsidRPr="00403C8A">
        <w:rPr>
          <w:sz w:val="22"/>
          <w:szCs w:val="22"/>
          <w:lang w:eastAsia="ko-KR"/>
        </w:rPr>
        <w:t xml:space="preserve">4 V and 0.19 V at </w:t>
      </w:r>
      <w:r w:rsidRPr="00403C8A">
        <w:rPr>
          <w:i/>
          <w:sz w:val="22"/>
          <w:szCs w:val="22"/>
          <w:lang w:eastAsia="ko-KR"/>
        </w:rPr>
        <w:t>m</w:t>
      </w:r>
      <w:r w:rsidRPr="00403C8A">
        <w:rPr>
          <w:sz w:val="22"/>
          <w:szCs w:val="22"/>
          <w:lang w:eastAsia="ko-KR"/>
        </w:rPr>
        <w:t>/</w:t>
      </w:r>
      <w:r w:rsidRPr="00403C8A">
        <w:rPr>
          <w:i/>
          <w:sz w:val="22"/>
          <w:szCs w:val="22"/>
          <w:lang w:eastAsia="ko-KR"/>
        </w:rPr>
        <w:t>z</w:t>
      </w:r>
      <w:r w:rsidRPr="00403C8A">
        <w:rPr>
          <w:sz w:val="22"/>
          <w:szCs w:val="22"/>
          <w:lang w:eastAsia="ko-KR"/>
        </w:rPr>
        <w:t xml:space="preserve"> = 32 </w:t>
      </w:r>
      <w:r w:rsidRPr="00403C8A">
        <w:rPr>
          <w:sz w:val="22"/>
          <w:szCs w:val="22"/>
          <w:lang w:eastAsia="ko-KR"/>
        </w:rPr>
        <w:lastRenderedPageBreak/>
        <w:t xml:space="preserve">and </w:t>
      </w:r>
      <w:r w:rsidRPr="00403C8A">
        <w:rPr>
          <w:i/>
          <w:sz w:val="22"/>
          <w:szCs w:val="22"/>
          <w:lang w:eastAsia="ko-KR"/>
        </w:rPr>
        <w:t>m</w:t>
      </w:r>
      <w:r w:rsidRPr="00403C8A">
        <w:rPr>
          <w:sz w:val="22"/>
          <w:szCs w:val="22"/>
          <w:lang w:eastAsia="ko-KR"/>
        </w:rPr>
        <w:t>/</w:t>
      </w:r>
      <w:r w:rsidRPr="00403C8A">
        <w:rPr>
          <w:i/>
          <w:sz w:val="22"/>
          <w:szCs w:val="22"/>
          <w:lang w:eastAsia="ko-KR"/>
        </w:rPr>
        <w:t>z</w:t>
      </w:r>
      <w:r w:rsidRPr="00403C8A">
        <w:rPr>
          <w:sz w:val="22"/>
          <w:szCs w:val="22"/>
          <w:lang w:eastAsia="ko-KR"/>
        </w:rPr>
        <w:t xml:space="preserve"> = 34, respectively. </w:t>
      </w:r>
      <w:r w:rsidRPr="00403C8A">
        <w:rPr>
          <w:sz w:val="22"/>
          <w:szCs w:val="22"/>
        </w:rPr>
        <w:t>The contribution</w:t>
      </w:r>
      <w:r w:rsidRPr="00403C8A">
        <w:rPr>
          <w:sz w:val="22"/>
          <w:szCs w:val="22"/>
          <w:lang w:eastAsia="ko-KR"/>
        </w:rPr>
        <w:t xml:space="preserve"> of blank </w:t>
      </w:r>
      <w:r w:rsidRPr="00403C8A">
        <w:rPr>
          <w:sz w:val="22"/>
          <w:szCs w:val="22"/>
        </w:rPr>
        <w:t xml:space="preserve">for a 2 </w:t>
      </w:r>
      <w:r w:rsidRPr="00403C8A">
        <w:rPr>
          <w:rFonts w:ascii="Symbol" w:hAnsi="Symbol"/>
          <w:sz w:val="22"/>
          <w:szCs w:val="22"/>
        </w:rPr>
        <w:t></w:t>
      </w:r>
      <w:r w:rsidRPr="00403C8A">
        <w:rPr>
          <w:sz w:val="22"/>
          <w:szCs w:val="22"/>
        </w:rPr>
        <w:t>g mL</w:t>
      </w:r>
      <w:r w:rsidRPr="00403C8A">
        <w:rPr>
          <w:sz w:val="22"/>
          <w:szCs w:val="22"/>
          <w:vertAlign w:val="superscript"/>
        </w:rPr>
        <w:t>-1</w:t>
      </w:r>
      <w:r w:rsidRPr="00403C8A">
        <w:rPr>
          <w:sz w:val="22"/>
          <w:szCs w:val="22"/>
        </w:rPr>
        <w:t xml:space="preserve"> S solution is estimated to be approximately 5%</w:t>
      </w:r>
      <w:r w:rsidRPr="00403C8A">
        <w:rPr>
          <w:sz w:val="22"/>
          <w:szCs w:val="22"/>
          <w:lang w:eastAsia="ko-KR"/>
        </w:rPr>
        <w:t xml:space="preserve">. As the blank intensity and the </w:t>
      </w:r>
      <w:r w:rsidRPr="00403C8A">
        <w:rPr>
          <w:rFonts w:eastAsia="Batang"/>
          <w:sz w:val="22"/>
          <w:szCs w:val="22"/>
          <w:lang w:eastAsia="ko-KR"/>
        </w:rPr>
        <w:t xml:space="preserve">instrumental </w:t>
      </w:r>
      <w:r w:rsidRPr="00403C8A">
        <w:rPr>
          <w:sz w:val="22"/>
          <w:szCs w:val="22"/>
          <w:lang w:eastAsia="ko-KR"/>
        </w:rPr>
        <w:t xml:space="preserve">mass </w:t>
      </w:r>
      <w:r w:rsidRPr="00403C8A">
        <w:rPr>
          <w:rFonts w:eastAsia="Batang"/>
          <w:sz w:val="22"/>
          <w:szCs w:val="22"/>
          <w:lang w:eastAsia="ko-KR"/>
        </w:rPr>
        <w:t>discrimination can change during the measurement sequence, a blank1–standard–blank2–sample bracketing procedure was used for the measurements. To correct for mass discrimination, the IAEA-S-1 standard was used, and 1% HNO</w:t>
      </w:r>
      <w:r w:rsidRPr="00403C8A">
        <w:rPr>
          <w:rFonts w:eastAsia="Batang"/>
          <w:sz w:val="22"/>
          <w:szCs w:val="22"/>
          <w:vertAlign w:val="subscript"/>
          <w:lang w:eastAsia="ko-KR"/>
        </w:rPr>
        <w:t xml:space="preserve">3 </w:t>
      </w:r>
      <w:r w:rsidRPr="00403C8A">
        <w:rPr>
          <w:rFonts w:eastAsia="Batang"/>
          <w:sz w:val="22"/>
          <w:szCs w:val="22"/>
          <w:lang w:eastAsia="ko-KR"/>
        </w:rPr>
        <w:t>solution was used for background correction</w:t>
      </w:r>
      <w:r w:rsidRPr="00403C8A">
        <w:rPr>
          <w:sz w:val="22"/>
          <w:szCs w:val="22"/>
          <w:lang w:eastAsia="ko-KR"/>
        </w:rPr>
        <w:t xml:space="preserve">. The sulphur concentration of the standards and samples for the MC-ICP-MS measurement was adjusted to approximately 2 </w:t>
      </w:r>
      <w:r w:rsidRPr="00403C8A">
        <w:rPr>
          <w:rFonts w:ascii="Symbol" w:hAnsi="Symbol"/>
          <w:sz w:val="22"/>
          <w:szCs w:val="22"/>
          <w:lang w:eastAsia="ko-KR"/>
        </w:rPr>
        <w:t></w:t>
      </w:r>
      <w:r w:rsidRPr="00403C8A">
        <w:rPr>
          <w:sz w:val="22"/>
          <w:szCs w:val="22"/>
          <w:lang w:eastAsia="ko-KR"/>
        </w:rPr>
        <w:t>g mL</w:t>
      </w:r>
      <w:r w:rsidRPr="00403C8A">
        <w:rPr>
          <w:sz w:val="22"/>
          <w:szCs w:val="22"/>
          <w:vertAlign w:val="superscript"/>
          <w:lang w:eastAsia="ko-KR"/>
        </w:rPr>
        <w:t>-1</w:t>
      </w:r>
      <w:r w:rsidRPr="00403C8A">
        <w:rPr>
          <w:sz w:val="22"/>
          <w:szCs w:val="22"/>
          <w:lang w:eastAsia="ko-KR"/>
        </w:rPr>
        <w:t xml:space="preserve"> by dilution with 1% HNO</w:t>
      </w:r>
      <w:r w:rsidRPr="00403C8A">
        <w:rPr>
          <w:sz w:val="22"/>
          <w:szCs w:val="22"/>
          <w:vertAlign w:val="subscript"/>
          <w:lang w:eastAsia="ko-KR"/>
        </w:rPr>
        <w:t>3</w:t>
      </w:r>
      <w:r w:rsidRPr="00403C8A">
        <w:rPr>
          <w:sz w:val="22"/>
          <w:szCs w:val="22"/>
          <w:lang w:eastAsia="ko-KR"/>
        </w:rPr>
        <w:t xml:space="preserve">. For the IAEA-S-4 and the separated uranium samples, </w:t>
      </w:r>
      <w:r w:rsidRPr="00403C8A">
        <w:rPr>
          <w:rFonts w:eastAsia="Batang"/>
          <w:sz w:val="22"/>
          <w:szCs w:val="22"/>
          <w:lang w:eastAsia="ko-KR"/>
        </w:rPr>
        <w:t xml:space="preserve">Ag standard solution was added to obtain a final Ag concentration of 27 </w:t>
      </w:r>
      <w:r w:rsidRPr="00403C8A">
        <w:rPr>
          <w:rFonts w:ascii="Symbol" w:eastAsia="Batang" w:hAnsi="Symbol"/>
          <w:sz w:val="22"/>
          <w:szCs w:val="22"/>
          <w:lang w:eastAsia="ko-KR"/>
        </w:rPr>
        <w:t></w:t>
      </w:r>
      <w:r w:rsidRPr="00403C8A">
        <w:rPr>
          <w:rFonts w:eastAsia="Batang"/>
          <w:sz w:val="22"/>
          <w:szCs w:val="22"/>
          <w:lang w:eastAsia="ko-KR"/>
        </w:rPr>
        <w:t>g mL</w:t>
      </w:r>
      <w:r w:rsidRPr="00403C8A">
        <w:rPr>
          <w:rFonts w:eastAsia="Batang"/>
          <w:sz w:val="22"/>
          <w:szCs w:val="22"/>
          <w:vertAlign w:val="superscript"/>
          <w:lang w:eastAsia="ko-KR"/>
        </w:rPr>
        <w:t>-1</w:t>
      </w:r>
      <w:r w:rsidRPr="00403C8A">
        <w:rPr>
          <w:rFonts w:eastAsia="Batang"/>
          <w:sz w:val="22"/>
          <w:szCs w:val="22"/>
          <w:lang w:eastAsia="ko-KR"/>
        </w:rPr>
        <w:t xml:space="preserve"> (equivalent to 4:1 molar ratio of Ag</w:t>
      </w:r>
      <w:r w:rsidRPr="00403C8A">
        <w:rPr>
          <w:rFonts w:eastAsia="Batang"/>
          <w:sz w:val="22"/>
          <w:szCs w:val="22"/>
          <w:vertAlign w:val="superscript"/>
          <w:lang w:eastAsia="ko-KR"/>
        </w:rPr>
        <w:t>+</w:t>
      </w:r>
      <w:r w:rsidRPr="00403C8A">
        <w:rPr>
          <w:rFonts w:eastAsia="Batang"/>
          <w:sz w:val="22"/>
          <w:szCs w:val="22"/>
          <w:lang w:eastAsia="ko-KR"/>
        </w:rPr>
        <w:t>/SO</w:t>
      </w:r>
      <w:r w:rsidRPr="00403C8A">
        <w:rPr>
          <w:rFonts w:eastAsia="Batang"/>
          <w:sz w:val="22"/>
          <w:szCs w:val="22"/>
          <w:vertAlign w:val="subscript"/>
          <w:lang w:eastAsia="ko-KR"/>
        </w:rPr>
        <w:t>4</w:t>
      </w:r>
      <w:r w:rsidRPr="00403C8A">
        <w:rPr>
          <w:rFonts w:eastAsia="Batang"/>
          <w:sz w:val="22"/>
          <w:szCs w:val="22"/>
          <w:vertAlign w:val="superscript"/>
          <w:lang w:eastAsia="ko-KR"/>
        </w:rPr>
        <w:t>2-</w:t>
      </w:r>
      <w:r w:rsidRPr="00403C8A">
        <w:rPr>
          <w:rFonts w:eastAsia="Batang"/>
          <w:sz w:val="22"/>
          <w:szCs w:val="22"/>
          <w:lang w:eastAsia="ko-KR"/>
        </w:rPr>
        <w:t>).</w:t>
      </w:r>
      <w:r w:rsidR="00F851A9" w:rsidRPr="00F851A9">
        <w:rPr>
          <w:rFonts w:eastAsia="Batang"/>
          <w:sz w:val="22"/>
          <w:szCs w:val="22"/>
          <w:lang w:eastAsia="ko-KR"/>
        </w:rPr>
        <w:t xml:space="preserve"> It was found that sulphur can be lost via the applied desolvation system coupled to the MC-ICP-MS, which can be overcome by adding Ag</w:t>
      </w:r>
      <w:r w:rsidR="00F851A9" w:rsidRPr="00F851A9">
        <w:rPr>
          <w:rFonts w:eastAsia="Batang"/>
          <w:sz w:val="22"/>
          <w:szCs w:val="22"/>
          <w:vertAlign w:val="superscript"/>
          <w:lang w:eastAsia="ko-KR"/>
        </w:rPr>
        <w:t>+</w:t>
      </w:r>
      <w:r w:rsidR="00F851A9" w:rsidRPr="00F851A9">
        <w:rPr>
          <w:rFonts w:eastAsia="Batang"/>
          <w:sz w:val="22"/>
          <w:szCs w:val="22"/>
          <w:lang w:eastAsia="ko-KR"/>
        </w:rPr>
        <w:t xml:space="preserve"> to the measured sample. This approach also provides matching the sample to the bracketing standard,</w:t>
      </w:r>
      <w:r w:rsidR="00F851A9">
        <w:rPr>
          <w:rFonts w:eastAsia="Batang"/>
          <w:sz w:val="22"/>
          <w:szCs w:val="22"/>
          <w:lang w:eastAsia="ko-KR"/>
        </w:rPr>
        <w:t xml:space="preserve"> thus assures accurate results</w:t>
      </w:r>
      <w:r w:rsidRPr="00403C8A">
        <w:rPr>
          <w:rFonts w:eastAsia="Batang"/>
          <w:sz w:val="22"/>
          <w:szCs w:val="22"/>
          <w:lang w:eastAsia="ko-KR"/>
        </w:rPr>
        <w:t xml:space="preserve"> </w:t>
      </w:r>
      <w:r>
        <w:rPr>
          <w:rFonts w:eastAsia="Batang"/>
          <w:noProof/>
          <w:sz w:val="22"/>
          <w:szCs w:val="22"/>
          <w:lang w:eastAsia="ko-KR"/>
        </w:rPr>
        <w:t>[11]</w:t>
      </w:r>
      <w:r w:rsidRPr="00403C8A">
        <w:rPr>
          <w:rFonts w:eastAsia="Batang"/>
          <w:sz w:val="22"/>
          <w:szCs w:val="22"/>
          <w:lang w:eastAsia="ko-KR"/>
        </w:rPr>
        <w:t>.</w:t>
      </w:r>
    </w:p>
    <w:p w:rsidR="006962E0" w:rsidRPr="00403C8A" w:rsidRDefault="006962E0" w:rsidP="004337D6">
      <w:pPr>
        <w:pStyle w:val="08ArticleText"/>
        <w:spacing w:line="240" w:lineRule="auto"/>
        <w:rPr>
          <w:sz w:val="22"/>
          <w:szCs w:val="22"/>
          <w:lang w:eastAsia="ko-KR"/>
        </w:rPr>
      </w:pPr>
    </w:p>
    <w:p w:rsidR="006962E0" w:rsidRPr="00380C46" w:rsidRDefault="006962E0" w:rsidP="004337D6">
      <w:pPr>
        <w:pStyle w:val="05BHeading"/>
        <w:spacing w:before="0" w:after="0" w:line="240" w:lineRule="auto"/>
        <w:rPr>
          <w:i/>
          <w:sz w:val="22"/>
          <w:szCs w:val="22"/>
        </w:rPr>
      </w:pPr>
      <w:r w:rsidRPr="00380C46">
        <w:rPr>
          <w:i/>
          <w:sz w:val="22"/>
          <w:szCs w:val="22"/>
        </w:rPr>
        <w:t>2.5. Data evaluation</w:t>
      </w:r>
    </w:p>
    <w:p w:rsidR="006962E0" w:rsidRDefault="006962E0" w:rsidP="004337D6">
      <w:pPr>
        <w:pStyle w:val="08ArticleText"/>
        <w:spacing w:line="240" w:lineRule="auto"/>
        <w:rPr>
          <w:sz w:val="22"/>
          <w:szCs w:val="22"/>
        </w:rPr>
      </w:pPr>
    </w:p>
    <w:p w:rsidR="006962E0" w:rsidRPr="00403C8A" w:rsidRDefault="006962E0" w:rsidP="004337D6">
      <w:pPr>
        <w:pStyle w:val="08ArticleText"/>
        <w:spacing w:line="240" w:lineRule="auto"/>
        <w:rPr>
          <w:sz w:val="22"/>
          <w:szCs w:val="22"/>
        </w:rPr>
      </w:pPr>
      <w:r w:rsidRPr="00403C8A">
        <w:rPr>
          <w:sz w:val="22"/>
          <w:szCs w:val="22"/>
        </w:rPr>
        <w:t xml:space="preserve">The measured raw intensities were corrected for the background using the preceding blank sample. Then the obtained net </w:t>
      </w:r>
      <w:r w:rsidRPr="00403C8A">
        <w:rPr>
          <w:sz w:val="22"/>
          <w:szCs w:val="22"/>
          <w:vertAlign w:val="superscript"/>
        </w:rPr>
        <w:t>34</w:t>
      </w:r>
      <w:r w:rsidRPr="00403C8A">
        <w:rPr>
          <w:sz w:val="22"/>
          <w:szCs w:val="22"/>
        </w:rPr>
        <w:t>S/</w:t>
      </w:r>
      <w:r w:rsidRPr="00403C8A">
        <w:rPr>
          <w:sz w:val="22"/>
          <w:szCs w:val="22"/>
          <w:vertAlign w:val="superscript"/>
        </w:rPr>
        <w:t>32</w:t>
      </w:r>
      <w:r w:rsidRPr="00403C8A">
        <w:rPr>
          <w:sz w:val="22"/>
          <w:szCs w:val="22"/>
        </w:rPr>
        <w:t xml:space="preserve">S isotope ratio of the sample was corrected for the instrumental mass discrimination using the bracketing IAEA-S-1 standard (external standardisation). For the correction the </w:t>
      </w:r>
      <w:r w:rsidRPr="00403C8A">
        <w:rPr>
          <w:sz w:val="22"/>
          <w:szCs w:val="22"/>
          <w:vertAlign w:val="superscript"/>
        </w:rPr>
        <w:t>34</w:t>
      </w:r>
      <w:r w:rsidRPr="00403C8A">
        <w:rPr>
          <w:sz w:val="22"/>
          <w:szCs w:val="22"/>
        </w:rPr>
        <w:t>S/</w:t>
      </w:r>
      <w:r w:rsidRPr="00403C8A">
        <w:rPr>
          <w:sz w:val="22"/>
          <w:szCs w:val="22"/>
          <w:vertAlign w:val="superscript"/>
        </w:rPr>
        <w:t>32</w:t>
      </w:r>
      <w:r w:rsidRPr="00403C8A">
        <w:rPr>
          <w:sz w:val="22"/>
          <w:szCs w:val="22"/>
        </w:rPr>
        <w:t xml:space="preserve">S isotope abundance ratio of the IAEA-S-1 is 0.0441493 ± 0.0000080 </w:t>
      </w:r>
      <w:r w:rsidRPr="00403C8A">
        <w:rPr>
          <w:sz w:val="22"/>
          <w:szCs w:val="22"/>
          <w:lang w:eastAsia="ko-KR"/>
        </w:rPr>
        <w:t>(</w:t>
      </w:r>
      <w:r w:rsidRPr="00403C8A">
        <w:rPr>
          <w:i/>
          <w:sz w:val="22"/>
          <w:szCs w:val="22"/>
          <w:lang w:eastAsia="ko-KR"/>
        </w:rPr>
        <w:t>k</w:t>
      </w:r>
      <w:r w:rsidRPr="00403C8A">
        <w:rPr>
          <w:sz w:val="22"/>
          <w:szCs w:val="22"/>
          <w:lang w:eastAsia="ko-KR"/>
        </w:rPr>
        <w:t xml:space="preserve"> = 2) </w:t>
      </w:r>
      <w:r w:rsidRPr="00403C8A">
        <w:rPr>
          <w:sz w:val="22"/>
          <w:szCs w:val="22"/>
        </w:rPr>
        <w:t>used</w:t>
      </w:r>
      <w:r>
        <w:rPr>
          <w:sz w:val="22"/>
          <w:szCs w:val="22"/>
        </w:rPr>
        <w:t xml:space="preserve"> </w:t>
      </w:r>
      <w:r>
        <w:rPr>
          <w:noProof/>
          <w:sz w:val="22"/>
          <w:szCs w:val="22"/>
        </w:rPr>
        <w:t>[8]</w:t>
      </w:r>
      <w:r w:rsidRPr="00403C8A">
        <w:rPr>
          <w:sz w:val="22"/>
          <w:szCs w:val="22"/>
        </w:rPr>
        <w:t>.</w:t>
      </w:r>
      <w:r>
        <w:rPr>
          <w:sz w:val="22"/>
          <w:szCs w:val="22"/>
        </w:rPr>
        <w:t xml:space="preserve"> </w:t>
      </w:r>
      <w:r w:rsidRPr="00403C8A">
        <w:rPr>
          <w:sz w:val="22"/>
          <w:szCs w:val="22"/>
        </w:rPr>
        <w:t xml:space="preserve">Finally, the </w:t>
      </w:r>
      <w:r w:rsidRPr="00403C8A">
        <w:rPr>
          <w:rFonts w:ascii="Symbol" w:hAnsi="Symbol"/>
          <w:sz w:val="22"/>
          <w:szCs w:val="22"/>
        </w:rPr>
        <w:t></w:t>
      </w:r>
      <w:r w:rsidRPr="00403C8A">
        <w:rPr>
          <w:sz w:val="22"/>
          <w:szCs w:val="22"/>
          <w:vertAlign w:val="superscript"/>
        </w:rPr>
        <w:t>34</w:t>
      </w:r>
      <w:r w:rsidRPr="00403C8A">
        <w:rPr>
          <w:sz w:val="22"/>
          <w:szCs w:val="22"/>
        </w:rPr>
        <w:t xml:space="preserve">S values related to the V-CDT scale were calculated using </w:t>
      </w:r>
      <w:r>
        <w:rPr>
          <w:sz w:val="22"/>
          <w:szCs w:val="22"/>
        </w:rPr>
        <w:t>Equation</w:t>
      </w:r>
      <w:r w:rsidRPr="00403C8A">
        <w:rPr>
          <w:sz w:val="22"/>
          <w:szCs w:val="22"/>
        </w:rPr>
        <w:t xml:space="preserve"> (1). Three replicates were measured for each sample. For the estimation of the measurement uncertainty the ISO GUM (Guide to the Expression of Uncertainty in Measurements) approach was adapted. The calculation was performed </w:t>
      </w:r>
      <w:r>
        <w:rPr>
          <w:sz w:val="22"/>
          <w:szCs w:val="22"/>
        </w:rPr>
        <w:t>with the GUM Workbench software.</w:t>
      </w:r>
      <w:r w:rsidRPr="00403C8A">
        <w:rPr>
          <w:sz w:val="22"/>
          <w:szCs w:val="22"/>
        </w:rPr>
        <w:t xml:space="preserve"> The model developed was based on </w:t>
      </w:r>
      <w:r>
        <w:rPr>
          <w:sz w:val="22"/>
          <w:szCs w:val="22"/>
        </w:rPr>
        <w:t>Equation (1)</w:t>
      </w:r>
      <w:r w:rsidRPr="00403C8A">
        <w:rPr>
          <w:sz w:val="22"/>
          <w:szCs w:val="22"/>
        </w:rPr>
        <w:t xml:space="preserve">, taking into account the uncertainty contributions from the measured </w:t>
      </w:r>
      <w:r w:rsidRPr="00403C8A">
        <w:rPr>
          <w:i/>
          <w:sz w:val="22"/>
          <w:szCs w:val="22"/>
          <w:lang w:eastAsia="hu-HU"/>
        </w:rPr>
        <w:t>n</w:t>
      </w:r>
      <w:r w:rsidRPr="00403C8A">
        <w:rPr>
          <w:sz w:val="22"/>
          <w:szCs w:val="22"/>
          <w:lang w:eastAsia="hu-HU"/>
        </w:rPr>
        <w:t>(</w:t>
      </w:r>
      <w:r w:rsidRPr="00403C8A">
        <w:rPr>
          <w:sz w:val="22"/>
          <w:szCs w:val="22"/>
          <w:vertAlign w:val="superscript"/>
          <w:lang w:eastAsia="hu-HU"/>
        </w:rPr>
        <w:t>34</w:t>
      </w:r>
      <w:r w:rsidRPr="00403C8A">
        <w:rPr>
          <w:sz w:val="22"/>
          <w:szCs w:val="22"/>
          <w:lang w:eastAsia="hu-HU"/>
        </w:rPr>
        <w:t>S)/</w:t>
      </w:r>
      <w:r w:rsidRPr="00403C8A">
        <w:rPr>
          <w:i/>
          <w:sz w:val="22"/>
          <w:szCs w:val="22"/>
          <w:lang w:eastAsia="hu-HU"/>
        </w:rPr>
        <w:t>n</w:t>
      </w:r>
      <w:r w:rsidRPr="00403C8A">
        <w:rPr>
          <w:sz w:val="22"/>
          <w:szCs w:val="22"/>
          <w:lang w:eastAsia="hu-HU"/>
        </w:rPr>
        <w:t>(</w:t>
      </w:r>
      <w:r w:rsidRPr="00403C8A">
        <w:rPr>
          <w:sz w:val="22"/>
          <w:szCs w:val="22"/>
          <w:vertAlign w:val="superscript"/>
          <w:lang w:eastAsia="hu-HU"/>
        </w:rPr>
        <w:t>32</w:t>
      </w:r>
      <w:r w:rsidRPr="00403C8A">
        <w:rPr>
          <w:sz w:val="22"/>
          <w:szCs w:val="22"/>
          <w:lang w:eastAsia="hu-HU"/>
        </w:rPr>
        <w:t xml:space="preserve">S) </w:t>
      </w:r>
      <w:r w:rsidRPr="00403C8A">
        <w:rPr>
          <w:sz w:val="22"/>
          <w:szCs w:val="22"/>
        </w:rPr>
        <w:t xml:space="preserve">isotope ratios of the IAEA-S-1 bracketing standard and the sample, the isotope abundance ratio of the IAEA-S-1 (0.0441493 ± 0.0000080, </w:t>
      </w:r>
      <w:r w:rsidRPr="00403C8A">
        <w:rPr>
          <w:i/>
          <w:sz w:val="22"/>
          <w:szCs w:val="22"/>
          <w:lang w:eastAsia="ko-KR"/>
        </w:rPr>
        <w:t>k</w:t>
      </w:r>
      <w:r w:rsidRPr="00403C8A">
        <w:rPr>
          <w:sz w:val="22"/>
          <w:szCs w:val="22"/>
          <w:lang w:eastAsia="ko-KR"/>
        </w:rPr>
        <w:t xml:space="preserve"> = 2), and the uncertainty of the assigned V-CDT </w:t>
      </w:r>
      <w:r w:rsidRPr="00403C8A">
        <w:rPr>
          <w:rFonts w:ascii="Symbol" w:hAnsi="Symbol"/>
          <w:sz w:val="22"/>
          <w:szCs w:val="22"/>
        </w:rPr>
        <w:t></w:t>
      </w:r>
      <w:r w:rsidRPr="00403C8A">
        <w:rPr>
          <w:sz w:val="22"/>
          <w:szCs w:val="22"/>
          <w:vertAlign w:val="superscript"/>
        </w:rPr>
        <w:t>34</w:t>
      </w:r>
      <w:r w:rsidRPr="00403C8A">
        <w:rPr>
          <w:sz w:val="22"/>
          <w:szCs w:val="22"/>
        </w:rPr>
        <w:t>S value</w:t>
      </w:r>
      <w:r w:rsidRPr="00403C8A">
        <w:rPr>
          <w:sz w:val="22"/>
          <w:szCs w:val="22"/>
          <w:lang w:eastAsia="ko-KR"/>
        </w:rPr>
        <w:t xml:space="preserve"> (0.0441626 ± 0.0000078, </w:t>
      </w:r>
      <w:r w:rsidRPr="00403C8A">
        <w:rPr>
          <w:i/>
          <w:sz w:val="22"/>
          <w:szCs w:val="22"/>
          <w:lang w:eastAsia="ko-KR"/>
        </w:rPr>
        <w:t>k</w:t>
      </w:r>
      <w:r>
        <w:rPr>
          <w:sz w:val="22"/>
          <w:szCs w:val="22"/>
          <w:lang w:eastAsia="ko-KR"/>
        </w:rPr>
        <w:t xml:space="preserve"> = 2) </w:t>
      </w:r>
      <w:r>
        <w:rPr>
          <w:noProof/>
          <w:sz w:val="22"/>
          <w:szCs w:val="22"/>
          <w:lang w:eastAsia="ko-KR"/>
        </w:rPr>
        <w:t>[8]</w:t>
      </w:r>
      <w:r>
        <w:rPr>
          <w:sz w:val="22"/>
          <w:szCs w:val="22"/>
          <w:lang w:eastAsia="ko-KR"/>
        </w:rPr>
        <w:t>.</w:t>
      </w:r>
      <w:r w:rsidRPr="00403C8A">
        <w:rPr>
          <w:sz w:val="22"/>
          <w:szCs w:val="22"/>
          <w:lang w:eastAsia="ko-KR"/>
        </w:rPr>
        <w:t xml:space="preserve"> All uncertainties are reported as expanded uncertainties (</w:t>
      </w:r>
      <w:r w:rsidRPr="00403C8A">
        <w:rPr>
          <w:i/>
          <w:sz w:val="22"/>
          <w:szCs w:val="22"/>
          <w:lang w:eastAsia="ko-KR"/>
        </w:rPr>
        <w:t>U</w:t>
      </w:r>
      <w:r w:rsidRPr="00403C8A">
        <w:rPr>
          <w:sz w:val="22"/>
          <w:szCs w:val="22"/>
          <w:lang w:eastAsia="ko-KR"/>
        </w:rPr>
        <w:t xml:space="preserve">) with a coverage factor </w:t>
      </w:r>
      <w:r w:rsidRPr="00403C8A">
        <w:rPr>
          <w:i/>
          <w:sz w:val="22"/>
          <w:szCs w:val="22"/>
          <w:lang w:eastAsia="ko-KR"/>
        </w:rPr>
        <w:t>k</w:t>
      </w:r>
      <w:r w:rsidRPr="00403C8A">
        <w:rPr>
          <w:sz w:val="22"/>
          <w:szCs w:val="22"/>
          <w:lang w:eastAsia="ko-KR"/>
        </w:rPr>
        <w:t xml:space="preserve"> = 2.  </w:t>
      </w:r>
      <w:r w:rsidRPr="00403C8A">
        <w:rPr>
          <w:sz w:val="22"/>
          <w:szCs w:val="22"/>
        </w:rPr>
        <w:t xml:space="preserve">       </w:t>
      </w:r>
    </w:p>
    <w:p w:rsidR="006962E0" w:rsidRDefault="006962E0" w:rsidP="004337D6">
      <w:pPr>
        <w:pStyle w:val="BodyText"/>
        <w:spacing w:after="0" w:line="240" w:lineRule="auto"/>
        <w:rPr>
          <w:szCs w:val="22"/>
        </w:rPr>
      </w:pPr>
    </w:p>
    <w:p w:rsidR="006962E0" w:rsidRPr="0039417B" w:rsidRDefault="006962E0" w:rsidP="004337D6">
      <w:pPr>
        <w:pStyle w:val="BodyText"/>
        <w:spacing w:after="0" w:line="240" w:lineRule="auto"/>
        <w:rPr>
          <w:b/>
          <w:szCs w:val="22"/>
        </w:rPr>
      </w:pPr>
      <w:r w:rsidRPr="0039417B">
        <w:rPr>
          <w:b/>
          <w:szCs w:val="22"/>
        </w:rPr>
        <w:t>3. Results and discussion</w:t>
      </w:r>
    </w:p>
    <w:p w:rsidR="006962E0" w:rsidRPr="00403C8A" w:rsidRDefault="006962E0" w:rsidP="004337D6">
      <w:pPr>
        <w:pStyle w:val="BodyText"/>
        <w:spacing w:after="0" w:line="240" w:lineRule="auto"/>
        <w:rPr>
          <w:szCs w:val="22"/>
        </w:rPr>
      </w:pPr>
    </w:p>
    <w:p w:rsidR="006962E0" w:rsidRPr="00380C46" w:rsidRDefault="006962E0" w:rsidP="004337D6">
      <w:pPr>
        <w:pStyle w:val="05BHeading"/>
        <w:spacing w:before="0" w:after="0" w:line="240" w:lineRule="auto"/>
        <w:rPr>
          <w:i/>
          <w:sz w:val="22"/>
          <w:szCs w:val="22"/>
        </w:rPr>
      </w:pPr>
      <w:r w:rsidRPr="00380C46">
        <w:rPr>
          <w:i/>
          <w:sz w:val="22"/>
          <w:szCs w:val="22"/>
        </w:rPr>
        <w:t>3.</w:t>
      </w:r>
      <w:r>
        <w:rPr>
          <w:i/>
          <w:sz w:val="22"/>
          <w:szCs w:val="22"/>
        </w:rPr>
        <w:t>1</w:t>
      </w:r>
      <w:proofErr w:type="gramStart"/>
      <w:r w:rsidRPr="00380C46">
        <w:rPr>
          <w:i/>
          <w:sz w:val="22"/>
          <w:szCs w:val="22"/>
        </w:rPr>
        <w:t>.</w:t>
      </w:r>
      <w:r w:rsidR="00720750">
        <w:rPr>
          <w:i/>
          <w:sz w:val="22"/>
          <w:szCs w:val="22"/>
        </w:rPr>
        <w:t>The</w:t>
      </w:r>
      <w:proofErr w:type="gramEnd"/>
      <w:r w:rsidR="00720750">
        <w:rPr>
          <w:i/>
          <w:sz w:val="22"/>
          <w:szCs w:val="22"/>
        </w:rPr>
        <w:t xml:space="preserve"> </w:t>
      </w:r>
      <w:r>
        <w:rPr>
          <w:i/>
          <w:sz w:val="22"/>
          <w:szCs w:val="22"/>
        </w:rPr>
        <w:t>n(</w:t>
      </w:r>
      <w:r w:rsidRPr="00380C46">
        <w:rPr>
          <w:i/>
          <w:sz w:val="22"/>
          <w:szCs w:val="22"/>
        </w:rPr>
        <w:t xml:space="preserve"> </w:t>
      </w:r>
      <w:r w:rsidRPr="00380C46">
        <w:rPr>
          <w:i/>
          <w:sz w:val="22"/>
          <w:szCs w:val="22"/>
          <w:vertAlign w:val="superscript"/>
        </w:rPr>
        <w:t>34</w:t>
      </w:r>
      <w:r w:rsidRPr="00380C46">
        <w:rPr>
          <w:i/>
          <w:sz w:val="22"/>
          <w:szCs w:val="22"/>
        </w:rPr>
        <w:t>S</w:t>
      </w:r>
      <w:r>
        <w:rPr>
          <w:i/>
          <w:sz w:val="22"/>
          <w:szCs w:val="22"/>
        </w:rPr>
        <w:t>)/n(</w:t>
      </w:r>
      <w:r w:rsidRPr="00380C46">
        <w:rPr>
          <w:i/>
          <w:sz w:val="22"/>
          <w:szCs w:val="22"/>
          <w:vertAlign w:val="superscript"/>
        </w:rPr>
        <w:t>32</w:t>
      </w:r>
      <w:r w:rsidRPr="00380C46">
        <w:rPr>
          <w:i/>
          <w:sz w:val="22"/>
          <w:szCs w:val="22"/>
        </w:rPr>
        <w:t>S</w:t>
      </w:r>
      <w:r>
        <w:rPr>
          <w:i/>
          <w:sz w:val="22"/>
          <w:szCs w:val="22"/>
        </w:rPr>
        <w:t>)</w:t>
      </w:r>
      <w:r w:rsidRPr="00380C46">
        <w:rPr>
          <w:i/>
          <w:sz w:val="22"/>
          <w:szCs w:val="22"/>
        </w:rPr>
        <w:t xml:space="preserve"> ratio in nuclear materials</w:t>
      </w:r>
    </w:p>
    <w:p w:rsidR="006962E0" w:rsidRDefault="006962E0" w:rsidP="004337D6">
      <w:pPr>
        <w:pStyle w:val="08ArticleText"/>
        <w:spacing w:line="240" w:lineRule="auto"/>
        <w:rPr>
          <w:sz w:val="22"/>
          <w:szCs w:val="22"/>
        </w:rPr>
      </w:pPr>
    </w:p>
    <w:p w:rsidR="006962E0" w:rsidRPr="00403C8A" w:rsidRDefault="006962E0" w:rsidP="004337D6">
      <w:pPr>
        <w:pStyle w:val="08ArticleText"/>
        <w:spacing w:line="240" w:lineRule="auto"/>
        <w:rPr>
          <w:sz w:val="22"/>
          <w:szCs w:val="22"/>
        </w:rPr>
      </w:pPr>
      <w:r w:rsidRPr="00403C8A">
        <w:rPr>
          <w:sz w:val="22"/>
          <w:szCs w:val="22"/>
        </w:rPr>
        <w:t>The developed method was applied for the measurement of uranium ore concentrates. The</w:t>
      </w:r>
      <w:r w:rsidRPr="00EB5457">
        <w:rPr>
          <w:i/>
          <w:sz w:val="22"/>
          <w:szCs w:val="22"/>
          <w:lang w:eastAsia="hu-HU"/>
        </w:rPr>
        <w:t xml:space="preserve"> </w:t>
      </w:r>
      <w:proofErr w:type="gramStart"/>
      <w:r w:rsidRPr="00403C8A">
        <w:rPr>
          <w:i/>
          <w:sz w:val="22"/>
          <w:szCs w:val="22"/>
          <w:lang w:eastAsia="hu-HU"/>
        </w:rPr>
        <w:t>n</w:t>
      </w:r>
      <w:r w:rsidRPr="00403C8A">
        <w:rPr>
          <w:sz w:val="22"/>
          <w:szCs w:val="22"/>
          <w:lang w:eastAsia="hu-HU"/>
        </w:rPr>
        <w:t>(</w:t>
      </w:r>
      <w:proofErr w:type="gramEnd"/>
      <w:r w:rsidRPr="00403C8A">
        <w:rPr>
          <w:sz w:val="22"/>
          <w:szCs w:val="22"/>
          <w:vertAlign w:val="superscript"/>
          <w:lang w:eastAsia="hu-HU"/>
        </w:rPr>
        <w:t>34</w:t>
      </w:r>
      <w:r w:rsidRPr="00403C8A">
        <w:rPr>
          <w:sz w:val="22"/>
          <w:szCs w:val="22"/>
          <w:lang w:eastAsia="hu-HU"/>
        </w:rPr>
        <w:t>S)/</w:t>
      </w:r>
      <w:r w:rsidRPr="00403C8A">
        <w:rPr>
          <w:i/>
          <w:sz w:val="22"/>
          <w:szCs w:val="22"/>
          <w:lang w:eastAsia="hu-HU"/>
        </w:rPr>
        <w:t>n</w:t>
      </w:r>
      <w:r w:rsidRPr="00403C8A">
        <w:rPr>
          <w:sz w:val="22"/>
          <w:szCs w:val="22"/>
          <w:lang w:eastAsia="hu-HU"/>
        </w:rPr>
        <w:t>(</w:t>
      </w:r>
      <w:r w:rsidRPr="00403C8A">
        <w:rPr>
          <w:sz w:val="22"/>
          <w:szCs w:val="22"/>
          <w:vertAlign w:val="superscript"/>
          <w:lang w:eastAsia="hu-HU"/>
        </w:rPr>
        <w:t>32</w:t>
      </w:r>
      <w:r w:rsidRPr="00403C8A">
        <w:rPr>
          <w:sz w:val="22"/>
          <w:szCs w:val="22"/>
          <w:lang w:eastAsia="hu-HU"/>
        </w:rPr>
        <w:t xml:space="preserve">S) </w:t>
      </w:r>
      <w:r w:rsidRPr="00403C8A">
        <w:rPr>
          <w:sz w:val="22"/>
          <w:szCs w:val="22"/>
        </w:rPr>
        <w:t xml:space="preserve"> results are</w:t>
      </w:r>
      <w:r>
        <w:rPr>
          <w:sz w:val="22"/>
          <w:szCs w:val="22"/>
        </w:rPr>
        <w:t xml:space="preserve"> collected in Table I and</w:t>
      </w:r>
      <w:r w:rsidRPr="00403C8A">
        <w:rPr>
          <w:sz w:val="22"/>
          <w:szCs w:val="22"/>
        </w:rPr>
        <w:t xml:space="preserve"> </w:t>
      </w:r>
      <w:r>
        <w:rPr>
          <w:sz w:val="22"/>
          <w:szCs w:val="22"/>
        </w:rPr>
        <w:t>shown</w:t>
      </w:r>
      <w:r w:rsidRPr="00403C8A">
        <w:rPr>
          <w:sz w:val="22"/>
          <w:szCs w:val="22"/>
        </w:rPr>
        <w:t xml:space="preserve"> in Fig</w:t>
      </w:r>
      <w:r>
        <w:rPr>
          <w:sz w:val="22"/>
          <w:szCs w:val="22"/>
        </w:rPr>
        <w:t>ure</w:t>
      </w:r>
      <w:r w:rsidRPr="00403C8A">
        <w:rPr>
          <w:sz w:val="22"/>
          <w:szCs w:val="22"/>
        </w:rPr>
        <w:t xml:space="preserve"> </w:t>
      </w:r>
      <w:r>
        <w:rPr>
          <w:sz w:val="22"/>
          <w:szCs w:val="22"/>
        </w:rPr>
        <w:t>1</w:t>
      </w:r>
      <w:r w:rsidRPr="00403C8A">
        <w:rPr>
          <w:sz w:val="22"/>
          <w:szCs w:val="22"/>
        </w:rPr>
        <w:t xml:space="preserve"> together with the sulphate concentrations measured by ion chromatography</w:t>
      </w:r>
      <w:r>
        <w:rPr>
          <w:sz w:val="22"/>
          <w:szCs w:val="22"/>
        </w:rPr>
        <w:t xml:space="preserve"> </w:t>
      </w:r>
      <w:r>
        <w:rPr>
          <w:noProof/>
          <w:sz w:val="22"/>
          <w:szCs w:val="22"/>
        </w:rPr>
        <w:t>[11]</w:t>
      </w:r>
      <w:r w:rsidRPr="00403C8A">
        <w:rPr>
          <w:sz w:val="22"/>
          <w:szCs w:val="22"/>
        </w:rPr>
        <w:t xml:space="preserve">. Clear differences in the </w:t>
      </w:r>
      <w:r w:rsidRPr="00403C8A">
        <w:rPr>
          <w:rFonts w:ascii="Symbol" w:hAnsi="Symbol"/>
          <w:sz w:val="22"/>
          <w:szCs w:val="22"/>
        </w:rPr>
        <w:t></w:t>
      </w:r>
      <w:r w:rsidRPr="00403C8A">
        <w:rPr>
          <w:sz w:val="22"/>
          <w:szCs w:val="22"/>
          <w:vertAlign w:val="superscript"/>
        </w:rPr>
        <w:t>34</w:t>
      </w:r>
      <w:r w:rsidRPr="00403C8A">
        <w:rPr>
          <w:sz w:val="22"/>
          <w:szCs w:val="22"/>
        </w:rPr>
        <w:t xml:space="preserve">S values of the uranium ore concentrates can be observed. As the </w:t>
      </w:r>
      <w:r w:rsidRPr="00403C8A">
        <w:rPr>
          <w:rFonts w:ascii="Symbol" w:hAnsi="Symbol"/>
          <w:sz w:val="22"/>
          <w:szCs w:val="22"/>
        </w:rPr>
        <w:t></w:t>
      </w:r>
      <w:r w:rsidRPr="00403C8A">
        <w:rPr>
          <w:sz w:val="22"/>
          <w:szCs w:val="22"/>
          <w:vertAlign w:val="superscript"/>
        </w:rPr>
        <w:t>34</w:t>
      </w:r>
      <w:r w:rsidRPr="00403C8A">
        <w:rPr>
          <w:sz w:val="22"/>
          <w:szCs w:val="22"/>
        </w:rPr>
        <w:t xml:space="preserve">S value differs in several cases from the reported average </w:t>
      </w:r>
      <w:r w:rsidRPr="00403C8A">
        <w:rPr>
          <w:rFonts w:ascii="Symbol" w:hAnsi="Symbol"/>
          <w:sz w:val="22"/>
          <w:szCs w:val="22"/>
        </w:rPr>
        <w:t></w:t>
      </w:r>
      <w:r w:rsidRPr="00403C8A">
        <w:rPr>
          <w:sz w:val="22"/>
          <w:szCs w:val="22"/>
          <w:vertAlign w:val="superscript"/>
        </w:rPr>
        <w:t>34</w:t>
      </w:r>
      <w:r w:rsidR="00F10CC8">
        <w:rPr>
          <w:sz w:val="22"/>
          <w:szCs w:val="22"/>
        </w:rPr>
        <w:t>S value of</w:t>
      </w:r>
      <w:r w:rsidRPr="00403C8A">
        <w:rPr>
          <w:sz w:val="22"/>
          <w:szCs w:val="22"/>
        </w:rPr>
        <w:t xml:space="preserve"> sulphuric acid (-5 to +15 </w:t>
      </w:r>
      <w:r w:rsidRPr="00403C8A">
        <w:rPr>
          <w:sz w:val="22"/>
          <w:szCs w:val="22"/>
          <w:lang w:eastAsia="ko-KR"/>
        </w:rPr>
        <w:t>‰</w:t>
      </w:r>
      <w:r>
        <w:rPr>
          <w:sz w:val="22"/>
          <w:szCs w:val="22"/>
          <w:lang w:eastAsia="ko-KR"/>
        </w:rPr>
        <w:t>)</w:t>
      </w:r>
      <w:r w:rsidRPr="00403C8A">
        <w:rPr>
          <w:sz w:val="22"/>
          <w:szCs w:val="22"/>
        </w:rPr>
        <w:t xml:space="preserve">, it suggests that the sulphur content of the uranium ore can significantly contribute to the sulphur content of the final product, thus the measured  </w:t>
      </w:r>
      <w:r w:rsidRPr="00403C8A">
        <w:rPr>
          <w:rFonts w:ascii="Symbol" w:hAnsi="Symbol"/>
          <w:sz w:val="22"/>
          <w:szCs w:val="22"/>
        </w:rPr>
        <w:t></w:t>
      </w:r>
      <w:r w:rsidRPr="00403C8A">
        <w:rPr>
          <w:sz w:val="22"/>
          <w:szCs w:val="22"/>
          <w:vertAlign w:val="superscript"/>
        </w:rPr>
        <w:t>34</w:t>
      </w:r>
      <w:r w:rsidRPr="00403C8A">
        <w:rPr>
          <w:sz w:val="22"/>
          <w:szCs w:val="22"/>
        </w:rPr>
        <w:t xml:space="preserve">S value is indicative of the uranium ore. Since the </w:t>
      </w:r>
      <w:r w:rsidRPr="00403C8A">
        <w:rPr>
          <w:rFonts w:ascii="Symbol" w:hAnsi="Symbol"/>
          <w:sz w:val="22"/>
          <w:szCs w:val="22"/>
        </w:rPr>
        <w:t></w:t>
      </w:r>
      <w:r w:rsidRPr="00403C8A">
        <w:rPr>
          <w:sz w:val="22"/>
          <w:szCs w:val="22"/>
          <w:vertAlign w:val="superscript"/>
        </w:rPr>
        <w:t>34</w:t>
      </w:r>
      <w:r w:rsidRPr="00403C8A">
        <w:rPr>
          <w:sz w:val="22"/>
          <w:szCs w:val="22"/>
        </w:rPr>
        <w:t>S values of several samples from different origin overlap, the sulphur isotopic composition can be used only as a comparative signature for the origin assessment, i.e. to use the parameter to verify or exclude of an assumed (declared) origin of a nuclear material by the measurement of a comparison sample.</w:t>
      </w:r>
      <w:r>
        <w:rPr>
          <w:sz w:val="22"/>
          <w:szCs w:val="22"/>
        </w:rPr>
        <w:t xml:space="preserve"> </w:t>
      </w:r>
      <w:r w:rsidRPr="00403C8A">
        <w:rPr>
          <w:sz w:val="22"/>
          <w:szCs w:val="22"/>
        </w:rPr>
        <w:t xml:space="preserve">Moreover, in a few cases the </w:t>
      </w:r>
      <w:r w:rsidRPr="00403C8A">
        <w:rPr>
          <w:rFonts w:ascii="Symbol" w:hAnsi="Symbol"/>
          <w:sz w:val="22"/>
          <w:szCs w:val="22"/>
        </w:rPr>
        <w:t></w:t>
      </w:r>
      <w:r w:rsidRPr="00403C8A">
        <w:rPr>
          <w:sz w:val="22"/>
          <w:szCs w:val="22"/>
          <w:vertAlign w:val="superscript"/>
        </w:rPr>
        <w:t>34</w:t>
      </w:r>
      <w:r w:rsidRPr="00403C8A">
        <w:rPr>
          <w:sz w:val="22"/>
          <w:szCs w:val="22"/>
        </w:rPr>
        <w:t xml:space="preserve">S values can indicate a predictive nature: the El Mesquite, Crow Butte and US Mobile samples are milled by in-situ leaching from sandstone-type deposit using carbonate </w:t>
      </w:r>
      <w:proofErr w:type="spellStart"/>
      <w:r w:rsidRPr="00403C8A">
        <w:rPr>
          <w:sz w:val="22"/>
          <w:szCs w:val="22"/>
        </w:rPr>
        <w:t>lixiviant</w:t>
      </w:r>
      <w:proofErr w:type="spellEnd"/>
      <w:r w:rsidRPr="00403C8A">
        <w:rPr>
          <w:sz w:val="22"/>
          <w:szCs w:val="22"/>
        </w:rPr>
        <w:t>, followed by ion exchange separation. As sulphuric acid is not used in these processes in high amount compared to other metallurgical processes (e.g. acidic leaching with H</w:t>
      </w:r>
      <w:r w:rsidRPr="00403C8A">
        <w:rPr>
          <w:sz w:val="22"/>
          <w:szCs w:val="22"/>
          <w:vertAlign w:val="subscript"/>
        </w:rPr>
        <w:t>2</w:t>
      </w:r>
      <w:r w:rsidRPr="00403C8A">
        <w:rPr>
          <w:sz w:val="22"/>
          <w:szCs w:val="22"/>
        </w:rPr>
        <w:t>SO</w:t>
      </w:r>
      <w:r w:rsidRPr="00403C8A">
        <w:rPr>
          <w:sz w:val="22"/>
          <w:szCs w:val="22"/>
          <w:vertAlign w:val="subscript"/>
        </w:rPr>
        <w:t>4</w:t>
      </w:r>
      <w:r w:rsidRPr="00403C8A">
        <w:rPr>
          <w:sz w:val="22"/>
          <w:szCs w:val="22"/>
        </w:rPr>
        <w:t>, or use of H</w:t>
      </w:r>
      <w:r w:rsidRPr="00403C8A">
        <w:rPr>
          <w:sz w:val="22"/>
          <w:szCs w:val="22"/>
          <w:vertAlign w:val="subscript"/>
        </w:rPr>
        <w:t>2</w:t>
      </w:r>
      <w:r w:rsidRPr="00403C8A">
        <w:rPr>
          <w:sz w:val="22"/>
          <w:szCs w:val="22"/>
        </w:rPr>
        <w:t>SO</w:t>
      </w:r>
      <w:r w:rsidRPr="00403C8A">
        <w:rPr>
          <w:sz w:val="22"/>
          <w:szCs w:val="22"/>
          <w:vertAlign w:val="subscript"/>
        </w:rPr>
        <w:t>4</w:t>
      </w:r>
      <w:r w:rsidRPr="00403C8A">
        <w:rPr>
          <w:sz w:val="22"/>
          <w:szCs w:val="22"/>
        </w:rPr>
        <w:t xml:space="preserve"> for the solvent extraction purification), and the sulphide minerals associated with sandstone-type uranium have significantly low </w:t>
      </w:r>
      <w:r w:rsidRPr="00403C8A">
        <w:rPr>
          <w:rFonts w:ascii="Symbol" w:hAnsi="Symbol"/>
          <w:sz w:val="22"/>
          <w:szCs w:val="22"/>
        </w:rPr>
        <w:t></w:t>
      </w:r>
      <w:r w:rsidRPr="00403C8A">
        <w:rPr>
          <w:sz w:val="22"/>
          <w:szCs w:val="22"/>
          <w:vertAlign w:val="superscript"/>
        </w:rPr>
        <w:t>34</w:t>
      </w:r>
      <w:r w:rsidRPr="00403C8A">
        <w:rPr>
          <w:sz w:val="22"/>
          <w:szCs w:val="22"/>
        </w:rPr>
        <w:t>S values</w:t>
      </w:r>
      <w:r w:rsidRPr="00403C8A">
        <w:rPr>
          <w:sz w:val="22"/>
          <w:szCs w:val="22"/>
          <w:lang w:eastAsia="ko-KR"/>
        </w:rPr>
        <w:t xml:space="preserve">, we can assume that </w:t>
      </w:r>
      <w:hyperlink w:anchor="_ENREF_26" w:tooltip="Goldhaber, 1978 #3533" w:history="1"/>
      <w:r w:rsidRPr="00403C8A">
        <w:rPr>
          <w:sz w:val="22"/>
          <w:szCs w:val="22"/>
          <w:lang w:eastAsia="ko-KR"/>
        </w:rPr>
        <w:t xml:space="preserve">the low </w:t>
      </w:r>
      <w:r w:rsidRPr="00403C8A">
        <w:rPr>
          <w:rFonts w:ascii="Symbol" w:hAnsi="Symbol"/>
          <w:sz w:val="22"/>
          <w:szCs w:val="22"/>
        </w:rPr>
        <w:t></w:t>
      </w:r>
      <w:r w:rsidRPr="00403C8A">
        <w:rPr>
          <w:sz w:val="22"/>
          <w:szCs w:val="22"/>
          <w:vertAlign w:val="superscript"/>
        </w:rPr>
        <w:t>34</w:t>
      </w:r>
      <w:r w:rsidRPr="00403C8A">
        <w:rPr>
          <w:sz w:val="22"/>
          <w:szCs w:val="22"/>
        </w:rPr>
        <w:t xml:space="preserve">S value together with the low sulphate content can be a useful predictive signature for uranium ore concentrates produced by in-situ leaching from sedimentary sandstone-type deposits, which are one of the major sources for uranium production (approximately 18% of world uranium resources). </w:t>
      </w:r>
    </w:p>
    <w:p w:rsidR="006962E0" w:rsidRPr="00403C8A" w:rsidRDefault="006962E0" w:rsidP="004337D6">
      <w:pPr>
        <w:pStyle w:val="08ArticleText"/>
        <w:spacing w:line="240" w:lineRule="auto"/>
        <w:rPr>
          <w:sz w:val="22"/>
          <w:szCs w:val="22"/>
          <w:lang w:eastAsia="ko-KR"/>
        </w:rPr>
      </w:pPr>
    </w:p>
    <w:p w:rsidR="006962E0" w:rsidRDefault="006962E0" w:rsidP="004337D6">
      <w:pPr>
        <w:pStyle w:val="G4aTableTitle"/>
        <w:pBdr>
          <w:bottom w:val="none" w:sz="0" w:space="0" w:color="auto"/>
        </w:pBdr>
        <w:spacing w:before="0" w:after="0" w:line="240" w:lineRule="auto"/>
        <w:jc w:val="both"/>
        <w:rPr>
          <w:rFonts w:eastAsia="HYMyeongJo-Extra"/>
          <w:sz w:val="22"/>
          <w:szCs w:val="22"/>
        </w:rPr>
      </w:pPr>
      <w:r w:rsidRPr="00380C46">
        <w:rPr>
          <w:rFonts w:eastAsia="HYMyeongJo-Extra"/>
          <w:sz w:val="22"/>
          <w:szCs w:val="22"/>
        </w:rPr>
        <w:lastRenderedPageBreak/>
        <w:t>Table I</w:t>
      </w:r>
      <w:r>
        <w:rPr>
          <w:rFonts w:eastAsia="HYMyeongJo-Extra"/>
          <w:sz w:val="22"/>
          <w:szCs w:val="22"/>
        </w:rPr>
        <w:t>.</w:t>
      </w:r>
      <w:r w:rsidRPr="00380C46">
        <w:rPr>
          <w:rFonts w:eastAsia="HYMyeongJo-Extra"/>
          <w:sz w:val="22"/>
          <w:szCs w:val="22"/>
        </w:rPr>
        <w:t xml:space="preserve"> </w:t>
      </w:r>
      <w:r w:rsidRPr="00380C46">
        <w:rPr>
          <w:rFonts w:ascii="Symbol" w:eastAsia="HYMyeongJo-Extra" w:hAnsi="Symbol"/>
          <w:sz w:val="22"/>
          <w:szCs w:val="22"/>
        </w:rPr>
        <w:t></w:t>
      </w:r>
      <w:proofErr w:type="gramStart"/>
      <w:r w:rsidRPr="00380C46">
        <w:rPr>
          <w:rFonts w:eastAsia="HYMyeongJo-Extra"/>
          <w:sz w:val="22"/>
          <w:szCs w:val="22"/>
          <w:vertAlign w:val="superscript"/>
        </w:rPr>
        <w:t>34</w:t>
      </w:r>
      <w:r w:rsidRPr="00380C46">
        <w:rPr>
          <w:rFonts w:eastAsia="HYMyeongJo-Extra"/>
          <w:sz w:val="22"/>
          <w:szCs w:val="22"/>
        </w:rPr>
        <w:t>S</w:t>
      </w:r>
      <w:r w:rsidRPr="00380C46">
        <w:rPr>
          <w:rFonts w:eastAsia="HYMyeongJo-Extra"/>
          <w:sz w:val="22"/>
          <w:szCs w:val="22"/>
          <w:vertAlign w:val="subscript"/>
        </w:rPr>
        <w:t>VCDT</w:t>
      </w:r>
      <w:r w:rsidRPr="00380C46">
        <w:rPr>
          <w:rFonts w:eastAsia="HYMyeongJo-Extra"/>
          <w:sz w:val="22"/>
          <w:szCs w:val="22"/>
        </w:rPr>
        <w:t>(</w:t>
      </w:r>
      <w:proofErr w:type="gramEnd"/>
      <w:r w:rsidRPr="00380C46">
        <w:rPr>
          <w:rFonts w:eastAsia="HYMyeongJo-Extra"/>
          <w:sz w:val="22"/>
          <w:szCs w:val="22"/>
        </w:rPr>
        <w:t>‰) values for various uranium ore concentrate samples (</w:t>
      </w:r>
      <w:r w:rsidRPr="00380C46">
        <w:rPr>
          <w:rFonts w:eastAsia="HYMyeongJo-Extra"/>
          <w:i/>
          <w:sz w:val="22"/>
          <w:szCs w:val="22"/>
        </w:rPr>
        <w:t>n</w:t>
      </w:r>
      <w:r w:rsidRPr="00380C46">
        <w:rPr>
          <w:rFonts w:eastAsia="HYMyeongJo-Extra"/>
          <w:sz w:val="22"/>
          <w:szCs w:val="22"/>
        </w:rPr>
        <w:t xml:space="preserve"> = 2). Uncertainties are expressed as expanded uncertaint</w:t>
      </w:r>
      <w:r>
        <w:rPr>
          <w:rFonts w:eastAsia="HYMyeongJo-Extra"/>
          <w:sz w:val="22"/>
          <w:szCs w:val="22"/>
        </w:rPr>
        <w:t>ies with a coverage factor of 2</w:t>
      </w:r>
    </w:p>
    <w:p w:rsidR="006962E0" w:rsidRPr="00380C46" w:rsidRDefault="006962E0" w:rsidP="004337D6">
      <w:pPr>
        <w:pStyle w:val="G4aTableTitle"/>
        <w:pBdr>
          <w:bottom w:val="none" w:sz="0" w:space="0" w:color="auto"/>
        </w:pBdr>
        <w:spacing w:before="0" w:after="0" w:line="240" w:lineRule="auto"/>
        <w:jc w:val="both"/>
        <w:rPr>
          <w:rFonts w:eastAsia="HYMyeongJo-Extra"/>
          <w:sz w:val="22"/>
          <w:szCs w:val="22"/>
        </w:rPr>
      </w:pPr>
    </w:p>
    <w:tbl>
      <w:tblPr>
        <w:tblW w:w="0" w:type="auto"/>
        <w:jc w:val="center"/>
        <w:tblInd w:w="-1790"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3879"/>
        <w:gridCol w:w="1296"/>
        <w:gridCol w:w="1726"/>
      </w:tblGrid>
      <w:tr w:rsidR="006962E0" w:rsidRPr="00380C46" w:rsidTr="00F3378C">
        <w:trPr>
          <w:jc w:val="center"/>
        </w:trPr>
        <w:tc>
          <w:tcPr>
            <w:tcW w:w="3879" w:type="dxa"/>
            <w:tcBorders>
              <w:top w:val="single" w:sz="4" w:space="0" w:color="auto"/>
              <w:bottom w:val="single" w:sz="4" w:space="0" w:color="auto"/>
            </w:tcBorders>
            <w:shd w:val="clear" w:color="auto" w:fill="auto"/>
            <w:noWrap/>
            <w:vAlign w:val="center"/>
          </w:tcPr>
          <w:p w:rsidR="006962E0" w:rsidRPr="00380C46" w:rsidRDefault="006962E0" w:rsidP="003F5B6F">
            <w:pPr>
              <w:pStyle w:val="G4bTableBody"/>
              <w:rPr>
                <w:sz w:val="22"/>
                <w:szCs w:val="22"/>
              </w:rPr>
            </w:pPr>
            <w:r w:rsidRPr="00380C46">
              <w:rPr>
                <w:sz w:val="22"/>
                <w:szCs w:val="22"/>
              </w:rPr>
              <w:t>Uranium ore concentrate sample</w:t>
            </w:r>
          </w:p>
        </w:tc>
        <w:tc>
          <w:tcPr>
            <w:tcW w:w="1296" w:type="dxa"/>
            <w:tcBorders>
              <w:top w:val="single" w:sz="4" w:space="0" w:color="auto"/>
              <w:bottom w:val="single" w:sz="4" w:space="0" w:color="auto"/>
            </w:tcBorders>
            <w:shd w:val="clear" w:color="auto" w:fill="auto"/>
            <w:noWrap/>
            <w:vAlign w:val="center"/>
          </w:tcPr>
          <w:p w:rsidR="006962E0" w:rsidRPr="00380C46" w:rsidRDefault="006962E0" w:rsidP="003F5B6F">
            <w:pPr>
              <w:pStyle w:val="G4bTableBody"/>
              <w:rPr>
                <w:sz w:val="22"/>
                <w:szCs w:val="22"/>
              </w:rPr>
            </w:pPr>
            <w:r w:rsidRPr="00380C46">
              <w:rPr>
                <w:rFonts w:ascii="Symbol" w:hAnsi="Symbol"/>
                <w:sz w:val="22"/>
                <w:szCs w:val="22"/>
              </w:rPr>
              <w:t></w:t>
            </w:r>
            <w:r w:rsidRPr="00380C46">
              <w:rPr>
                <w:sz w:val="22"/>
                <w:szCs w:val="22"/>
                <w:vertAlign w:val="superscript"/>
              </w:rPr>
              <w:t>34</w:t>
            </w:r>
            <w:r w:rsidRPr="00380C46">
              <w:rPr>
                <w:sz w:val="22"/>
                <w:szCs w:val="22"/>
              </w:rPr>
              <w:t>S(</w:t>
            </w:r>
            <w:r w:rsidRPr="00380C46">
              <w:rPr>
                <w:rFonts w:eastAsia="Arial Unicode MS"/>
                <w:sz w:val="22"/>
                <w:szCs w:val="22"/>
              </w:rPr>
              <w:t>‰</w:t>
            </w:r>
            <w:r w:rsidRPr="00380C46">
              <w:rPr>
                <w:sz w:val="22"/>
                <w:szCs w:val="22"/>
              </w:rPr>
              <w:t>)</w:t>
            </w:r>
          </w:p>
        </w:tc>
        <w:tc>
          <w:tcPr>
            <w:tcW w:w="1726" w:type="dxa"/>
            <w:tcBorders>
              <w:top w:val="single" w:sz="4" w:space="0" w:color="auto"/>
              <w:bottom w:val="single" w:sz="4" w:space="0" w:color="auto"/>
            </w:tcBorders>
            <w:shd w:val="clear" w:color="auto" w:fill="auto"/>
            <w:vAlign w:val="center"/>
          </w:tcPr>
          <w:p w:rsidR="006962E0" w:rsidRPr="00380C46" w:rsidRDefault="006962E0" w:rsidP="003F5B6F">
            <w:pPr>
              <w:pStyle w:val="G4bTableBody"/>
              <w:rPr>
                <w:sz w:val="22"/>
                <w:szCs w:val="22"/>
              </w:rPr>
            </w:pPr>
            <w:r w:rsidRPr="00380C46">
              <w:rPr>
                <w:sz w:val="22"/>
                <w:szCs w:val="22"/>
              </w:rPr>
              <w:t>SO</w:t>
            </w:r>
            <w:r w:rsidRPr="00380C46">
              <w:rPr>
                <w:sz w:val="22"/>
                <w:szCs w:val="22"/>
                <w:vertAlign w:val="subscript"/>
              </w:rPr>
              <w:t>4</w:t>
            </w:r>
            <w:r w:rsidRPr="00380C46">
              <w:rPr>
                <w:sz w:val="22"/>
                <w:szCs w:val="22"/>
                <w:vertAlign w:val="superscript"/>
              </w:rPr>
              <w:t>2-</w:t>
            </w:r>
            <w:r w:rsidRPr="00380C46">
              <w:rPr>
                <w:sz w:val="22"/>
                <w:szCs w:val="22"/>
              </w:rPr>
              <w:t xml:space="preserve"> concentration (</w:t>
            </w:r>
            <w:r w:rsidRPr="00380C46">
              <w:rPr>
                <w:rFonts w:ascii="Symbol" w:hAnsi="Symbol"/>
                <w:sz w:val="22"/>
                <w:szCs w:val="22"/>
              </w:rPr>
              <w:t></w:t>
            </w:r>
            <w:r w:rsidRPr="00380C46">
              <w:rPr>
                <w:sz w:val="22"/>
                <w:szCs w:val="22"/>
              </w:rPr>
              <w:t>g/g)</w:t>
            </w:r>
          </w:p>
        </w:tc>
        <w:bookmarkStart w:id="0" w:name="_GoBack"/>
        <w:bookmarkEnd w:id="0"/>
      </w:tr>
      <w:tr w:rsidR="006962E0" w:rsidRPr="00403C8A" w:rsidTr="00F3378C">
        <w:trPr>
          <w:jc w:val="center"/>
        </w:trPr>
        <w:tc>
          <w:tcPr>
            <w:tcW w:w="3879" w:type="dxa"/>
            <w:tcBorders>
              <w:top w:val="single" w:sz="4" w:space="0" w:color="auto"/>
            </w:tcBorders>
            <w:shd w:val="clear" w:color="auto" w:fill="auto"/>
            <w:noWrap/>
            <w:vAlign w:val="bottom"/>
          </w:tcPr>
          <w:p w:rsidR="006962E0" w:rsidRPr="00403C8A" w:rsidRDefault="006962E0" w:rsidP="003F5B6F">
            <w:pPr>
              <w:pStyle w:val="G4bTableBody"/>
              <w:rPr>
                <w:sz w:val="22"/>
                <w:szCs w:val="22"/>
              </w:rPr>
            </w:pPr>
            <w:r w:rsidRPr="00403C8A">
              <w:rPr>
                <w:sz w:val="22"/>
                <w:szCs w:val="22"/>
              </w:rPr>
              <w:t>Gunnar (Canada)</w:t>
            </w:r>
          </w:p>
        </w:tc>
        <w:tc>
          <w:tcPr>
            <w:tcW w:w="1296" w:type="dxa"/>
            <w:tcBorders>
              <w:top w:val="single" w:sz="4" w:space="0" w:color="auto"/>
            </w:tcBorders>
            <w:shd w:val="clear" w:color="auto" w:fill="auto"/>
            <w:noWrap/>
            <w:vAlign w:val="center"/>
          </w:tcPr>
          <w:p w:rsidR="006962E0" w:rsidRPr="00403C8A" w:rsidRDefault="006962E0" w:rsidP="003F5B6F">
            <w:pPr>
              <w:pStyle w:val="G4bTableBody"/>
              <w:rPr>
                <w:sz w:val="22"/>
                <w:szCs w:val="22"/>
              </w:rPr>
            </w:pPr>
            <w:r w:rsidRPr="00403C8A">
              <w:rPr>
                <w:sz w:val="22"/>
                <w:szCs w:val="22"/>
              </w:rPr>
              <w:t>16.3 ± 1.4</w:t>
            </w:r>
          </w:p>
        </w:tc>
        <w:tc>
          <w:tcPr>
            <w:tcW w:w="1726" w:type="dxa"/>
            <w:tcBorders>
              <w:top w:val="single" w:sz="4" w:space="0" w:color="auto"/>
            </w:tcBorders>
            <w:shd w:val="clear" w:color="auto" w:fill="auto"/>
            <w:noWrap/>
            <w:vAlign w:val="center"/>
          </w:tcPr>
          <w:p w:rsidR="006962E0" w:rsidRPr="00403C8A" w:rsidRDefault="006962E0" w:rsidP="003F5B6F">
            <w:pPr>
              <w:pStyle w:val="G4bTableBody"/>
              <w:rPr>
                <w:sz w:val="22"/>
                <w:szCs w:val="22"/>
              </w:rPr>
            </w:pPr>
            <w:r w:rsidRPr="00403C8A">
              <w:rPr>
                <w:sz w:val="22"/>
                <w:szCs w:val="22"/>
              </w:rPr>
              <w:t>2136</w:t>
            </w:r>
          </w:p>
        </w:tc>
      </w:tr>
      <w:tr w:rsidR="006962E0" w:rsidRPr="00403C8A" w:rsidTr="00F3378C">
        <w:trPr>
          <w:jc w:val="center"/>
        </w:trPr>
        <w:tc>
          <w:tcPr>
            <w:tcW w:w="3879" w:type="dxa"/>
            <w:shd w:val="clear" w:color="auto" w:fill="auto"/>
            <w:noWrap/>
            <w:vAlign w:val="bottom"/>
          </w:tcPr>
          <w:p w:rsidR="006962E0" w:rsidRPr="00403C8A" w:rsidRDefault="006962E0" w:rsidP="003F5B6F">
            <w:pPr>
              <w:pStyle w:val="G4bTableBody"/>
              <w:rPr>
                <w:sz w:val="22"/>
                <w:szCs w:val="22"/>
              </w:rPr>
            </w:pPr>
            <w:r w:rsidRPr="00403C8A">
              <w:rPr>
                <w:sz w:val="22"/>
                <w:szCs w:val="22"/>
              </w:rPr>
              <w:t>Rabbit Lake (Canada)</w:t>
            </w:r>
          </w:p>
        </w:tc>
        <w:tc>
          <w:tcPr>
            <w:tcW w:w="1296" w:type="dxa"/>
            <w:shd w:val="clear" w:color="auto" w:fill="auto"/>
            <w:noWrap/>
            <w:vAlign w:val="center"/>
          </w:tcPr>
          <w:p w:rsidR="006962E0" w:rsidRPr="00403C8A" w:rsidRDefault="006962E0" w:rsidP="003F5B6F">
            <w:pPr>
              <w:pStyle w:val="G4bTableBody"/>
              <w:rPr>
                <w:sz w:val="22"/>
                <w:szCs w:val="22"/>
              </w:rPr>
            </w:pPr>
            <w:r w:rsidRPr="00403C8A">
              <w:rPr>
                <w:sz w:val="22"/>
                <w:szCs w:val="22"/>
              </w:rPr>
              <w:t>14.9 ± 2.0</w:t>
            </w:r>
          </w:p>
        </w:tc>
        <w:tc>
          <w:tcPr>
            <w:tcW w:w="1726" w:type="dxa"/>
            <w:shd w:val="clear" w:color="auto" w:fill="auto"/>
            <w:noWrap/>
            <w:vAlign w:val="center"/>
          </w:tcPr>
          <w:p w:rsidR="006962E0" w:rsidRPr="00403C8A" w:rsidRDefault="006962E0" w:rsidP="003F5B6F">
            <w:pPr>
              <w:pStyle w:val="G4bTableBody"/>
              <w:rPr>
                <w:sz w:val="22"/>
                <w:szCs w:val="22"/>
              </w:rPr>
            </w:pPr>
            <w:r w:rsidRPr="00403C8A">
              <w:rPr>
                <w:sz w:val="22"/>
                <w:szCs w:val="22"/>
              </w:rPr>
              <w:t>3529</w:t>
            </w:r>
          </w:p>
        </w:tc>
      </w:tr>
      <w:tr w:rsidR="006962E0" w:rsidRPr="00403C8A" w:rsidTr="00F3378C">
        <w:trPr>
          <w:jc w:val="center"/>
        </w:trPr>
        <w:tc>
          <w:tcPr>
            <w:tcW w:w="3879" w:type="dxa"/>
            <w:shd w:val="clear" w:color="auto" w:fill="auto"/>
            <w:noWrap/>
            <w:vAlign w:val="bottom"/>
          </w:tcPr>
          <w:p w:rsidR="006962E0" w:rsidRPr="00403C8A" w:rsidRDefault="006962E0" w:rsidP="003F5B6F">
            <w:pPr>
              <w:pStyle w:val="G4bTableBody"/>
              <w:rPr>
                <w:sz w:val="22"/>
                <w:szCs w:val="22"/>
              </w:rPr>
            </w:pPr>
            <w:r w:rsidRPr="00403C8A">
              <w:rPr>
                <w:sz w:val="22"/>
                <w:szCs w:val="22"/>
              </w:rPr>
              <w:t>Madawaska (Canada)</w:t>
            </w:r>
          </w:p>
        </w:tc>
        <w:tc>
          <w:tcPr>
            <w:tcW w:w="1296" w:type="dxa"/>
            <w:shd w:val="clear" w:color="auto" w:fill="auto"/>
            <w:noWrap/>
            <w:vAlign w:val="center"/>
          </w:tcPr>
          <w:p w:rsidR="006962E0" w:rsidRPr="00403C8A" w:rsidRDefault="006962E0" w:rsidP="003F5B6F">
            <w:pPr>
              <w:pStyle w:val="G4bTableBody"/>
              <w:rPr>
                <w:sz w:val="22"/>
                <w:szCs w:val="22"/>
              </w:rPr>
            </w:pPr>
            <w:r w:rsidRPr="00403C8A">
              <w:rPr>
                <w:sz w:val="22"/>
                <w:szCs w:val="22"/>
              </w:rPr>
              <w:t>2.3 ± 2.0</w:t>
            </w:r>
          </w:p>
        </w:tc>
        <w:tc>
          <w:tcPr>
            <w:tcW w:w="1726" w:type="dxa"/>
            <w:shd w:val="clear" w:color="auto" w:fill="auto"/>
            <w:noWrap/>
            <w:vAlign w:val="center"/>
          </w:tcPr>
          <w:p w:rsidR="006962E0" w:rsidRPr="00403C8A" w:rsidRDefault="006962E0" w:rsidP="003F5B6F">
            <w:pPr>
              <w:pStyle w:val="G4bTableBody"/>
              <w:rPr>
                <w:sz w:val="22"/>
                <w:szCs w:val="22"/>
              </w:rPr>
            </w:pPr>
            <w:r w:rsidRPr="00403C8A">
              <w:rPr>
                <w:sz w:val="22"/>
                <w:szCs w:val="22"/>
              </w:rPr>
              <w:t>4958</w:t>
            </w:r>
          </w:p>
        </w:tc>
      </w:tr>
      <w:tr w:rsidR="006962E0" w:rsidRPr="00403C8A" w:rsidTr="00F3378C">
        <w:trPr>
          <w:jc w:val="center"/>
        </w:trPr>
        <w:tc>
          <w:tcPr>
            <w:tcW w:w="3879" w:type="dxa"/>
            <w:shd w:val="clear" w:color="auto" w:fill="auto"/>
            <w:noWrap/>
            <w:vAlign w:val="bottom"/>
          </w:tcPr>
          <w:p w:rsidR="006962E0" w:rsidRPr="00403C8A" w:rsidRDefault="006962E0" w:rsidP="003F5B6F">
            <w:pPr>
              <w:pStyle w:val="G4bTableBody"/>
              <w:rPr>
                <w:sz w:val="22"/>
                <w:szCs w:val="22"/>
              </w:rPr>
            </w:pPr>
            <w:r w:rsidRPr="00403C8A">
              <w:rPr>
                <w:sz w:val="22"/>
                <w:szCs w:val="22"/>
              </w:rPr>
              <w:t>Queensland (Australia)</w:t>
            </w:r>
          </w:p>
        </w:tc>
        <w:tc>
          <w:tcPr>
            <w:tcW w:w="1296" w:type="dxa"/>
            <w:shd w:val="clear" w:color="auto" w:fill="auto"/>
            <w:noWrap/>
            <w:vAlign w:val="center"/>
          </w:tcPr>
          <w:p w:rsidR="006962E0" w:rsidRPr="00403C8A" w:rsidRDefault="006962E0" w:rsidP="003F5B6F">
            <w:pPr>
              <w:pStyle w:val="G4bTableBody"/>
              <w:rPr>
                <w:sz w:val="22"/>
                <w:szCs w:val="22"/>
              </w:rPr>
            </w:pPr>
            <w:r w:rsidRPr="00403C8A">
              <w:rPr>
                <w:sz w:val="22"/>
                <w:szCs w:val="22"/>
              </w:rPr>
              <w:t>-0.8 ± 1.2</w:t>
            </w:r>
          </w:p>
        </w:tc>
        <w:tc>
          <w:tcPr>
            <w:tcW w:w="1726" w:type="dxa"/>
            <w:shd w:val="clear" w:color="auto" w:fill="auto"/>
            <w:noWrap/>
            <w:vAlign w:val="center"/>
          </w:tcPr>
          <w:p w:rsidR="006962E0" w:rsidRPr="00403C8A" w:rsidRDefault="006962E0" w:rsidP="003F5B6F">
            <w:pPr>
              <w:pStyle w:val="G4bTableBody"/>
              <w:rPr>
                <w:sz w:val="22"/>
                <w:szCs w:val="22"/>
              </w:rPr>
            </w:pPr>
            <w:r w:rsidRPr="00403C8A">
              <w:rPr>
                <w:sz w:val="22"/>
                <w:szCs w:val="22"/>
              </w:rPr>
              <w:t>5150</w:t>
            </w:r>
          </w:p>
        </w:tc>
      </w:tr>
      <w:tr w:rsidR="006962E0" w:rsidRPr="00403C8A" w:rsidTr="00F3378C">
        <w:trPr>
          <w:jc w:val="center"/>
        </w:trPr>
        <w:tc>
          <w:tcPr>
            <w:tcW w:w="3879" w:type="dxa"/>
            <w:shd w:val="clear" w:color="auto" w:fill="auto"/>
            <w:noWrap/>
            <w:vAlign w:val="bottom"/>
          </w:tcPr>
          <w:p w:rsidR="006962E0" w:rsidRPr="00403C8A" w:rsidRDefault="006962E0" w:rsidP="003F5B6F">
            <w:pPr>
              <w:pStyle w:val="G4bTableBody"/>
              <w:rPr>
                <w:sz w:val="22"/>
                <w:szCs w:val="22"/>
              </w:rPr>
            </w:pPr>
            <w:r w:rsidRPr="00403C8A">
              <w:rPr>
                <w:sz w:val="22"/>
                <w:szCs w:val="22"/>
              </w:rPr>
              <w:t>Olympic Dam (Australia)</w:t>
            </w:r>
          </w:p>
        </w:tc>
        <w:tc>
          <w:tcPr>
            <w:tcW w:w="1296" w:type="dxa"/>
            <w:shd w:val="clear" w:color="auto" w:fill="auto"/>
            <w:noWrap/>
            <w:vAlign w:val="center"/>
          </w:tcPr>
          <w:p w:rsidR="006962E0" w:rsidRPr="00403C8A" w:rsidRDefault="006962E0" w:rsidP="003F5B6F">
            <w:pPr>
              <w:pStyle w:val="G4bTableBody"/>
              <w:rPr>
                <w:sz w:val="22"/>
                <w:szCs w:val="22"/>
              </w:rPr>
            </w:pPr>
            <w:r w:rsidRPr="00403C8A">
              <w:rPr>
                <w:sz w:val="22"/>
                <w:szCs w:val="22"/>
              </w:rPr>
              <w:t>16.0 ± 1.2</w:t>
            </w:r>
          </w:p>
        </w:tc>
        <w:tc>
          <w:tcPr>
            <w:tcW w:w="1726" w:type="dxa"/>
            <w:shd w:val="clear" w:color="auto" w:fill="auto"/>
            <w:noWrap/>
            <w:vAlign w:val="center"/>
          </w:tcPr>
          <w:p w:rsidR="006962E0" w:rsidRPr="00403C8A" w:rsidRDefault="006962E0" w:rsidP="003F5B6F">
            <w:pPr>
              <w:pStyle w:val="G4bTableBody"/>
              <w:rPr>
                <w:sz w:val="22"/>
                <w:szCs w:val="22"/>
              </w:rPr>
            </w:pPr>
            <w:r w:rsidRPr="00403C8A">
              <w:rPr>
                <w:sz w:val="22"/>
                <w:szCs w:val="22"/>
              </w:rPr>
              <w:t>43206</w:t>
            </w:r>
          </w:p>
        </w:tc>
      </w:tr>
      <w:tr w:rsidR="006962E0" w:rsidRPr="00403C8A" w:rsidTr="00F3378C">
        <w:trPr>
          <w:jc w:val="center"/>
        </w:trPr>
        <w:tc>
          <w:tcPr>
            <w:tcW w:w="3879" w:type="dxa"/>
            <w:shd w:val="clear" w:color="auto" w:fill="auto"/>
            <w:noWrap/>
            <w:vAlign w:val="bottom"/>
          </w:tcPr>
          <w:p w:rsidR="006962E0" w:rsidRPr="00403C8A" w:rsidRDefault="006962E0" w:rsidP="003F5B6F">
            <w:pPr>
              <w:pStyle w:val="G4bTableBody"/>
              <w:rPr>
                <w:sz w:val="22"/>
                <w:szCs w:val="22"/>
              </w:rPr>
            </w:pPr>
            <w:proofErr w:type="spellStart"/>
            <w:r w:rsidRPr="00403C8A">
              <w:rPr>
                <w:sz w:val="22"/>
                <w:szCs w:val="22"/>
              </w:rPr>
              <w:t>Stanrock</w:t>
            </w:r>
            <w:proofErr w:type="spellEnd"/>
            <w:r w:rsidRPr="00403C8A">
              <w:rPr>
                <w:sz w:val="22"/>
                <w:szCs w:val="22"/>
              </w:rPr>
              <w:t xml:space="preserve"> (Canada)</w:t>
            </w:r>
          </w:p>
        </w:tc>
        <w:tc>
          <w:tcPr>
            <w:tcW w:w="1296" w:type="dxa"/>
            <w:shd w:val="clear" w:color="auto" w:fill="auto"/>
            <w:noWrap/>
            <w:vAlign w:val="center"/>
          </w:tcPr>
          <w:p w:rsidR="006962E0" w:rsidRPr="00403C8A" w:rsidRDefault="006962E0" w:rsidP="003F5B6F">
            <w:pPr>
              <w:pStyle w:val="G4bTableBody"/>
              <w:rPr>
                <w:sz w:val="22"/>
                <w:szCs w:val="22"/>
              </w:rPr>
            </w:pPr>
            <w:r w:rsidRPr="00403C8A">
              <w:rPr>
                <w:sz w:val="22"/>
                <w:szCs w:val="22"/>
              </w:rPr>
              <w:t>1.1 ± 1.1</w:t>
            </w:r>
          </w:p>
        </w:tc>
        <w:tc>
          <w:tcPr>
            <w:tcW w:w="1726" w:type="dxa"/>
            <w:shd w:val="clear" w:color="auto" w:fill="auto"/>
            <w:noWrap/>
            <w:vAlign w:val="center"/>
          </w:tcPr>
          <w:p w:rsidR="006962E0" w:rsidRPr="00403C8A" w:rsidRDefault="006962E0" w:rsidP="003F5B6F">
            <w:pPr>
              <w:pStyle w:val="G4bTableBody"/>
              <w:rPr>
                <w:sz w:val="22"/>
                <w:szCs w:val="22"/>
              </w:rPr>
            </w:pPr>
            <w:r w:rsidRPr="00403C8A">
              <w:rPr>
                <w:sz w:val="22"/>
                <w:szCs w:val="22"/>
              </w:rPr>
              <w:t>47780</w:t>
            </w:r>
          </w:p>
        </w:tc>
      </w:tr>
      <w:tr w:rsidR="006962E0" w:rsidRPr="00403C8A" w:rsidTr="00F3378C">
        <w:trPr>
          <w:jc w:val="center"/>
        </w:trPr>
        <w:tc>
          <w:tcPr>
            <w:tcW w:w="3879" w:type="dxa"/>
            <w:shd w:val="clear" w:color="auto" w:fill="auto"/>
            <w:noWrap/>
            <w:vAlign w:val="bottom"/>
          </w:tcPr>
          <w:p w:rsidR="006962E0" w:rsidRPr="00403C8A" w:rsidRDefault="006962E0" w:rsidP="003F5B6F">
            <w:pPr>
              <w:pStyle w:val="G4bTableBody"/>
              <w:rPr>
                <w:sz w:val="22"/>
                <w:szCs w:val="22"/>
              </w:rPr>
            </w:pPr>
            <w:r w:rsidRPr="00403C8A">
              <w:rPr>
                <w:sz w:val="22"/>
                <w:szCs w:val="22"/>
              </w:rPr>
              <w:t>El Mesquite (USA)</w:t>
            </w:r>
          </w:p>
        </w:tc>
        <w:tc>
          <w:tcPr>
            <w:tcW w:w="1296" w:type="dxa"/>
            <w:shd w:val="clear" w:color="auto" w:fill="auto"/>
            <w:noWrap/>
            <w:vAlign w:val="center"/>
          </w:tcPr>
          <w:p w:rsidR="006962E0" w:rsidRPr="00403C8A" w:rsidRDefault="006962E0" w:rsidP="003F5B6F">
            <w:pPr>
              <w:pStyle w:val="G4bTableBody"/>
              <w:rPr>
                <w:sz w:val="22"/>
                <w:szCs w:val="22"/>
              </w:rPr>
            </w:pPr>
            <w:r w:rsidRPr="00403C8A">
              <w:rPr>
                <w:sz w:val="22"/>
                <w:szCs w:val="22"/>
              </w:rPr>
              <w:t>-15.4 ± 1.2</w:t>
            </w:r>
          </w:p>
        </w:tc>
        <w:tc>
          <w:tcPr>
            <w:tcW w:w="1726" w:type="dxa"/>
            <w:shd w:val="clear" w:color="auto" w:fill="auto"/>
            <w:noWrap/>
            <w:vAlign w:val="center"/>
          </w:tcPr>
          <w:p w:rsidR="006962E0" w:rsidRPr="00403C8A" w:rsidRDefault="006962E0" w:rsidP="003F5B6F">
            <w:pPr>
              <w:pStyle w:val="G4bTableBody"/>
              <w:rPr>
                <w:sz w:val="22"/>
                <w:szCs w:val="22"/>
              </w:rPr>
            </w:pPr>
            <w:r w:rsidRPr="00403C8A">
              <w:rPr>
                <w:sz w:val="22"/>
                <w:szCs w:val="22"/>
              </w:rPr>
              <w:t>1268</w:t>
            </w:r>
          </w:p>
        </w:tc>
      </w:tr>
      <w:tr w:rsidR="006962E0" w:rsidRPr="00403C8A" w:rsidTr="00F3378C">
        <w:trPr>
          <w:jc w:val="center"/>
        </w:trPr>
        <w:tc>
          <w:tcPr>
            <w:tcW w:w="3879" w:type="dxa"/>
            <w:shd w:val="clear" w:color="auto" w:fill="auto"/>
            <w:noWrap/>
            <w:vAlign w:val="bottom"/>
          </w:tcPr>
          <w:p w:rsidR="006962E0" w:rsidRPr="00403C8A" w:rsidRDefault="006962E0" w:rsidP="003F5B6F">
            <w:pPr>
              <w:pStyle w:val="G4bTableBody"/>
              <w:rPr>
                <w:sz w:val="22"/>
                <w:szCs w:val="22"/>
              </w:rPr>
            </w:pPr>
            <w:r w:rsidRPr="00403C8A">
              <w:rPr>
                <w:sz w:val="22"/>
                <w:szCs w:val="22"/>
              </w:rPr>
              <w:t>US Mobile (USA)</w:t>
            </w:r>
          </w:p>
        </w:tc>
        <w:tc>
          <w:tcPr>
            <w:tcW w:w="1296" w:type="dxa"/>
            <w:shd w:val="clear" w:color="auto" w:fill="auto"/>
            <w:noWrap/>
            <w:vAlign w:val="center"/>
          </w:tcPr>
          <w:p w:rsidR="006962E0" w:rsidRPr="00403C8A" w:rsidRDefault="006962E0" w:rsidP="003F5B6F">
            <w:pPr>
              <w:pStyle w:val="G4bTableBody"/>
              <w:rPr>
                <w:sz w:val="22"/>
                <w:szCs w:val="22"/>
              </w:rPr>
            </w:pPr>
            <w:r w:rsidRPr="00403C8A">
              <w:rPr>
                <w:sz w:val="22"/>
                <w:szCs w:val="22"/>
              </w:rPr>
              <w:t>-10.3 ± 1.2</w:t>
            </w:r>
          </w:p>
        </w:tc>
        <w:tc>
          <w:tcPr>
            <w:tcW w:w="1726" w:type="dxa"/>
            <w:shd w:val="clear" w:color="auto" w:fill="auto"/>
            <w:noWrap/>
            <w:vAlign w:val="center"/>
          </w:tcPr>
          <w:p w:rsidR="006962E0" w:rsidRPr="00403C8A" w:rsidRDefault="006962E0" w:rsidP="003F5B6F">
            <w:pPr>
              <w:pStyle w:val="G4bTableBody"/>
              <w:rPr>
                <w:sz w:val="22"/>
                <w:szCs w:val="22"/>
              </w:rPr>
            </w:pPr>
            <w:r w:rsidRPr="00403C8A">
              <w:rPr>
                <w:sz w:val="22"/>
                <w:szCs w:val="22"/>
              </w:rPr>
              <w:t>230</w:t>
            </w:r>
          </w:p>
        </w:tc>
      </w:tr>
      <w:tr w:rsidR="006962E0" w:rsidRPr="00403C8A" w:rsidTr="00F3378C">
        <w:trPr>
          <w:jc w:val="center"/>
        </w:trPr>
        <w:tc>
          <w:tcPr>
            <w:tcW w:w="3879" w:type="dxa"/>
            <w:shd w:val="clear" w:color="auto" w:fill="auto"/>
            <w:noWrap/>
            <w:vAlign w:val="bottom"/>
          </w:tcPr>
          <w:p w:rsidR="006962E0" w:rsidRPr="00403C8A" w:rsidRDefault="006962E0" w:rsidP="003F5B6F">
            <w:pPr>
              <w:pStyle w:val="G4bTableBody"/>
              <w:rPr>
                <w:sz w:val="22"/>
                <w:szCs w:val="22"/>
              </w:rPr>
            </w:pPr>
            <w:r w:rsidRPr="00403C8A">
              <w:rPr>
                <w:sz w:val="22"/>
                <w:szCs w:val="22"/>
              </w:rPr>
              <w:t>Shirley Basin (USA)</w:t>
            </w:r>
          </w:p>
        </w:tc>
        <w:tc>
          <w:tcPr>
            <w:tcW w:w="1296" w:type="dxa"/>
            <w:shd w:val="clear" w:color="auto" w:fill="auto"/>
            <w:noWrap/>
            <w:vAlign w:val="center"/>
          </w:tcPr>
          <w:p w:rsidR="006962E0" w:rsidRPr="00403C8A" w:rsidRDefault="006962E0" w:rsidP="003F5B6F">
            <w:pPr>
              <w:pStyle w:val="G4bTableBody"/>
              <w:rPr>
                <w:sz w:val="22"/>
                <w:szCs w:val="22"/>
              </w:rPr>
            </w:pPr>
            <w:r w:rsidRPr="00403C8A">
              <w:rPr>
                <w:sz w:val="22"/>
                <w:szCs w:val="22"/>
              </w:rPr>
              <w:t>4.2 ± 2.0</w:t>
            </w:r>
          </w:p>
        </w:tc>
        <w:tc>
          <w:tcPr>
            <w:tcW w:w="1726" w:type="dxa"/>
            <w:shd w:val="clear" w:color="auto" w:fill="auto"/>
            <w:noWrap/>
            <w:vAlign w:val="center"/>
          </w:tcPr>
          <w:p w:rsidR="006962E0" w:rsidRPr="00403C8A" w:rsidRDefault="006962E0" w:rsidP="003F5B6F">
            <w:pPr>
              <w:pStyle w:val="G4bTableBody"/>
              <w:rPr>
                <w:sz w:val="22"/>
                <w:szCs w:val="22"/>
              </w:rPr>
            </w:pPr>
            <w:r w:rsidRPr="00403C8A">
              <w:rPr>
                <w:sz w:val="22"/>
                <w:szCs w:val="22"/>
              </w:rPr>
              <w:t>36530</w:t>
            </w:r>
          </w:p>
        </w:tc>
      </w:tr>
      <w:tr w:rsidR="006962E0" w:rsidRPr="00403C8A" w:rsidTr="00F3378C">
        <w:trPr>
          <w:jc w:val="center"/>
        </w:trPr>
        <w:tc>
          <w:tcPr>
            <w:tcW w:w="3879" w:type="dxa"/>
            <w:shd w:val="clear" w:color="auto" w:fill="auto"/>
            <w:noWrap/>
            <w:vAlign w:val="center"/>
          </w:tcPr>
          <w:p w:rsidR="006962E0" w:rsidRPr="00403C8A" w:rsidRDefault="006962E0" w:rsidP="003F5B6F">
            <w:pPr>
              <w:pStyle w:val="G4bTableBody"/>
              <w:rPr>
                <w:sz w:val="22"/>
                <w:szCs w:val="22"/>
              </w:rPr>
            </w:pPr>
            <w:proofErr w:type="spellStart"/>
            <w:r w:rsidRPr="00403C8A">
              <w:rPr>
                <w:sz w:val="22"/>
                <w:szCs w:val="22"/>
              </w:rPr>
              <w:t>Crow</w:t>
            </w:r>
            <w:proofErr w:type="spellEnd"/>
            <w:r w:rsidRPr="00403C8A">
              <w:rPr>
                <w:sz w:val="22"/>
                <w:szCs w:val="22"/>
              </w:rPr>
              <w:t xml:space="preserve"> Butte (USA)</w:t>
            </w:r>
          </w:p>
        </w:tc>
        <w:tc>
          <w:tcPr>
            <w:tcW w:w="1296" w:type="dxa"/>
            <w:shd w:val="clear" w:color="auto" w:fill="auto"/>
            <w:noWrap/>
            <w:vAlign w:val="center"/>
          </w:tcPr>
          <w:p w:rsidR="006962E0" w:rsidRPr="00403C8A" w:rsidRDefault="006962E0" w:rsidP="003F5B6F">
            <w:pPr>
              <w:pStyle w:val="G4bTableBody"/>
              <w:rPr>
                <w:sz w:val="22"/>
                <w:szCs w:val="22"/>
              </w:rPr>
            </w:pPr>
            <w:r w:rsidRPr="00403C8A">
              <w:rPr>
                <w:sz w:val="22"/>
                <w:szCs w:val="22"/>
              </w:rPr>
              <w:t>-12.3 ± 2.1</w:t>
            </w:r>
          </w:p>
        </w:tc>
        <w:tc>
          <w:tcPr>
            <w:tcW w:w="1726" w:type="dxa"/>
            <w:shd w:val="clear" w:color="auto" w:fill="auto"/>
            <w:noWrap/>
            <w:vAlign w:val="center"/>
          </w:tcPr>
          <w:p w:rsidR="006962E0" w:rsidRPr="00403C8A" w:rsidRDefault="006962E0" w:rsidP="003F5B6F">
            <w:pPr>
              <w:pStyle w:val="G4bTableBody"/>
              <w:rPr>
                <w:sz w:val="22"/>
                <w:szCs w:val="22"/>
              </w:rPr>
            </w:pPr>
            <w:r w:rsidRPr="00403C8A">
              <w:rPr>
                <w:sz w:val="22"/>
                <w:szCs w:val="22"/>
              </w:rPr>
              <w:t>2115</w:t>
            </w:r>
          </w:p>
        </w:tc>
      </w:tr>
      <w:tr w:rsidR="006962E0" w:rsidRPr="00403C8A" w:rsidTr="00F3378C">
        <w:trPr>
          <w:jc w:val="center"/>
        </w:trPr>
        <w:tc>
          <w:tcPr>
            <w:tcW w:w="3879" w:type="dxa"/>
            <w:shd w:val="clear" w:color="auto" w:fill="auto"/>
            <w:noWrap/>
            <w:vAlign w:val="center"/>
          </w:tcPr>
          <w:p w:rsidR="006962E0" w:rsidRPr="00403C8A" w:rsidRDefault="006962E0" w:rsidP="003F5B6F">
            <w:pPr>
              <w:pStyle w:val="G4bTableBody"/>
              <w:rPr>
                <w:sz w:val="22"/>
                <w:szCs w:val="22"/>
              </w:rPr>
            </w:pPr>
            <w:r w:rsidRPr="00403C8A">
              <w:rPr>
                <w:sz w:val="22"/>
                <w:szCs w:val="22"/>
              </w:rPr>
              <w:t>Yeelirrie (Australia)</w:t>
            </w:r>
          </w:p>
        </w:tc>
        <w:tc>
          <w:tcPr>
            <w:tcW w:w="1296" w:type="dxa"/>
            <w:shd w:val="clear" w:color="auto" w:fill="auto"/>
            <w:noWrap/>
            <w:vAlign w:val="center"/>
          </w:tcPr>
          <w:p w:rsidR="006962E0" w:rsidRPr="00403C8A" w:rsidRDefault="006962E0" w:rsidP="003F5B6F">
            <w:pPr>
              <w:pStyle w:val="G4bTableBody"/>
              <w:rPr>
                <w:sz w:val="22"/>
                <w:szCs w:val="22"/>
              </w:rPr>
            </w:pPr>
            <w:r w:rsidRPr="00403C8A">
              <w:rPr>
                <w:sz w:val="22"/>
                <w:szCs w:val="22"/>
              </w:rPr>
              <w:t>15.0 ± 1.5</w:t>
            </w:r>
          </w:p>
        </w:tc>
        <w:tc>
          <w:tcPr>
            <w:tcW w:w="1726" w:type="dxa"/>
            <w:shd w:val="clear" w:color="auto" w:fill="auto"/>
            <w:noWrap/>
            <w:vAlign w:val="center"/>
          </w:tcPr>
          <w:p w:rsidR="006962E0" w:rsidRPr="00403C8A" w:rsidRDefault="006962E0" w:rsidP="003F5B6F">
            <w:pPr>
              <w:pStyle w:val="G4bTableBody"/>
              <w:rPr>
                <w:sz w:val="22"/>
                <w:szCs w:val="22"/>
              </w:rPr>
            </w:pPr>
            <w:r w:rsidRPr="00403C8A">
              <w:rPr>
                <w:sz w:val="22"/>
                <w:szCs w:val="22"/>
              </w:rPr>
              <w:t>4402</w:t>
            </w:r>
          </w:p>
        </w:tc>
      </w:tr>
      <w:tr w:rsidR="006962E0" w:rsidRPr="00403C8A" w:rsidTr="00F3378C">
        <w:trPr>
          <w:jc w:val="center"/>
        </w:trPr>
        <w:tc>
          <w:tcPr>
            <w:tcW w:w="3879" w:type="dxa"/>
            <w:shd w:val="clear" w:color="auto" w:fill="auto"/>
            <w:noWrap/>
            <w:vAlign w:val="center"/>
          </w:tcPr>
          <w:p w:rsidR="006962E0" w:rsidRPr="00403C8A" w:rsidRDefault="006962E0" w:rsidP="003F5B6F">
            <w:pPr>
              <w:pStyle w:val="G4bTableBody"/>
              <w:rPr>
                <w:sz w:val="22"/>
                <w:szCs w:val="22"/>
              </w:rPr>
            </w:pPr>
            <w:proofErr w:type="spellStart"/>
            <w:r w:rsidRPr="00403C8A">
              <w:rPr>
                <w:sz w:val="22"/>
                <w:szCs w:val="22"/>
              </w:rPr>
              <w:t>Dyno</w:t>
            </w:r>
            <w:proofErr w:type="spellEnd"/>
            <w:r w:rsidRPr="00403C8A">
              <w:rPr>
                <w:sz w:val="22"/>
                <w:szCs w:val="22"/>
              </w:rPr>
              <w:t xml:space="preserve"> (Canada)</w:t>
            </w:r>
          </w:p>
        </w:tc>
        <w:tc>
          <w:tcPr>
            <w:tcW w:w="1296" w:type="dxa"/>
            <w:shd w:val="clear" w:color="auto" w:fill="auto"/>
            <w:noWrap/>
            <w:vAlign w:val="center"/>
          </w:tcPr>
          <w:p w:rsidR="006962E0" w:rsidRPr="00403C8A" w:rsidRDefault="006962E0" w:rsidP="003F5B6F">
            <w:pPr>
              <w:pStyle w:val="G4bTableBody"/>
              <w:rPr>
                <w:sz w:val="22"/>
                <w:szCs w:val="22"/>
              </w:rPr>
            </w:pPr>
            <w:r w:rsidRPr="00403C8A">
              <w:rPr>
                <w:sz w:val="22"/>
                <w:szCs w:val="22"/>
              </w:rPr>
              <w:t>18.3 ± 2.0</w:t>
            </w:r>
          </w:p>
        </w:tc>
        <w:tc>
          <w:tcPr>
            <w:tcW w:w="1726" w:type="dxa"/>
            <w:shd w:val="clear" w:color="auto" w:fill="auto"/>
            <w:noWrap/>
            <w:vAlign w:val="center"/>
          </w:tcPr>
          <w:p w:rsidR="006962E0" w:rsidRPr="00403C8A" w:rsidRDefault="006962E0" w:rsidP="003F5B6F">
            <w:pPr>
              <w:pStyle w:val="G4bTableBody"/>
              <w:rPr>
                <w:sz w:val="22"/>
                <w:szCs w:val="22"/>
              </w:rPr>
            </w:pPr>
            <w:r w:rsidRPr="00403C8A">
              <w:rPr>
                <w:sz w:val="22"/>
                <w:szCs w:val="22"/>
              </w:rPr>
              <w:t>1710</w:t>
            </w:r>
          </w:p>
        </w:tc>
      </w:tr>
      <w:tr w:rsidR="006962E0" w:rsidRPr="00403C8A" w:rsidTr="00F3378C">
        <w:trPr>
          <w:jc w:val="center"/>
        </w:trPr>
        <w:tc>
          <w:tcPr>
            <w:tcW w:w="3879" w:type="dxa"/>
            <w:shd w:val="clear" w:color="auto" w:fill="auto"/>
            <w:noWrap/>
            <w:vAlign w:val="center"/>
          </w:tcPr>
          <w:p w:rsidR="006962E0" w:rsidRPr="00403C8A" w:rsidRDefault="006962E0" w:rsidP="003F5B6F">
            <w:pPr>
              <w:pStyle w:val="G4bTableBody"/>
              <w:rPr>
                <w:sz w:val="22"/>
                <w:szCs w:val="22"/>
              </w:rPr>
            </w:pPr>
            <w:r w:rsidRPr="00403C8A">
              <w:rPr>
                <w:sz w:val="22"/>
                <w:szCs w:val="22"/>
              </w:rPr>
              <w:t>Eldorado (Canada)</w:t>
            </w:r>
          </w:p>
        </w:tc>
        <w:tc>
          <w:tcPr>
            <w:tcW w:w="1296" w:type="dxa"/>
            <w:shd w:val="clear" w:color="auto" w:fill="auto"/>
            <w:noWrap/>
            <w:vAlign w:val="center"/>
          </w:tcPr>
          <w:p w:rsidR="006962E0" w:rsidRPr="00403C8A" w:rsidRDefault="006962E0" w:rsidP="003F5B6F">
            <w:pPr>
              <w:pStyle w:val="G4bTableBody"/>
              <w:rPr>
                <w:sz w:val="22"/>
                <w:szCs w:val="22"/>
              </w:rPr>
            </w:pPr>
            <w:r w:rsidRPr="00403C8A">
              <w:rPr>
                <w:sz w:val="22"/>
                <w:szCs w:val="22"/>
              </w:rPr>
              <w:t>0.8 ± 1.5</w:t>
            </w:r>
          </w:p>
        </w:tc>
        <w:tc>
          <w:tcPr>
            <w:tcW w:w="1726" w:type="dxa"/>
            <w:shd w:val="clear" w:color="auto" w:fill="auto"/>
            <w:noWrap/>
            <w:vAlign w:val="center"/>
          </w:tcPr>
          <w:p w:rsidR="006962E0" w:rsidRPr="00403C8A" w:rsidRDefault="006962E0" w:rsidP="003F5B6F">
            <w:pPr>
              <w:pStyle w:val="G4bTableBody"/>
              <w:rPr>
                <w:sz w:val="22"/>
                <w:szCs w:val="22"/>
              </w:rPr>
            </w:pPr>
            <w:r w:rsidRPr="00403C8A">
              <w:rPr>
                <w:sz w:val="22"/>
                <w:szCs w:val="22"/>
              </w:rPr>
              <w:t>16445</w:t>
            </w:r>
          </w:p>
        </w:tc>
      </w:tr>
      <w:tr w:rsidR="006962E0" w:rsidRPr="00403C8A" w:rsidTr="00F3378C">
        <w:trPr>
          <w:jc w:val="center"/>
        </w:trPr>
        <w:tc>
          <w:tcPr>
            <w:tcW w:w="3879" w:type="dxa"/>
            <w:shd w:val="clear" w:color="auto" w:fill="auto"/>
            <w:noWrap/>
            <w:vAlign w:val="center"/>
          </w:tcPr>
          <w:p w:rsidR="006962E0" w:rsidRPr="00403C8A" w:rsidRDefault="006962E0" w:rsidP="003F5B6F">
            <w:pPr>
              <w:pStyle w:val="G4bTableBody"/>
              <w:rPr>
                <w:sz w:val="22"/>
                <w:szCs w:val="22"/>
              </w:rPr>
            </w:pPr>
            <w:proofErr w:type="spellStart"/>
            <w:r w:rsidRPr="00403C8A">
              <w:rPr>
                <w:sz w:val="22"/>
                <w:szCs w:val="22"/>
              </w:rPr>
              <w:t>Rössing</w:t>
            </w:r>
            <w:proofErr w:type="spellEnd"/>
            <w:r w:rsidRPr="00403C8A">
              <w:rPr>
                <w:sz w:val="22"/>
                <w:szCs w:val="22"/>
              </w:rPr>
              <w:t xml:space="preserve"> (Namibia)</w:t>
            </w:r>
          </w:p>
        </w:tc>
        <w:tc>
          <w:tcPr>
            <w:tcW w:w="1296" w:type="dxa"/>
            <w:shd w:val="clear" w:color="auto" w:fill="auto"/>
            <w:noWrap/>
            <w:vAlign w:val="center"/>
          </w:tcPr>
          <w:p w:rsidR="006962E0" w:rsidRPr="00403C8A" w:rsidRDefault="006962E0" w:rsidP="003F5B6F">
            <w:pPr>
              <w:pStyle w:val="G4bTableBody"/>
              <w:rPr>
                <w:sz w:val="22"/>
                <w:szCs w:val="22"/>
              </w:rPr>
            </w:pPr>
            <w:r w:rsidRPr="00403C8A">
              <w:rPr>
                <w:sz w:val="22"/>
                <w:szCs w:val="22"/>
              </w:rPr>
              <w:t>10.4 ± 0.9</w:t>
            </w:r>
          </w:p>
        </w:tc>
        <w:tc>
          <w:tcPr>
            <w:tcW w:w="1726" w:type="dxa"/>
            <w:shd w:val="clear" w:color="auto" w:fill="auto"/>
            <w:noWrap/>
            <w:vAlign w:val="center"/>
          </w:tcPr>
          <w:p w:rsidR="006962E0" w:rsidRPr="00403C8A" w:rsidRDefault="006962E0" w:rsidP="003F5B6F">
            <w:pPr>
              <w:pStyle w:val="G4bTableBody"/>
              <w:rPr>
                <w:sz w:val="22"/>
                <w:szCs w:val="22"/>
              </w:rPr>
            </w:pPr>
            <w:r w:rsidRPr="00403C8A">
              <w:rPr>
                <w:sz w:val="22"/>
                <w:szCs w:val="22"/>
              </w:rPr>
              <w:t>4675</w:t>
            </w:r>
          </w:p>
        </w:tc>
      </w:tr>
      <w:tr w:rsidR="006962E0" w:rsidRPr="00403C8A" w:rsidTr="00F3378C">
        <w:trPr>
          <w:jc w:val="center"/>
        </w:trPr>
        <w:tc>
          <w:tcPr>
            <w:tcW w:w="3879" w:type="dxa"/>
            <w:shd w:val="clear" w:color="auto" w:fill="auto"/>
            <w:noWrap/>
            <w:vAlign w:val="center"/>
          </w:tcPr>
          <w:p w:rsidR="006962E0" w:rsidRPr="00403C8A" w:rsidRDefault="006962E0" w:rsidP="003F5B6F">
            <w:pPr>
              <w:pStyle w:val="G4bTableBody"/>
              <w:rPr>
                <w:sz w:val="22"/>
                <w:szCs w:val="22"/>
              </w:rPr>
            </w:pPr>
            <w:proofErr w:type="spellStart"/>
            <w:r w:rsidRPr="00403C8A">
              <w:rPr>
                <w:sz w:val="22"/>
                <w:szCs w:val="22"/>
              </w:rPr>
              <w:t>Palabora</w:t>
            </w:r>
            <w:proofErr w:type="spellEnd"/>
            <w:r w:rsidRPr="00403C8A">
              <w:rPr>
                <w:sz w:val="22"/>
                <w:szCs w:val="22"/>
              </w:rPr>
              <w:t xml:space="preserve"> (South Africa)</w:t>
            </w:r>
          </w:p>
        </w:tc>
        <w:tc>
          <w:tcPr>
            <w:tcW w:w="1296" w:type="dxa"/>
            <w:shd w:val="clear" w:color="auto" w:fill="auto"/>
            <w:noWrap/>
            <w:vAlign w:val="center"/>
          </w:tcPr>
          <w:p w:rsidR="006962E0" w:rsidRPr="00403C8A" w:rsidRDefault="006962E0" w:rsidP="003F5B6F">
            <w:pPr>
              <w:pStyle w:val="G4bTableBody"/>
              <w:rPr>
                <w:sz w:val="22"/>
                <w:szCs w:val="22"/>
              </w:rPr>
            </w:pPr>
            <w:r w:rsidRPr="00403C8A">
              <w:rPr>
                <w:sz w:val="22"/>
                <w:szCs w:val="22"/>
              </w:rPr>
              <w:t>7.2 ± 1.6</w:t>
            </w:r>
          </w:p>
        </w:tc>
        <w:tc>
          <w:tcPr>
            <w:tcW w:w="1726" w:type="dxa"/>
            <w:shd w:val="clear" w:color="auto" w:fill="auto"/>
            <w:noWrap/>
            <w:vAlign w:val="center"/>
          </w:tcPr>
          <w:p w:rsidR="006962E0" w:rsidRPr="00403C8A" w:rsidRDefault="006962E0" w:rsidP="003F5B6F">
            <w:pPr>
              <w:pStyle w:val="G4bTableBody"/>
              <w:rPr>
                <w:sz w:val="22"/>
                <w:szCs w:val="22"/>
              </w:rPr>
            </w:pPr>
            <w:r w:rsidRPr="00403C8A">
              <w:rPr>
                <w:sz w:val="22"/>
                <w:szCs w:val="22"/>
              </w:rPr>
              <w:t>410</w:t>
            </w:r>
          </w:p>
        </w:tc>
      </w:tr>
      <w:tr w:rsidR="006962E0" w:rsidRPr="00403C8A" w:rsidTr="00F3378C">
        <w:trPr>
          <w:jc w:val="center"/>
        </w:trPr>
        <w:tc>
          <w:tcPr>
            <w:tcW w:w="3879" w:type="dxa"/>
            <w:shd w:val="clear" w:color="auto" w:fill="auto"/>
            <w:noWrap/>
            <w:vAlign w:val="center"/>
          </w:tcPr>
          <w:p w:rsidR="006962E0" w:rsidRPr="00403C8A" w:rsidRDefault="006962E0" w:rsidP="003F5B6F">
            <w:pPr>
              <w:pStyle w:val="G4bTableBody"/>
              <w:rPr>
                <w:sz w:val="22"/>
                <w:szCs w:val="22"/>
              </w:rPr>
            </w:pPr>
            <w:proofErr w:type="spellStart"/>
            <w:r w:rsidRPr="00403C8A">
              <w:rPr>
                <w:sz w:val="22"/>
                <w:szCs w:val="22"/>
              </w:rPr>
              <w:t>Arlit</w:t>
            </w:r>
            <w:proofErr w:type="spellEnd"/>
            <w:r w:rsidRPr="00403C8A">
              <w:rPr>
                <w:sz w:val="22"/>
                <w:szCs w:val="22"/>
              </w:rPr>
              <w:t xml:space="preserve"> (Niger)</w:t>
            </w:r>
          </w:p>
        </w:tc>
        <w:tc>
          <w:tcPr>
            <w:tcW w:w="1296" w:type="dxa"/>
            <w:shd w:val="clear" w:color="auto" w:fill="auto"/>
            <w:noWrap/>
            <w:vAlign w:val="center"/>
          </w:tcPr>
          <w:p w:rsidR="006962E0" w:rsidRPr="00403C8A" w:rsidRDefault="006962E0" w:rsidP="003F5B6F">
            <w:pPr>
              <w:pStyle w:val="G4bTableBody"/>
              <w:rPr>
                <w:sz w:val="22"/>
                <w:szCs w:val="22"/>
              </w:rPr>
            </w:pPr>
            <w:r w:rsidRPr="00403C8A">
              <w:rPr>
                <w:sz w:val="22"/>
                <w:szCs w:val="22"/>
              </w:rPr>
              <w:t>12.5 ± 1.7</w:t>
            </w:r>
          </w:p>
        </w:tc>
        <w:tc>
          <w:tcPr>
            <w:tcW w:w="1726" w:type="dxa"/>
            <w:shd w:val="clear" w:color="auto" w:fill="auto"/>
            <w:noWrap/>
            <w:vAlign w:val="center"/>
          </w:tcPr>
          <w:p w:rsidR="006962E0" w:rsidRPr="00403C8A" w:rsidRDefault="006962E0" w:rsidP="003F5B6F">
            <w:pPr>
              <w:pStyle w:val="G4bTableBody"/>
              <w:rPr>
                <w:sz w:val="22"/>
                <w:szCs w:val="22"/>
              </w:rPr>
            </w:pPr>
            <w:r w:rsidRPr="00403C8A">
              <w:rPr>
                <w:sz w:val="22"/>
                <w:szCs w:val="22"/>
              </w:rPr>
              <w:t>190</w:t>
            </w:r>
          </w:p>
        </w:tc>
      </w:tr>
      <w:tr w:rsidR="006962E0" w:rsidRPr="00403C8A" w:rsidTr="00F3378C">
        <w:trPr>
          <w:jc w:val="center"/>
        </w:trPr>
        <w:tc>
          <w:tcPr>
            <w:tcW w:w="3879" w:type="dxa"/>
            <w:shd w:val="clear" w:color="auto" w:fill="auto"/>
            <w:noWrap/>
            <w:vAlign w:val="center"/>
          </w:tcPr>
          <w:p w:rsidR="006962E0" w:rsidRPr="00403C8A" w:rsidRDefault="006962E0" w:rsidP="003F5B6F">
            <w:pPr>
              <w:pStyle w:val="G4bTableBody"/>
              <w:rPr>
                <w:sz w:val="22"/>
                <w:szCs w:val="22"/>
              </w:rPr>
            </w:pPr>
            <w:r w:rsidRPr="00403C8A">
              <w:rPr>
                <w:sz w:val="22"/>
                <w:szCs w:val="22"/>
              </w:rPr>
              <w:t>McArthur River (Canada)</w:t>
            </w:r>
          </w:p>
        </w:tc>
        <w:tc>
          <w:tcPr>
            <w:tcW w:w="1296" w:type="dxa"/>
            <w:shd w:val="clear" w:color="auto" w:fill="auto"/>
            <w:noWrap/>
            <w:vAlign w:val="center"/>
          </w:tcPr>
          <w:p w:rsidR="006962E0" w:rsidRPr="00403C8A" w:rsidRDefault="006962E0" w:rsidP="003F5B6F">
            <w:pPr>
              <w:pStyle w:val="G4bTableBody"/>
              <w:rPr>
                <w:sz w:val="22"/>
                <w:szCs w:val="22"/>
              </w:rPr>
            </w:pPr>
            <w:r w:rsidRPr="00403C8A">
              <w:rPr>
                <w:sz w:val="22"/>
                <w:szCs w:val="22"/>
              </w:rPr>
              <w:t>8.6 ± 1.1</w:t>
            </w:r>
          </w:p>
        </w:tc>
        <w:tc>
          <w:tcPr>
            <w:tcW w:w="1726" w:type="dxa"/>
            <w:shd w:val="clear" w:color="auto" w:fill="auto"/>
            <w:noWrap/>
            <w:vAlign w:val="center"/>
          </w:tcPr>
          <w:p w:rsidR="006962E0" w:rsidRPr="00403C8A" w:rsidRDefault="006962E0" w:rsidP="003F5B6F">
            <w:pPr>
              <w:pStyle w:val="G4bTableBody"/>
              <w:rPr>
                <w:sz w:val="22"/>
                <w:szCs w:val="22"/>
              </w:rPr>
            </w:pPr>
            <w:r w:rsidRPr="00403C8A">
              <w:rPr>
                <w:sz w:val="22"/>
                <w:szCs w:val="22"/>
              </w:rPr>
              <w:t>20053</w:t>
            </w:r>
          </w:p>
        </w:tc>
      </w:tr>
      <w:tr w:rsidR="006962E0" w:rsidRPr="00403C8A" w:rsidTr="00F3378C">
        <w:trPr>
          <w:jc w:val="center"/>
        </w:trPr>
        <w:tc>
          <w:tcPr>
            <w:tcW w:w="3879" w:type="dxa"/>
            <w:shd w:val="clear" w:color="auto" w:fill="auto"/>
            <w:noWrap/>
            <w:vAlign w:val="center"/>
          </w:tcPr>
          <w:p w:rsidR="006962E0" w:rsidRPr="00403C8A" w:rsidRDefault="006962E0" w:rsidP="003F5B6F">
            <w:pPr>
              <w:pStyle w:val="G4bTableBody"/>
              <w:rPr>
                <w:sz w:val="22"/>
                <w:szCs w:val="22"/>
              </w:rPr>
            </w:pPr>
            <w:proofErr w:type="spellStart"/>
            <w:r w:rsidRPr="00403C8A">
              <w:rPr>
                <w:sz w:val="22"/>
                <w:szCs w:val="22"/>
              </w:rPr>
              <w:t>Mounana</w:t>
            </w:r>
            <w:proofErr w:type="spellEnd"/>
            <w:r w:rsidRPr="00403C8A">
              <w:rPr>
                <w:sz w:val="22"/>
                <w:szCs w:val="22"/>
              </w:rPr>
              <w:t xml:space="preserve"> (Gabon)</w:t>
            </w:r>
          </w:p>
        </w:tc>
        <w:tc>
          <w:tcPr>
            <w:tcW w:w="1296" w:type="dxa"/>
            <w:shd w:val="clear" w:color="auto" w:fill="auto"/>
            <w:noWrap/>
            <w:vAlign w:val="center"/>
          </w:tcPr>
          <w:p w:rsidR="006962E0" w:rsidRPr="00403C8A" w:rsidRDefault="006962E0" w:rsidP="003F5B6F">
            <w:pPr>
              <w:pStyle w:val="G4bTableBody"/>
              <w:rPr>
                <w:sz w:val="22"/>
                <w:szCs w:val="22"/>
              </w:rPr>
            </w:pPr>
            <w:r w:rsidRPr="00403C8A">
              <w:rPr>
                <w:sz w:val="22"/>
                <w:szCs w:val="22"/>
              </w:rPr>
              <w:t>11.0 ± 0.9</w:t>
            </w:r>
          </w:p>
        </w:tc>
        <w:tc>
          <w:tcPr>
            <w:tcW w:w="1726" w:type="dxa"/>
            <w:shd w:val="clear" w:color="auto" w:fill="auto"/>
            <w:noWrap/>
            <w:vAlign w:val="center"/>
          </w:tcPr>
          <w:p w:rsidR="006962E0" w:rsidRPr="00403C8A" w:rsidRDefault="006962E0" w:rsidP="003F5B6F">
            <w:pPr>
              <w:pStyle w:val="G4bTableBody"/>
              <w:rPr>
                <w:sz w:val="22"/>
                <w:szCs w:val="22"/>
              </w:rPr>
            </w:pPr>
            <w:r w:rsidRPr="00403C8A">
              <w:rPr>
                <w:sz w:val="22"/>
                <w:szCs w:val="22"/>
              </w:rPr>
              <w:t>11793</w:t>
            </w:r>
          </w:p>
        </w:tc>
      </w:tr>
    </w:tbl>
    <w:p w:rsidR="006962E0" w:rsidRPr="00403C8A" w:rsidRDefault="006962E0" w:rsidP="004337D6">
      <w:pPr>
        <w:pStyle w:val="G1aFigureImage"/>
        <w:spacing w:before="0" w:after="0"/>
        <w:jc w:val="both"/>
        <w:rPr>
          <w:sz w:val="22"/>
          <w:szCs w:val="22"/>
        </w:rPr>
      </w:pPr>
    </w:p>
    <w:p w:rsidR="006962E0" w:rsidRPr="00403C8A" w:rsidRDefault="006962E0" w:rsidP="004337D6">
      <w:pPr>
        <w:pStyle w:val="G1bFigureCaption"/>
        <w:spacing w:before="0" w:after="0" w:line="240" w:lineRule="auto"/>
        <w:jc w:val="both"/>
      </w:pPr>
    </w:p>
    <w:p w:rsidR="006962E0" w:rsidRPr="00403C8A" w:rsidRDefault="006962E0" w:rsidP="004337D6">
      <w:pPr>
        <w:pStyle w:val="G1aFigureImage"/>
        <w:spacing w:before="0" w:after="0"/>
        <w:jc w:val="both"/>
        <w:rPr>
          <w:sz w:val="22"/>
          <w:szCs w:val="22"/>
        </w:rPr>
      </w:pPr>
      <w:r w:rsidRPr="00403C8A">
        <w:rPr>
          <w:noProof/>
          <w:sz w:val="22"/>
          <w:szCs w:val="22"/>
        </w:rPr>
        <w:drawing>
          <wp:inline distT="0" distB="0" distL="0" distR="0" wp14:anchorId="718A33B4" wp14:editId="5DEE8277">
            <wp:extent cx="5531005" cy="387758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9708" cy="3876678"/>
                    </a:xfrm>
                    <a:prstGeom prst="rect">
                      <a:avLst/>
                    </a:prstGeom>
                    <a:noFill/>
                    <a:ln>
                      <a:noFill/>
                    </a:ln>
                  </pic:spPr>
                </pic:pic>
              </a:graphicData>
            </a:graphic>
          </wp:inline>
        </w:drawing>
      </w:r>
    </w:p>
    <w:p w:rsidR="006962E0" w:rsidRPr="00DC2896" w:rsidRDefault="006962E0" w:rsidP="00DC2896">
      <w:pPr>
        <w:pStyle w:val="G1bFigureCaption"/>
        <w:spacing w:before="0" w:after="0" w:line="240" w:lineRule="auto"/>
        <w:rPr>
          <w:i/>
          <w:sz w:val="22"/>
          <w:szCs w:val="22"/>
          <w:lang w:eastAsia="ko-KR"/>
        </w:rPr>
      </w:pPr>
      <w:proofErr w:type="gramStart"/>
      <w:r w:rsidRPr="00DC2896">
        <w:rPr>
          <w:i/>
          <w:sz w:val="22"/>
          <w:szCs w:val="22"/>
          <w:lang w:eastAsia="ko-KR"/>
        </w:rPr>
        <w:t>FIG. 1.</w:t>
      </w:r>
      <w:proofErr w:type="gramEnd"/>
      <w:r w:rsidRPr="00DC2896">
        <w:rPr>
          <w:i/>
          <w:sz w:val="22"/>
          <w:szCs w:val="22"/>
          <w:lang w:eastAsia="ko-KR"/>
        </w:rPr>
        <w:t xml:space="preserve"> </w:t>
      </w:r>
      <w:r w:rsidRPr="00DC2896">
        <w:rPr>
          <w:i/>
          <w:sz w:val="22"/>
          <w:szCs w:val="22"/>
        </w:rPr>
        <w:t xml:space="preserve">Distribution of </w:t>
      </w:r>
      <w:r w:rsidRPr="00DC2896">
        <w:rPr>
          <w:rFonts w:ascii="Symbol" w:hAnsi="Symbol"/>
          <w:i/>
          <w:sz w:val="22"/>
          <w:szCs w:val="22"/>
        </w:rPr>
        <w:t></w:t>
      </w:r>
      <w:proofErr w:type="gramStart"/>
      <w:r w:rsidRPr="00DC2896">
        <w:rPr>
          <w:i/>
          <w:sz w:val="22"/>
          <w:szCs w:val="22"/>
          <w:vertAlign w:val="superscript"/>
        </w:rPr>
        <w:t>34</w:t>
      </w:r>
      <w:r w:rsidRPr="00DC2896">
        <w:rPr>
          <w:i/>
          <w:sz w:val="22"/>
          <w:szCs w:val="22"/>
        </w:rPr>
        <w:t>S</w:t>
      </w:r>
      <w:r w:rsidRPr="00DC2896">
        <w:rPr>
          <w:i/>
          <w:sz w:val="22"/>
          <w:szCs w:val="22"/>
          <w:vertAlign w:val="subscript"/>
        </w:rPr>
        <w:t>VCDT</w:t>
      </w:r>
      <w:r w:rsidRPr="00DC2896">
        <w:rPr>
          <w:i/>
          <w:sz w:val="22"/>
          <w:szCs w:val="22"/>
        </w:rPr>
        <w:t>(</w:t>
      </w:r>
      <w:proofErr w:type="gramEnd"/>
      <w:r w:rsidRPr="00DC2896">
        <w:rPr>
          <w:i/>
          <w:sz w:val="22"/>
          <w:szCs w:val="22"/>
        </w:rPr>
        <w:t>‰) and sulphate concentration of the analysed uranium ore concentrates. The relative combined standard uncertainty of the sulphate determination by ion chromatography is less than 10%.</w:t>
      </w:r>
    </w:p>
    <w:p w:rsidR="006962E0" w:rsidRPr="00403C8A" w:rsidRDefault="006962E0" w:rsidP="004337D6">
      <w:pPr>
        <w:pStyle w:val="08ArticleText"/>
        <w:spacing w:line="240" w:lineRule="auto"/>
        <w:rPr>
          <w:sz w:val="22"/>
          <w:szCs w:val="22"/>
        </w:rPr>
      </w:pPr>
    </w:p>
    <w:p w:rsidR="006962E0" w:rsidRDefault="006962E0" w:rsidP="004337D6">
      <w:pPr>
        <w:pStyle w:val="08ArticleText"/>
        <w:spacing w:line="240" w:lineRule="auto"/>
        <w:rPr>
          <w:sz w:val="22"/>
          <w:szCs w:val="22"/>
        </w:rPr>
      </w:pPr>
    </w:p>
    <w:p w:rsidR="006962E0" w:rsidRPr="00380C46" w:rsidRDefault="006962E0" w:rsidP="0082710D">
      <w:pPr>
        <w:pStyle w:val="05BHeading"/>
        <w:spacing w:before="0" w:after="0" w:line="240" w:lineRule="auto"/>
        <w:rPr>
          <w:i/>
          <w:sz w:val="22"/>
          <w:szCs w:val="22"/>
        </w:rPr>
      </w:pPr>
      <w:r>
        <w:rPr>
          <w:i/>
          <w:sz w:val="22"/>
          <w:szCs w:val="22"/>
        </w:rPr>
        <w:t>3.2</w:t>
      </w:r>
      <w:r w:rsidRPr="00380C46">
        <w:rPr>
          <w:i/>
          <w:sz w:val="22"/>
          <w:szCs w:val="22"/>
        </w:rPr>
        <w:t>.</w:t>
      </w:r>
      <w:r>
        <w:rPr>
          <w:i/>
          <w:sz w:val="22"/>
          <w:szCs w:val="22"/>
        </w:rPr>
        <w:t xml:space="preserve"> Variation of</w:t>
      </w:r>
      <w:r w:rsidRPr="00380C46">
        <w:rPr>
          <w:i/>
          <w:sz w:val="22"/>
          <w:szCs w:val="22"/>
        </w:rPr>
        <w:t xml:space="preserve"> </w:t>
      </w:r>
      <w:proofErr w:type="gramStart"/>
      <w:r w:rsidRPr="00403C8A">
        <w:rPr>
          <w:i/>
          <w:sz w:val="22"/>
          <w:szCs w:val="22"/>
          <w:lang w:eastAsia="hu-HU"/>
        </w:rPr>
        <w:t>n</w:t>
      </w:r>
      <w:r w:rsidRPr="00403C8A">
        <w:rPr>
          <w:sz w:val="22"/>
          <w:szCs w:val="22"/>
          <w:lang w:eastAsia="hu-HU"/>
        </w:rPr>
        <w:t>(</w:t>
      </w:r>
      <w:proofErr w:type="gramEnd"/>
      <w:r w:rsidRPr="00403C8A">
        <w:rPr>
          <w:sz w:val="22"/>
          <w:szCs w:val="22"/>
          <w:vertAlign w:val="superscript"/>
          <w:lang w:eastAsia="hu-HU"/>
        </w:rPr>
        <w:t>34</w:t>
      </w:r>
      <w:r w:rsidRPr="00403C8A">
        <w:rPr>
          <w:sz w:val="22"/>
          <w:szCs w:val="22"/>
          <w:lang w:eastAsia="hu-HU"/>
        </w:rPr>
        <w:t>S)/</w:t>
      </w:r>
      <w:r w:rsidRPr="00403C8A">
        <w:rPr>
          <w:i/>
          <w:sz w:val="22"/>
          <w:szCs w:val="22"/>
          <w:lang w:eastAsia="hu-HU"/>
        </w:rPr>
        <w:t>n</w:t>
      </w:r>
      <w:r w:rsidRPr="00403C8A">
        <w:rPr>
          <w:sz w:val="22"/>
          <w:szCs w:val="22"/>
          <w:lang w:eastAsia="hu-HU"/>
        </w:rPr>
        <w:t>(</w:t>
      </w:r>
      <w:r w:rsidRPr="00403C8A">
        <w:rPr>
          <w:sz w:val="22"/>
          <w:szCs w:val="22"/>
          <w:vertAlign w:val="superscript"/>
          <w:lang w:eastAsia="hu-HU"/>
        </w:rPr>
        <w:t>32</w:t>
      </w:r>
      <w:r w:rsidRPr="00403C8A">
        <w:rPr>
          <w:sz w:val="22"/>
          <w:szCs w:val="22"/>
          <w:lang w:eastAsia="hu-HU"/>
        </w:rPr>
        <w:t xml:space="preserve">S) </w:t>
      </w:r>
      <w:r w:rsidRPr="00380C46">
        <w:rPr>
          <w:i/>
          <w:sz w:val="22"/>
          <w:szCs w:val="22"/>
        </w:rPr>
        <w:t xml:space="preserve">ratio </w:t>
      </w:r>
      <w:r>
        <w:rPr>
          <w:i/>
          <w:sz w:val="22"/>
          <w:szCs w:val="22"/>
        </w:rPr>
        <w:t>in UOC production</w:t>
      </w:r>
    </w:p>
    <w:p w:rsidR="006962E0" w:rsidRDefault="006962E0" w:rsidP="0082710D">
      <w:pPr>
        <w:pStyle w:val="08ArticleText"/>
        <w:spacing w:line="240" w:lineRule="auto"/>
        <w:rPr>
          <w:sz w:val="22"/>
          <w:szCs w:val="22"/>
        </w:rPr>
      </w:pPr>
    </w:p>
    <w:p w:rsidR="006962E0" w:rsidRDefault="006962E0" w:rsidP="0082710D">
      <w:pPr>
        <w:pStyle w:val="08ArticleText"/>
        <w:spacing w:line="240" w:lineRule="auto"/>
        <w:rPr>
          <w:sz w:val="22"/>
          <w:szCs w:val="22"/>
        </w:rPr>
      </w:pPr>
      <w:r w:rsidRPr="00403C8A">
        <w:rPr>
          <w:sz w:val="22"/>
          <w:szCs w:val="22"/>
        </w:rPr>
        <w:t xml:space="preserve">The developed method was applied for the measurement of </w:t>
      </w:r>
      <w:r>
        <w:rPr>
          <w:sz w:val="22"/>
          <w:szCs w:val="22"/>
        </w:rPr>
        <w:t>intermediate products in the course of a uranium ore concentrate production</w:t>
      </w:r>
      <w:r w:rsidRPr="00403C8A">
        <w:rPr>
          <w:sz w:val="22"/>
          <w:szCs w:val="22"/>
        </w:rPr>
        <w:t xml:space="preserve">. </w:t>
      </w:r>
      <w:r>
        <w:rPr>
          <w:sz w:val="22"/>
          <w:szCs w:val="22"/>
        </w:rPr>
        <w:t xml:space="preserve">In the undisclosed facility UOC is produced in the following way: in the first stage the uranium ore is leached with sulphuric acid, </w:t>
      </w:r>
      <w:proofErr w:type="gramStart"/>
      <w:r>
        <w:rPr>
          <w:sz w:val="22"/>
          <w:szCs w:val="22"/>
        </w:rPr>
        <w:t>then</w:t>
      </w:r>
      <w:proofErr w:type="gramEnd"/>
      <w:r>
        <w:rPr>
          <w:sz w:val="22"/>
          <w:szCs w:val="22"/>
        </w:rPr>
        <w:t xml:space="preserve"> the leachate is purified by ion exchange, then solvent extraction. Uranium is precipitated using ammonia, the resulted ammonium uranate (AU) is </w:t>
      </w:r>
      <w:proofErr w:type="spellStart"/>
      <w:r>
        <w:rPr>
          <w:sz w:val="22"/>
          <w:szCs w:val="22"/>
        </w:rPr>
        <w:t>calcined</w:t>
      </w:r>
      <w:proofErr w:type="spellEnd"/>
      <w:r>
        <w:rPr>
          <w:sz w:val="22"/>
          <w:szCs w:val="22"/>
        </w:rPr>
        <w:t xml:space="preserve"> to U</w:t>
      </w:r>
      <w:r w:rsidRPr="0064036F">
        <w:rPr>
          <w:sz w:val="22"/>
          <w:szCs w:val="22"/>
          <w:vertAlign w:val="subscript"/>
        </w:rPr>
        <w:t>3</w:t>
      </w:r>
      <w:r>
        <w:rPr>
          <w:sz w:val="22"/>
          <w:szCs w:val="22"/>
        </w:rPr>
        <w:t>O</w:t>
      </w:r>
      <w:r w:rsidRPr="0064036F">
        <w:rPr>
          <w:sz w:val="22"/>
          <w:szCs w:val="22"/>
          <w:vertAlign w:val="subscript"/>
        </w:rPr>
        <w:t>8</w:t>
      </w:r>
      <w:r>
        <w:rPr>
          <w:sz w:val="22"/>
          <w:szCs w:val="22"/>
        </w:rPr>
        <w:t xml:space="preserve"> as the final product. The material flow was sampled at each stage, the sulphur concentration and the </w:t>
      </w:r>
      <w:proofErr w:type="gramStart"/>
      <w:r w:rsidRPr="00403C8A">
        <w:rPr>
          <w:i/>
          <w:sz w:val="22"/>
          <w:szCs w:val="22"/>
          <w:lang w:eastAsia="hu-HU"/>
        </w:rPr>
        <w:t>n</w:t>
      </w:r>
      <w:r w:rsidRPr="00403C8A">
        <w:rPr>
          <w:sz w:val="22"/>
          <w:szCs w:val="22"/>
          <w:lang w:eastAsia="hu-HU"/>
        </w:rPr>
        <w:t>(</w:t>
      </w:r>
      <w:proofErr w:type="gramEnd"/>
      <w:r w:rsidRPr="00403C8A">
        <w:rPr>
          <w:sz w:val="22"/>
          <w:szCs w:val="22"/>
          <w:vertAlign w:val="superscript"/>
          <w:lang w:eastAsia="hu-HU"/>
        </w:rPr>
        <w:t>34</w:t>
      </w:r>
      <w:r w:rsidRPr="00403C8A">
        <w:rPr>
          <w:sz w:val="22"/>
          <w:szCs w:val="22"/>
          <w:lang w:eastAsia="hu-HU"/>
        </w:rPr>
        <w:t>S)/</w:t>
      </w:r>
      <w:r w:rsidRPr="00403C8A">
        <w:rPr>
          <w:i/>
          <w:sz w:val="22"/>
          <w:szCs w:val="22"/>
          <w:lang w:eastAsia="hu-HU"/>
        </w:rPr>
        <w:t>n</w:t>
      </w:r>
      <w:r w:rsidRPr="00403C8A">
        <w:rPr>
          <w:sz w:val="22"/>
          <w:szCs w:val="22"/>
          <w:lang w:eastAsia="hu-HU"/>
        </w:rPr>
        <w:t>(</w:t>
      </w:r>
      <w:r w:rsidRPr="00403C8A">
        <w:rPr>
          <w:sz w:val="22"/>
          <w:szCs w:val="22"/>
          <w:vertAlign w:val="superscript"/>
          <w:lang w:eastAsia="hu-HU"/>
        </w:rPr>
        <w:t>32</w:t>
      </w:r>
      <w:r w:rsidRPr="00403C8A">
        <w:rPr>
          <w:sz w:val="22"/>
          <w:szCs w:val="22"/>
          <w:lang w:eastAsia="hu-HU"/>
        </w:rPr>
        <w:t>S)</w:t>
      </w:r>
      <w:r>
        <w:rPr>
          <w:sz w:val="22"/>
          <w:szCs w:val="22"/>
          <w:lang w:eastAsia="hu-HU"/>
        </w:rPr>
        <w:t xml:space="preserve"> was measured with the method described before.</w:t>
      </w:r>
    </w:p>
    <w:p w:rsidR="006962E0" w:rsidRDefault="006962E0" w:rsidP="0082710D">
      <w:pPr>
        <w:pStyle w:val="08ArticleText"/>
        <w:spacing w:line="240" w:lineRule="auto"/>
        <w:rPr>
          <w:sz w:val="22"/>
          <w:szCs w:val="22"/>
        </w:rPr>
      </w:pPr>
    </w:p>
    <w:p w:rsidR="006962E0" w:rsidRDefault="006962E0" w:rsidP="004337D6">
      <w:pPr>
        <w:pStyle w:val="08ArticleText"/>
        <w:spacing w:line="240" w:lineRule="auto"/>
        <w:rPr>
          <w:sz w:val="22"/>
          <w:szCs w:val="22"/>
        </w:rPr>
      </w:pPr>
      <w:r w:rsidRPr="00403C8A">
        <w:rPr>
          <w:sz w:val="22"/>
          <w:szCs w:val="22"/>
        </w:rPr>
        <w:t>The</w:t>
      </w:r>
      <w:r>
        <w:rPr>
          <w:sz w:val="22"/>
          <w:szCs w:val="22"/>
        </w:rPr>
        <w:t xml:space="preserve"> sulphur concentrations and </w:t>
      </w:r>
      <w:proofErr w:type="gramStart"/>
      <w:r w:rsidRPr="00403C8A">
        <w:rPr>
          <w:i/>
          <w:sz w:val="22"/>
          <w:szCs w:val="22"/>
          <w:lang w:eastAsia="hu-HU"/>
        </w:rPr>
        <w:t>n</w:t>
      </w:r>
      <w:r w:rsidRPr="00403C8A">
        <w:rPr>
          <w:sz w:val="22"/>
          <w:szCs w:val="22"/>
          <w:lang w:eastAsia="hu-HU"/>
        </w:rPr>
        <w:t>(</w:t>
      </w:r>
      <w:proofErr w:type="gramEnd"/>
      <w:r w:rsidRPr="00403C8A">
        <w:rPr>
          <w:sz w:val="22"/>
          <w:szCs w:val="22"/>
          <w:vertAlign w:val="superscript"/>
          <w:lang w:eastAsia="hu-HU"/>
        </w:rPr>
        <w:t>34</w:t>
      </w:r>
      <w:r w:rsidRPr="00403C8A">
        <w:rPr>
          <w:sz w:val="22"/>
          <w:szCs w:val="22"/>
          <w:lang w:eastAsia="hu-HU"/>
        </w:rPr>
        <w:t>S)/</w:t>
      </w:r>
      <w:r w:rsidRPr="00403C8A">
        <w:rPr>
          <w:i/>
          <w:sz w:val="22"/>
          <w:szCs w:val="22"/>
          <w:lang w:eastAsia="hu-HU"/>
        </w:rPr>
        <w:t>n</w:t>
      </w:r>
      <w:r w:rsidRPr="00403C8A">
        <w:rPr>
          <w:sz w:val="22"/>
          <w:szCs w:val="22"/>
          <w:lang w:eastAsia="hu-HU"/>
        </w:rPr>
        <w:t>(</w:t>
      </w:r>
      <w:r w:rsidRPr="00403C8A">
        <w:rPr>
          <w:sz w:val="22"/>
          <w:szCs w:val="22"/>
          <w:vertAlign w:val="superscript"/>
          <w:lang w:eastAsia="hu-HU"/>
        </w:rPr>
        <w:t>32</w:t>
      </w:r>
      <w:r w:rsidRPr="00403C8A">
        <w:rPr>
          <w:sz w:val="22"/>
          <w:szCs w:val="22"/>
          <w:lang w:eastAsia="hu-HU"/>
        </w:rPr>
        <w:t xml:space="preserve">S) </w:t>
      </w:r>
      <w:r w:rsidRPr="00403C8A">
        <w:rPr>
          <w:sz w:val="22"/>
          <w:szCs w:val="22"/>
        </w:rPr>
        <w:t>results are</w:t>
      </w:r>
      <w:r>
        <w:rPr>
          <w:sz w:val="22"/>
          <w:szCs w:val="22"/>
        </w:rPr>
        <w:t xml:space="preserve"> shown in Fig. 2. Knowing that sulphur is added in high amount to the process flow in various forms (e.g. as H</w:t>
      </w:r>
      <w:r w:rsidRPr="00EB5457">
        <w:rPr>
          <w:sz w:val="22"/>
          <w:szCs w:val="22"/>
          <w:vertAlign w:val="subscript"/>
        </w:rPr>
        <w:t>2</w:t>
      </w:r>
      <w:r>
        <w:rPr>
          <w:sz w:val="22"/>
          <w:szCs w:val="22"/>
        </w:rPr>
        <w:t>SO</w:t>
      </w:r>
      <w:r w:rsidRPr="00EB5457">
        <w:rPr>
          <w:sz w:val="22"/>
          <w:szCs w:val="22"/>
          <w:vertAlign w:val="subscript"/>
        </w:rPr>
        <w:t>4</w:t>
      </w:r>
      <w:r>
        <w:rPr>
          <w:sz w:val="22"/>
          <w:szCs w:val="22"/>
        </w:rPr>
        <w:t xml:space="preserve"> for leaching and ion exchange elution or as Na</w:t>
      </w:r>
      <w:r w:rsidRPr="00EB5457">
        <w:rPr>
          <w:sz w:val="22"/>
          <w:szCs w:val="22"/>
          <w:vertAlign w:val="subscript"/>
        </w:rPr>
        <w:t>2</w:t>
      </w:r>
      <w:r>
        <w:rPr>
          <w:sz w:val="22"/>
          <w:szCs w:val="22"/>
        </w:rPr>
        <w:t>SO</w:t>
      </w:r>
      <w:r w:rsidRPr="00EB5457">
        <w:rPr>
          <w:sz w:val="22"/>
          <w:szCs w:val="22"/>
          <w:vertAlign w:val="subscript"/>
        </w:rPr>
        <w:t>4</w:t>
      </w:r>
      <w:r>
        <w:rPr>
          <w:sz w:val="22"/>
          <w:szCs w:val="22"/>
        </w:rPr>
        <w:t xml:space="preserve"> solution during solvent extraction for back-extraction) it is obvious that the sulphur contribution from process reagents is high. The sulphur concentration of the investigated samples is significantly higher at the ion exchange and solvent extraction stages (second and third stage, respectively) than in the ore leachate (first stage) (Fig. 2), which means that the contribution of sulphur from the process chemicals is increasing. After the solvent extraction purification the sulphur as impurity is gradually removed during the AU precipitation and calcination. In these stages the </w:t>
      </w:r>
      <w:proofErr w:type="gramStart"/>
      <w:r w:rsidRPr="00403C8A">
        <w:rPr>
          <w:i/>
          <w:sz w:val="22"/>
          <w:szCs w:val="22"/>
          <w:lang w:eastAsia="hu-HU"/>
        </w:rPr>
        <w:t>n</w:t>
      </w:r>
      <w:r w:rsidRPr="00403C8A">
        <w:rPr>
          <w:sz w:val="22"/>
          <w:szCs w:val="22"/>
          <w:lang w:eastAsia="hu-HU"/>
        </w:rPr>
        <w:t>(</w:t>
      </w:r>
      <w:proofErr w:type="gramEnd"/>
      <w:r w:rsidRPr="00403C8A">
        <w:rPr>
          <w:sz w:val="22"/>
          <w:szCs w:val="22"/>
          <w:vertAlign w:val="superscript"/>
          <w:lang w:eastAsia="hu-HU"/>
        </w:rPr>
        <w:t>34</w:t>
      </w:r>
      <w:r w:rsidRPr="00403C8A">
        <w:rPr>
          <w:sz w:val="22"/>
          <w:szCs w:val="22"/>
          <w:lang w:eastAsia="hu-HU"/>
        </w:rPr>
        <w:t>S)/</w:t>
      </w:r>
      <w:r w:rsidRPr="00403C8A">
        <w:rPr>
          <w:i/>
          <w:sz w:val="22"/>
          <w:szCs w:val="22"/>
          <w:lang w:eastAsia="hu-HU"/>
        </w:rPr>
        <w:t>n</w:t>
      </w:r>
      <w:r w:rsidRPr="00403C8A">
        <w:rPr>
          <w:sz w:val="22"/>
          <w:szCs w:val="22"/>
          <w:lang w:eastAsia="hu-HU"/>
        </w:rPr>
        <w:t>(</w:t>
      </w:r>
      <w:r w:rsidRPr="00403C8A">
        <w:rPr>
          <w:sz w:val="22"/>
          <w:szCs w:val="22"/>
          <w:vertAlign w:val="superscript"/>
          <w:lang w:eastAsia="hu-HU"/>
        </w:rPr>
        <w:t>32</w:t>
      </w:r>
      <w:r w:rsidRPr="00403C8A">
        <w:rPr>
          <w:sz w:val="22"/>
          <w:szCs w:val="22"/>
          <w:lang w:eastAsia="hu-HU"/>
        </w:rPr>
        <w:t>S)</w:t>
      </w:r>
      <w:r>
        <w:rPr>
          <w:sz w:val="22"/>
          <w:szCs w:val="22"/>
          <w:lang w:eastAsia="hu-HU"/>
        </w:rPr>
        <w:t xml:space="preserve"> does not change, since</w:t>
      </w:r>
      <w:r>
        <w:rPr>
          <w:sz w:val="22"/>
          <w:szCs w:val="22"/>
        </w:rPr>
        <w:t xml:space="preserve"> no reagents with high sulphur content is added to the material process flow.</w:t>
      </w:r>
    </w:p>
    <w:p w:rsidR="00971789" w:rsidRPr="00403C8A" w:rsidRDefault="00971789" w:rsidP="004337D6">
      <w:pPr>
        <w:pStyle w:val="08ArticleText"/>
        <w:spacing w:line="240" w:lineRule="auto"/>
        <w:rPr>
          <w:sz w:val="22"/>
          <w:szCs w:val="22"/>
        </w:rPr>
      </w:pPr>
    </w:p>
    <w:p w:rsidR="006962E0" w:rsidRPr="00403C8A" w:rsidRDefault="006962E0" w:rsidP="004337D6">
      <w:pPr>
        <w:pStyle w:val="08ArticleText"/>
        <w:spacing w:line="240" w:lineRule="auto"/>
        <w:rPr>
          <w:sz w:val="22"/>
          <w:szCs w:val="22"/>
        </w:rPr>
      </w:pPr>
    </w:p>
    <w:p w:rsidR="006962E0" w:rsidRDefault="006962E0" w:rsidP="001C01CE">
      <w:pPr>
        <w:pStyle w:val="08ArticleText"/>
        <w:spacing w:line="240" w:lineRule="auto"/>
        <w:jc w:val="center"/>
        <w:rPr>
          <w:sz w:val="22"/>
          <w:szCs w:val="22"/>
        </w:rPr>
      </w:pPr>
      <w:r w:rsidRPr="00403C8A">
        <w:rPr>
          <w:noProof/>
          <w:sz w:val="22"/>
          <w:szCs w:val="22"/>
        </w:rPr>
        <w:drawing>
          <wp:inline distT="0" distB="0" distL="0" distR="0" wp14:anchorId="220FF5A9" wp14:editId="5950137C">
            <wp:extent cx="4562845" cy="2994749"/>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63533" cy="2995200"/>
                    </a:xfrm>
                    <a:prstGeom prst="rect">
                      <a:avLst/>
                    </a:prstGeom>
                    <a:noFill/>
                  </pic:spPr>
                </pic:pic>
              </a:graphicData>
            </a:graphic>
          </wp:inline>
        </w:drawing>
      </w:r>
    </w:p>
    <w:p w:rsidR="006962E0" w:rsidRDefault="006962E0" w:rsidP="00755E97">
      <w:pPr>
        <w:pStyle w:val="08ArticleText"/>
        <w:spacing w:line="240" w:lineRule="auto"/>
        <w:jc w:val="center"/>
        <w:rPr>
          <w:sz w:val="22"/>
          <w:szCs w:val="22"/>
        </w:rPr>
      </w:pPr>
      <w:proofErr w:type="gramStart"/>
      <w:r w:rsidRPr="00DC2896">
        <w:rPr>
          <w:i/>
          <w:sz w:val="22"/>
          <w:szCs w:val="22"/>
          <w:lang w:eastAsia="ko-KR"/>
        </w:rPr>
        <w:t xml:space="preserve">FIG. </w:t>
      </w:r>
      <w:r>
        <w:rPr>
          <w:i/>
          <w:sz w:val="22"/>
          <w:szCs w:val="22"/>
          <w:lang w:eastAsia="ko-KR"/>
        </w:rPr>
        <w:t>2</w:t>
      </w:r>
      <w:r w:rsidRPr="00DC2896">
        <w:rPr>
          <w:i/>
          <w:sz w:val="22"/>
          <w:szCs w:val="22"/>
          <w:lang w:eastAsia="ko-KR"/>
        </w:rPr>
        <w:t>.</w:t>
      </w:r>
      <w:proofErr w:type="gramEnd"/>
      <w:r w:rsidRPr="00DC2896">
        <w:rPr>
          <w:i/>
          <w:sz w:val="22"/>
          <w:szCs w:val="22"/>
          <w:lang w:eastAsia="ko-KR"/>
        </w:rPr>
        <w:t xml:space="preserve"> </w:t>
      </w:r>
      <w:r w:rsidRPr="00DC2896">
        <w:rPr>
          <w:i/>
          <w:sz w:val="22"/>
          <w:szCs w:val="22"/>
        </w:rPr>
        <w:t xml:space="preserve">Distribution of </w:t>
      </w:r>
      <w:r w:rsidRPr="00DC2896">
        <w:rPr>
          <w:rFonts w:ascii="Symbol" w:hAnsi="Symbol"/>
          <w:i/>
          <w:sz w:val="22"/>
          <w:szCs w:val="22"/>
        </w:rPr>
        <w:t></w:t>
      </w:r>
      <w:proofErr w:type="gramStart"/>
      <w:r w:rsidRPr="00DC2896">
        <w:rPr>
          <w:i/>
          <w:sz w:val="22"/>
          <w:szCs w:val="22"/>
          <w:vertAlign w:val="superscript"/>
        </w:rPr>
        <w:t>34</w:t>
      </w:r>
      <w:r w:rsidRPr="00DC2896">
        <w:rPr>
          <w:i/>
          <w:sz w:val="22"/>
          <w:szCs w:val="22"/>
        </w:rPr>
        <w:t>S</w:t>
      </w:r>
      <w:r w:rsidRPr="00DC2896">
        <w:rPr>
          <w:i/>
          <w:sz w:val="22"/>
          <w:szCs w:val="22"/>
          <w:vertAlign w:val="subscript"/>
        </w:rPr>
        <w:t>VCDT</w:t>
      </w:r>
      <w:r w:rsidRPr="00DC2896">
        <w:rPr>
          <w:i/>
          <w:sz w:val="22"/>
          <w:szCs w:val="22"/>
        </w:rPr>
        <w:t>(</w:t>
      </w:r>
      <w:proofErr w:type="gramEnd"/>
      <w:r w:rsidRPr="00DC2896">
        <w:rPr>
          <w:i/>
          <w:sz w:val="22"/>
          <w:szCs w:val="22"/>
        </w:rPr>
        <w:t xml:space="preserve">‰) and sulphate concentration of the </w:t>
      </w:r>
      <w:r w:rsidR="004062E0">
        <w:rPr>
          <w:i/>
          <w:sz w:val="22"/>
          <w:szCs w:val="22"/>
        </w:rPr>
        <w:t>samples during a uranium ore concentrate production.</w:t>
      </w:r>
    </w:p>
    <w:p w:rsidR="006962E0" w:rsidRPr="00403C8A" w:rsidRDefault="006962E0" w:rsidP="004337D6">
      <w:pPr>
        <w:pStyle w:val="08ArticleText"/>
        <w:spacing w:line="240" w:lineRule="auto"/>
        <w:rPr>
          <w:sz w:val="22"/>
          <w:szCs w:val="22"/>
        </w:rPr>
      </w:pPr>
    </w:p>
    <w:p w:rsidR="006962E0" w:rsidRPr="00403C8A" w:rsidRDefault="006962E0" w:rsidP="004337D6">
      <w:pPr>
        <w:pStyle w:val="04AHeading"/>
        <w:spacing w:before="0" w:after="0" w:line="240" w:lineRule="auto"/>
        <w:jc w:val="both"/>
        <w:rPr>
          <w:szCs w:val="22"/>
        </w:rPr>
      </w:pPr>
      <w:r w:rsidRPr="00403C8A">
        <w:rPr>
          <w:szCs w:val="22"/>
        </w:rPr>
        <w:t>4. Conclusions</w:t>
      </w:r>
    </w:p>
    <w:p w:rsidR="006962E0" w:rsidRPr="00403C8A" w:rsidRDefault="006962E0" w:rsidP="004337D6">
      <w:pPr>
        <w:pStyle w:val="08ArticleText"/>
        <w:spacing w:line="240" w:lineRule="auto"/>
        <w:rPr>
          <w:sz w:val="22"/>
          <w:szCs w:val="22"/>
        </w:rPr>
      </w:pPr>
    </w:p>
    <w:p w:rsidR="006962E0" w:rsidRPr="00403C8A" w:rsidRDefault="006962E0" w:rsidP="004337D6">
      <w:pPr>
        <w:pStyle w:val="08ArticleText"/>
        <w:spacing w:line="240" w:lineRule="auto"/>
        <w:rPr>
          <w:sz w:val="22"/>
          <w:szCs w:val="22"/>
        </w:rPr>
      </w:pPr>
      <w:r w:rsidRPr="00403C8A">
        <w:rPr>
          <w:sz w:val="22"/>
          <w:szCs w:val="22"/>
        </w:rPr>
        <w:t xml:space="preserve">A novel method has been developed and validated for the measurement of </w:t>
      </w:r>
      <w:proofErr w:type="gramStart"/>
      <w:r w:rsidRPr="00403C8A">
        <w:rPr>
          <w:i/>
          <w:sz w:val="22"/>
          <w:szCs w:val="22"/>
          <w:lang w:eastAsia="ko-KR"/>
        </w:rPr>
        <w:t>n</w:t>
      </w:r>
      <w:r w:rsidRPr="00403C8A">
        <w:rPr>
          <w:sz w:val="22"/>
          <w:szCs w:val="22"/>
          <w:lang w:eastAsia="ko-KR"/>
        </w:rPr>
        <w:t>(</w:t>
      </w:r>
      <w:proofErr w:type="gramEnd"/>
      <w:r w:rsidRPr="00403C8A">
        <w:rPr>
          <w:sz w:val="22"/>
          <w:szCs w:val="22"/>
          <w:vertAlign w:val="superscript"/>
          <w:lang w:eastAsia="ko-KR"/>
        </w:rPr>
        <w:t>34</w:t>
      </w:r>
      <w:r w:rsidRPr="00403C8A">
        <w:rPr>
          <w:sz w:val="22"/>
          <w:szCs w:val="22"/>
          <w:lang w:eastAsia="ko-KR"/>
        </w:rPr>
        <w:t>S)/</w:t>
      </w:r>
      <w:r w:rsidRPr="00403C8A">
        <w:rPr>
          <w:i/>
          <w:sz w:val="22"/>
          <w:szCs w:val="22"/>
          <w:lang w:eastAsia="ko-KR"/>
        </w:rPr>
        <w:t>n</w:t>
      </w:r>
      <w:r w:rsidRPr="00403C8A">
        <w:rPr>
          <w:sz w:val="22"/>
          <w:szCs w:val="22"/>
          <w:lang w:eastAsia="ko-KR"/>
        </w:rPr>
        <w:t>(</w:t>
      </w:r>
      <w:r w:rsidRPr="00403C8A">
        <w:rPr>
          <w:sz w:val="22"/>
          <w:szCs w:val="22"/>
          <w:vertAlign w:val="superscript"/>
          <w:lang w:eastAsia="ko-KR"/>
        </w:rPr>
        <w:t>32</w:t>
      </w:r>
      <w:r w:rsidRPr="00403C8A">
        <w:rPr>
          <w:sz w:val="22"/>
          <w:szCs w:val="22"/>
          <w:lang w:eastAsia="ko-KR"/>
        </w:rPr>
        <w:t xml:space="preserve">S) </w:t>
      </w:r>
      <w:r w:rsidRPr="00403C8A">
        <w:rPr>
          <w:sz w:val="22"/>
          <w:szCs w:val="22"/>
        </w:rPr>
        <w:t xml:space="preserve">isotope ratio in uranium ore concentrates (yellow cakes). The ion exchange separation method effectively separates and pre-concentrates sulphate from uranium and the possibly interfering matrix components, such as cations. Determination of </w:t>
      </w:r>
      <w:proofErr w:type="gramStart"/>
      <w:r w:rsidRPr="00403C8A">
        <w:rPr>
          <w:i/>
          <w:sz w:val="22"/>
          <w:szCs w:val="22"/>
          <w:lang w:eastAsia="ko-KR"/>
        </w:rPr>
        <w:t>n</w:t>
      </w:r>
      <w:r w:rsidRPr="00403C8A">
        <w:rPr>
          <w:sz w:val="22"/>
          <w:szCs w:val="22"/>
          <w:lang w:eastAsia="ko-KR"/>
        </w:rPr>
        <w:t>(</w:t>
      </w:r>
      <w:proofErr w:type="gramEnd"/>
      <w:r w:rsidRPr="00403C8A">
        <w:rPr>
          <w:sz w:val="22"/>
          <w:szCs w:val="22"/>
          <w:vertAlign w:val="superscript"/>
          <w:lang w:eastAsia="ko-KR"/>
        </w:rPr>
        <w:t>34</w:t>
      </w:r>
      <w:r w:rsidRPr="00403C8A">
        <w:rPr>
          <w:sz w:val="22"/>
          <w:szCs w:val="22"/>
          <w:lang w:eastAsia="ko-KR"/>
        </w:rPr>
        <w:t>S)/</w:t>
      </w:r>
      <w:r w:rsidRPr="00403C8A">
        <w:rPr>
          <w:i/>
          <w:sz w:val="22"/>
          <w:szCs w:val="22"/>
          <w:lang w:eastAsia="ko-KR"/>
        </w:rPr>
        <w:t>n</w:t>
      </w:r>
      <w:r w:rsidRPr="00403C8A">
        <w:rPr>
          <w:sz w:val="22"/>
          <w:szCs w:val="22"/>
          <w:lang w:eastAsia="ko-KR"/>
        </w:rPr>
        <w:t>(</w:t>
      </w:r>
      <w:r w:rsidRPr="00403C8A">
        <w:rPr>
          <w:sz w:val="22"/>
          <w:szCs w:val="22"/>
          <w:vertAlign w:val="superscript"/>
          <w:lang w:eastAsia="ko-KR"/>
        </w:rPr>
        <w:t>32</w:t>
      </w:r>
      <w:r w:rsidRPr="00403C8A">
        <w:rPr>
          <w:sz w:val="22"/>
          <w:szCs w:val="22"/>
          <w:lang w:eastAsia="ko-KR"/>
        </w:rPr>
        <w:t xml:space="preserve">S) ratio in </w:t>
      </w:r>
      <w:r w:rsidRPr="00403C8A">
        <w:rPr>
          <w:sz w:val="22"/>
          <w:szCs w:val="22"/>
        </w:rPr>
        <w:t xml:space="preserve">uranium ore concentrates of world-wide origin showed significant differences between the samples. This variation can be exploited to differentiate samples of different origin, for instance to verify or exclude a declared origin. Moreover, as the </w:t>
      </w:r>
      <w:r w:rsidRPr="00403C8A">
        <w:rPr>
          <w:i/>
          <w:sz w:val="22"/>
          <w:szCs w:val="22"/>
          <w:lang w:eastAsia="ko-KR"/>
        </w:rPr>
        <w:t>n</w:t>
      </w:r>
      <w:r w:rsidRPr="00403C8A">
        <w:rPr>
          <w:sz w:val="22"/>
          <w:szCs w:val="22"/>
          <w:lang w:eastAsia="ko-KR"/>
        </w:rPr>
        <w:t>(</w:t>
      </w:r>
      <w:r w:rsidRPr="00403C8A">
        <w:rPr>
          <w:sz w:val="22"/>
          <w:szCs w:val="22"/>
          <w:vertAlign w:val="superscript"/>
          <w:lang w:eastAsia="ko-KR"/>
        </w:rPr>
        <w:t>34</w:t>
      </w:r>
      <w:r w:rsidRPr="00403C8A">
        <w:rPr>
          <w:sz w:val="22"/>
          <w:szCs w:val="22"/>
          <w:lang w:eastAsia="ko-KR"/>
        </w:rPr>
        <w:t>S)/</w:t>
      </w:r>
      <w:r w:rsidRPr="00403C8A">
        <w:rPr>
          <w:i/>
          <w:sz w:val="22"/>
          <w:szCs w:val="22"/>
          <w:lang w:eastAsia="ko-KR"/>
        </w:rPr>
        <w:t>n</w:t>
      </w:r>
      <w:r w:rsidRPr="00403C8A">
        <w:rPr>
          <w:sz w:val="22"/>
          <w:szCs w:val="22"/>
          <w:lang w:eastAsia="ko-KR"/>
        </w:rPr>
        <w:t>(</w:t>
      </w:r>
      <w:r w:rsidRPr="00403C8A">
        <w:rPr>
          <w:sz w:val="22"/>
          <w:szCs w:val="22"/>
          <w:vertAlign w:val="superscript"/>
          <w:lang w:eastAsia="ko-KR"/>
        </w:rPr>
        <w:t>32</w:t>
      </w:r>
      <w:r w:rsidRPr="00403C8A">
        <w:rPr>
          <w:sz w:val="22"/>
          <w:szCs w:val="22"/>
          <w:lang w:eastAsia="ko-KR"/>
        </w:rPr>
        <w:t xml:space="preserve">S) ratio can be indicative of the feed ore used for the production in several instances, the uranium ore deposit type can be identified, which can make this signature highly valuable to provide clues on the </w:t>
      </w:r>
      <w:r w:rsidRPr="00403C8A">
        <w:rPr>
          <w:sz w:val="22"/>
          <w:szCs w:val="22"/>
          <w:lang w:eastAsia="ko-KR"/>
        </w:rPr>
        <w:lastRenderedPageBreak/>
        <w:t>provenance of unknown nuclear materials, and thus trace them back to their source.</w:t>
      </w:r>
      <w:r w:rsidRPr="00403C8A">
        <w:rPr>
          <w:sz w:val="22"/>
          <w:szCs w:val="22"/>
        </w:rPr>
        <w:t xml:space="preserve"> Further studies are on-going to reveal further correlations between the </w:t>
      </w:r>
      <w:r w:rsidRPr="00403C8A">
        <w:rPr>
          <w:rFonts w:ascii="Symbol" w:hAnsi="Symbol"/>
          <w:sz w:val="22"/>
          <w:szCs w:val="22"/>
        </w:rPr>
        <w:t></w:t>
      </w:r>
      <w:r w:rsidRPr="00403C8A">
        <w:rPr>
          <w:sz w:val="22"/>
          <w:szCs w:val="22"/>
          <w:vertAlign w:val="superscript"/>
        </w:rPr>
        <w:t>34</w:t>
      </w:r>
      <w:r w:rsidRPr="00403C8A">
        <w:rPr>
          <w:sz w:val="22"/>
          <w:szCs w:val="22"/>
        </w:rPr>
        <w:t>S value in the ore concentrate and the deposit type (</w:t>
      </w:r>
      <w:proofErr w:type="spellStart"/>
      <w:r w:rsidRPr="00403C8A">
        <w:rPr>
          <w:sz w:val="22"/>
          <w:szCs w:val="22"/>
        </w:rPr>
        <w:t>geolocation</w:t>
      </w:r>
      <w:proofErr w:type="spellEnd"/>
      <w:r w:rsidRPr="00403C8A">
        <w:rPr>
          <w:sz w:val="22"/>
          <w:szCs w:val="22"/>
        </w:rPr>
        <w:t>)</w:t>
      </w:r>
      <w:r>
        <w:rPr>
          <w:sz w:val="22"/>
          <w:szCs w:val="22"/>
        </w:rPr>
        <w:t xml:space="preserve">, to investigate the variation of </w:t>
      </w:r>
      <w:proofErr w:type="gramStart"/>
      <w:r w:rsidRPr="00403C8A">
        <w:rPr>
          <w:i/>
          <w:sz w:val="22"/>
          <w:szCs w:val="22"/>
          <w:lang w:eastAsia="hu-HU"/>
        </w:rPr>
        <w:t>n</w:t>
      </w:r>
      <w:r w:rsidRPr="00403C8A">
        <w:rPr>
          <w:sz w:val="22"/>
          <w:szCs w:val="22"/>
          <w:lang w:eastAsia="hu-HU"/>
        </w:rPr>
        <w:t>(</w:t>
      </w:r>
      <w:proofErr w:type="gramEnd"/>
      <w:r w:rsidRPr="00403C8A">
        <w:rPr>
          <w:sz w:val="22"/>
          <w:szCs w:val="22"/>
          <w:vertAlign w:val="superscript"/>
          <w:lang w:eastAsia="hu-HU"/>
        </w:rPr>
        <w:t>34</w:t>
      </w:r>
      <w:r w:rsidRPr="00403C8A">
        <w:rPr>
          <w:sz w:val="22"/>
          <w:szCs w:val="22"/>
          <w:lang w:eastAsia="hu-HU"/>
        </w:rPr>
        <w:t>S)/</w:t>
      </w:r>
      <w:r w:rsidRPr="00403C8A">
        <w:rPr>
          <w:i/>
          <w:sz w:val="22"/>
          <w:szCs w:val="22"/>
          <w:lang w:eastAsia="hu-HU"/>
        </w:rPr>
        <w:t>n</w:t>
      </w:r>
      <w:r w:rsidRPr="00403C8A">
        <w:rPr>
          <w:sz w:val="22"/>
          <w:szCs w:val="22"/>
          <w:lang w:eastAsia="hu-HU"/>
        </w:rPr>
        <w:t>(</w:t>
      </w:r>
      <w:r w:rsidRPr="00403C8A">
        <w:rPr>
          <w:sz w:val="22"/>
          <w:szCs w:val="22"/>
          <w:vertAlign w:val="superscript"/>
          <w:lang w:eastAsia="hu-HU"/>
        </w:rPr>
        <w:t>32</w:t>
      </w:r>
      <w:r w:rsidRPr="00403C8A">
        <w:rPr>
          <w:sz w:val="22"/>
          <w:szCs w:val="22"/>
          <w:lang w:eastAsia="hu-HU"/>
        </w:rPr>
        <w:t>S)</w:t>
      </w:r>
      <w:r>
        <w:rPr>
          <w:sz w:val="22"/>
          <w:szCs w:val="22"/>
          <w:lang w:eastAsia="hu-HU"/>
        </w:rPr>
        <w:t xml:space="preserve"> ratio during the UOC production and the effect of process reagent on the </w:t>
      </w:r>
      <w:r w:rsidRPr="00403C8A">
        <w:rPr>
          <w:i/>
          <w:sz w:val="22"/>
          <w:szCs w:val="22"/>
          <w:lang w:eastAsia="hu-HU"/>
        </w:rPr>
        <w:t>n</w:t>
      </w:r>
      <w:r w:rsidRPr="00403C8A">
        <w:rPr>
          <w:sz w:val="22"/>
          <w:szCs w:val="22"/>
          <w:lang w:eastAsia="hu-HU"/>
        </w:rPr>
        <w:t>(</w:t>
      </w:r>
      <w:r w:rsidRPr="00403C8A">
        <w:rPr>
          <w:sz w:val="22"/>
          <w:szCs w:val="22"/>
          <w:vertAlign w:val="superscript"/>
          <w:lang w:eastAsia="hu-HU"/>
        </w:rPr>
        <w:t>34</w:t>
      </w:r>
      <w:r w:rsidRPr="00403C8A">
        <w:rPr>
          <w:sz w:val="22"/>
          <w:szCs w:val="22"/>
          <w:lang w:eastAsia="hu-HU"/>
        </w:rPr>
        <w:t>S)/</w:t>
      </w:r>
      <w:r w:rsidRPr="00403C8A">
        <w:rPr>
          <w:i/>
          <w:sz w:val="22"/>
          <w:szCs w:val="22"/>
          <w:lang w:eastAsia="hu-HU"/>
        </w:rPr>
        <w:t>n</w:t>
      </w:r>
      <w:r w:rsidRPr="00403C8A">
        <w:rPr>
          <w:sz w:val="22"/>
          <w:szCs w:val="22"/>
          <w:lang w:eastAsia="hu-HU"/>
        </w:rPr>
        <w:t>(</w:t>
      </w:r>
      <w:r w:rsidRPr="00403C8A">
        <w:rPr>
          <w:sz w:val="22"/>
          <w:szCs w:val="22"/>
          <w:vertAlign w:val="superscript"/>
          <w:lang w:eastAsia="hu-HU"/>
        </w:rPr>
        <w:t>32</w:t>
      </w:r>
      <w:r w:rsidRPr="00403C8A">
        <w:rPr>
          <w:sz w:val="22"/>
          <w:szCs w:val="22"/>
          <w:lang w:eastAsia="hu-HU"/>
        </w:rPr>
        <w:t>S)</w:t>
      </w:r>
      <w:r>
        <w:rPr>
          <w:sz w:val="22"/>
          <w:szCs w:val="22"/>
          <w:lang w:eastAsia="hu-HU"/>
        </w:rPr>
        <w:t xml:space="preserve"> value</w:t>
      </w:r>
      <w:r w:rsidRPr="00403C8A">
        <w:rPr>
          <w:sz w:val="22"/>
          <w:szCs w:val="22"/>
        </w:rPr>
        <w:t>.</w:t>
      </w:r>
    </w:p>
    <w:p w:rsidR="006962E0" w:rsidRPr="00403C8A" w:rsidRDefault="006962E0" w:rsidP="004337D6">
      <w:pPr>
        <w:pStyle w:val="BodyText"/>
        <w:tabs>
          <w:tab w:val="left" w:pos="363"/>
          <w:tab w:val="left" w:pos="567"/>
        </w:tabs>
        <w:spacing w:after="0" w:line="240" w:lineRule="auto"/>
        <w:ind w:hanging="357"/>
        <w:rPr>
          <w:rFonts w:eastAsia="Calibri"/>
          <w:b/>
          <w:szCs w:val="22"/>
        </w:rPr>
      </w:pPr>
    </w:p>
    <w:p w:rsidR="006962E0" w:rsidRPr="00403C8A" w:rsidRDefault="006962E0" w:rsidP="004337D6">
      <w:pPr>
        <w:pStyle w:val="BodyText"/>
        <w:tabs>
          <w:tab w:val="left" w:pos="363"/>
          <w:tab w:val="left" w:pos="567"/>
        </w:tabs>
        <w:spacing w:after="0" w:line="240" w:lineRule="auto"/>
        <w:ind w:hanging="357"/>
        <w:rPr>
          <w:rFonts w:eastAsia="Calibri"/>
          <w:b/>
          <w:szCs w:val="22"/>
        </w:rPr>
      </w:pPr>
    </w:p>
    <w:p w:rsidR="006962E0" w:rsidRPr="00403C8A" w:rsidRDefault="006962E0" w:rsidP="0002022E">
      <w:pPr>
        <w:pStyle w:val="BodyText"/>
        <w:tabs>
          <w:tab w:val="left" w:pos="363"/>
          <w:tab w:val="left" w:pos="567"/>
        </w:tabs>
        <w:spacing w:after="0" w:line="240" w:lineRule="auto"/>
        <w:ind w:hanging="357"/>
        <w:jc w:val="center"/>
        <w:rPr>
          <w:rFonts w:eastAsia="Calibri"/>
          <w:b/>
          <w:szCs w:val="22"/>
        </w:rPr>
      </w:pPr>
      <w:r>
        <w:rPr>
          <w:rFonts w:eastAsia="Calibri"/>
          <w:b/>
          <w:szCs w:val="22"/>
        </w:rPr>
        <w:t>REFERENCES</w:t>
      </w:r>
    </w:p>
    <w:p w:rsidR="006962E0" w:rsidRPr="00720750" w:rsidRDefault="006962E0" w:rsidP="00720750">
      <w:pPr>
        <w:pStyle w:val="BodyText"/>
        <w:spacing w:after="0" w:line="240" w:lineRule="auto"/>
        <w:ind w:left="284" w:hanging="284"/>
        <w:rPr>
          <w:rFonts w:eastAsia="Calibri"/>
          <w:szCs w:val="22"/>
        </w:rPr>
      </w:pPr>
    </w:p>
    <w:p w:rsidR="006962E0" w:rsidRPr="00720750" w:rsidRDefault="006962E0" w:rsidP="002B1871">
      <w:pPr>
        <w:ind w:left="426" w:hanging="426"/>
        <w:jc w:val="both"/>
        <w:rPr>
          <w:rFonts w:ascii="Times New Roman" w:hAnsi="Times New Roman" w:cs="Times New Roman"/>
          <w:noProof/>
        </w:rPr>
      </w:pPr>
      <w:bookmarkStart w:id="1" w:name="_ENREF_1"/>
      <w:r w:rsidRPr="00720750">
        <w:rPr>
          <w:rFonts w:ascii="Times New Roman" w:hAnsi="Times New Roman" w:cs="Times New Roman"/>
          <w:noProof/>
        </w:rPr>
        <w:t xml:space="preserve">[1] </w:t>
      </w:r>
      <w:r w:rsidRPr="00720750">
        <w:rPr>
          <w:rFonts w:ascii="Times New Roman" w:hAnsi="Times New Roman" w:cs="Times New Roman"/>
          <w:smallCaps/>
          <w:noProof/>
        </w:rPr>
        <w:t>Mayer, K.</w:t>
      </w:r>
      <w:r w:rsidRPr="00720750">
        <w:rPr>
          <w:rFonts w:ascii="Times New Roman" w:hAnsi="Times New Roman" w:cs="Times New Roman"/>
          <w:noProof/>
        </w:rPr>
        <w:t>, et al., Nuclear forensic science: Correlating measurable material parameters to the histo</w:t>
      </w:r>
      <w:r w:rsidR="00690AFD">
        <w:rPr>
          <w:rFonts w:ascii="Times New Roman" w:hAnsi="Times New Roman" w:cs="Times New Roman"/>
          <w:noProof/>
        </w:rPr>
        <w:t>ry of nuclear material, Chem.</w:t>
      </w:r>
      <w:r w:rsidRPr="00720750">
        <w:rPr>
          <w:rFonts w:ascii="Times New Roman" w:hAnsi="Times New Roman" w:cs="Times New Roman"/>
          <w:noProof/>
        </w:rPr>
        <w:t xml:space="preserve"> Rev</w:t>
      </w:r>
      <w:r w:rsidR="00690AFD">
        <w:rPr>
          <w:rFonts w:ascii="Times New Roman" w:hAnsi="Times New Roman" w:cs="Times New Roman"/>
          <w:noProof/>
        </w:rPr>
        <w:t>.</w:t>
      </w:r>
      <w:r w:rsidRPr="00720750">
        <w:rPr>
          <w:rFonts w:ascii="Times New Roman" w:hAnsi="Times New Roman" w:cs="Times New Roman"/>
          <w:noProof/>
        </w:rPr>
        <w:t xml:space="preserve"> </w:t>
      </w:r>
      <w:r w:rsidRPr="00720750">
        <w:rPr>
          <w:rFonts w:ascii="Times New Roman" w:hAnsi="Times New Roman" w:cs="Times New Roman"/>
          <w:b/>
          <w:noProof/>
        </w:rPr>
        <w:t>113</w:t>
      </w:r>
      <w:r w:rsidRPr="00720750">
        <w:rPr>
          <w:rFonts w:ascii="Times New Roman" w:hAnsi="Times New Roman" w:cs="Times New Roman"/>
          <w:noProof/>
        </w:rPr>
        <w:t xml:space="preserve"> (2013) 8</w:t>
      </w:r>
      <w:r w:rsidR="0039135D">
        <w:rPr>
          <w:rFonts w:ascii="Times New Roman" w:hAnsi="Times New Roman" w:cs="Times New Roman"/>
          <w:noProof/>
        </w:rPr>
        <w:t>84</w:t>
      </w:r>
      <w:r w:rsidRPr="00720750">
        <w:rPr>
          <w:rFonts w:ascii="Times New Roman" w:hAnsi="Times New Roman" w:cs="Times New Roman"/>
          <w:noProof/>
        </w:rPr>
        <w:t>.</w:t>
      </w:r>
      <w:bookmarkEnd w:id="1"/>
    </w:p>
    <w:p w:rsidR="006962E0" w:rsidRPr="00720750" w:rsidRDefault="006962E0" w:rsidP="002B1871">
      <w:pPr>
        <w:ind w:left="426" w:hanging="426"/>
        <w:jc w:val="both"/>
        <w:rPr>
          <w:rFonts w:ascii="Times New Roman" w:hAnsi="Times New Roman" w:cs="Times New Roman"/>
          <w:noProof/>
        </w:rPr>
      </w:pPr>
      <w:bookmarkStart w:id="2" w:name="_ENREF_2"/>
      <w:r w:rsidRPr="00720750">
        <w:rPr>
          <w:rFonts w:ascii="Times New Roman" w:hAnsi="Times New Roman" w:cs="Times New Roman"/>
          <w:noProof/>
        </w:rPr>
        <w:t xml:space="preserve">[2] </w:t>
      </w:r>
      <w:r w:rsidRPr="00720750">
        <w:rPr>
          <w:rFonts w:ascii="Times New Roman" w:hAnsi="Times New Roman" w:cs="Times New Roman"/>
          <w:smallCaps/>
          <w:noProof/>
        </w:rPr>
        <w:t>Mayer, K.</w:t>
      </w:r>
      <w:r w:rsidRPr="00720750">
        <w:rPr>
          <w:rFonts w:ascii="Times New Roman" w:hAnsi="Times New Roman" w:cs="Times New Roman"/>
          <w:noProof/>
        </w:rPr>
        <w:t xml:space="preserve">, et al., Nuclear forensics - a methodology providing clues on the origin of illicitly trafficked nuclear materials, Analyst, </w:t>
      </w:r>
      <w:r w:rsidRPr="00720750">
        <w:rPr>
          <w:rFonts w:ascii="Times New Roman" w:hAnsi="Times New Roman" w:cs="Times New Roman"/>
          <w:b/>
          <w:noProof/>
        </w:rPr>
        <w:t>130</w:t>
      </w:r>
      <w:r w:rsidR="0039135D">
        <w:rPr>
          <w:rFonts w:ascii="Times New Roman" w:hAnsi="Times New Roman" w:cs="Times New Roman"/>
          <w:noProof/>
        </w:rPr>
        <w:t xml:space="preserve"> (2005) 433</w:t>
      </w:r>
      <w:r w:rsidRPr="00720750">
        <w:rPr>
          <w:rFonts w:ascii="Times New Roman" w:hAnsi="Times New Roman" w:cs="Times New Roman"/>
          <w:noProof/>
        </w:rPr>
        <w:t>.</w:t>
      </w:r>
      <w:bookmarkEnd w:id="2"/>
    </w:p>
    <w:p w:rsidR="006962E0" w:rsidRPr="00720750" w:rsidRDefault="006962E0" w:rsidP="002B1871">
      <w:pPr>
        <w:ind w:left="426" w:hanging="426"/>
        <w:jc w:val="both"/>
        <w:rPr>
          <w:rFonts w:ascii="Times New Roman" w:hAnsi="Times New Roman" w:cs="Times New Roman"/>
          <w:noProof/>
        </w:rPr>
      </w:pPr>
      <w:bookmarkStart w:id="3" w:name="_ENREF_3"/>
      <w:r w:rsidRPr="00720750">
        <w:rPr>
          <w:rFonts w:ascii="Times New Roman" w:hAnsi="Times New Roman" w:cs="Times New Roman"/>
          <w:noProof/>
        </w:rPr>
        <w:t xml:space="preserve">[3] </w:t>
      </w:r>
      <w:r w:rsidRPr="00720750">
        <w:rPr>
          <w:rFonts w:ascii="Times New Roman" w:hAnsi="Times New Roman" w:cs="Times New Roman"/>
          <w:smallCaps/>
          <w:noProof/>
        </w:rPr>
        <w:t>Varga, Z.</w:t>
      </w:r>
      <w:r w:rsidRPr="00720750">
        <w:rPr>
          <w:rFonts w:ascii="Times New Roman" w:hAnsi="Times New Roman" w:cs="Times New Roman"/>
          <w:noProof/>
        </w:rPr>
        <w:t>, et al., Analysis of Uranium Ore Concentrates for Origin Assessment, Radiochim</w:t>
      </w:r>
      <w:r w:rsidR="00690AFD">
        <w:rPr>
          <w:rFonts w:ascii="Times New Roman" w:hAnsi="Times New Roman" w:cs="Times New Roman"/>
          <w:noProof/>
        </w:rPr>
        <w:t>.</w:t>
      </w:r>
      <w:r w:rsidRPr="00720750">
        <w:rPr>
          <w:rFonts w:ascii="Times New Roman" w:hAnsi="Times New Roman" w:cs="Times New Roman"/>
          <w:noProof/>
        </w:rPr>
        <w:t xml:space="preserve"> Acta </w:t>
      </w:r>
      <w:r w:rsidRPr="00720750">
        <w:rPr>
          <w:rFonts w:ascii="Times New Roman" w:hAnsi="Times New Roman" w:cs="Times New Roman"/>
          <w:b/>
          <w:noProof/>
        </w:rPr>
        <w:t>1</w:t>
      </w:r>
      <w:r w:rsidR="0039135D">
        <w:rPr>
          <w:rFonts w:ascii="Times New Roman" w:hAnsi="Times New Roman" w:cs="Times New Roman"/>
          <w:noProof/>
        </w:rPr>
        <w:t xml:space="preserve"> (2011) 1</w:t>
      </w:r>
      <w:r w:rsidRPr="00720750">
        <w:rPr>
          <w:rFonts w:ascii="Times New Roman" w:hAnsi="Times New Roman" w:cs="Times New Roman"/>
          <w:noProof/>
        </w:rPr>
        <w:t>.</w:t>
      </w:r>
      <w:bookmarkEnd w:id="3"/>
    </w:p>
    <w:p w:rsidR="006962E0" w:rsidRPr="00720750" w:rsidRDefault="006962E0" w:rsidP="002B1871">
      <w:pPr>
        <w:ind w:left="426" w:hanging="426"/>
        <w:jc w:val="both"/>
        <w:rPr>
          <w:rFonts w:ascii="Times New Roman" w:hAnsi="Times New Roman" w:cs="Times New Roman"/>
          <w:noProof/>
        </w:rPr>
      </w:pPr>
      <w:bookmarkStart w:id="4" w:name="_ENREF_4"/>
      <w:r w:rsidRPr="00720750">
        <w:rPr>
          <w:rFonts w:ascii="Times New Roman" w:hAnsi="Times New Roman" w:cs="Times New Roman"/>
          <w:noProof/>
        </w:rPr>
        <w:t xml:space="preserve">[4] </w:t>
      </w:r>
      <w:r w:rsidRPr="00720750">
        <w:rPr>
          <w:rFonts w:ascii="Times New Roman" w:hAnsi="Times New Roman" w:cs="Times New Roman"/>
          <w:smallCaps/>
          <w:noProof/>
        </w:rPr>
        <w:t>Keegan, E.</w:t>
      </w:r>
      <w:r w:rsidRPr="00720750">
        <w:rPr>
          <w:rFonts w:ascii="Times New Roman" w:hAnsi="Times New Roman" w:cs="Times New Roman"/>
          <w:noProof/>
        </w:rPr>
        <w:t>, et al., Attribution of uranium ore concentrates using elemental and anionic data, Appl</w:t>
      </w:r>
      <w:r w:rsidR="00690AFD">
        <w:rPr>
          <w:rFonts w:ascii="Times New Roman" w:hAnsi="Times New Roman" w:cs="Times New Roman"/>
          <w:noProof/>
        </w:rPr>
        <w:t>.</w:t>
      </w:r>
      <w:r w:rsidRPr="00720750">
        <w:rPr>
          <w:rFonts w:ascii="Times New Roman" w:hAnsi="Times New Roman" w:cs="Times New Roman"/>
          <w:noProof/>
        </w:rPr>
        <w:t xml:space="preserve"> Geochem</w:t>
      </w:r>
      <w:r w:rsidR="00690AFD">
        <w:rPr>
          <w:rFonts w:ascii="Times New Roman" w:hAnsi="Times New Roman" w:cs="Times New Roman"/>
          <w:noProof/>
        </w:rPr>
        <w:t>.</w:t>
      </w:r>
      <w:r w:rsidRPr="00720750">
        <w:rPr>
          <w:rFonts w:ascii="Times New Roman" w:hAnsi="Times New Roman" w:cs="Times New Roman"/>
          <w:noProof/>
        </w:rPr>
        <w:t xml:space="preserve"> </w:t>
      </w:r>
      <w:r w:rsidRPr="00720750">
        <w:rPr>
          <w:rFonts w:ascii="Times New Roman" w:hAnsi="Times New Roman" w:cs="Times New Roman"/>
          <w:b/>
          <w:noProof/>
        </w:rPr>
        <w:t>27</w:t>
      </w:r>
      <w:r w:rsidR="0039135D">
        <w:rPr>
          <w:rFonts w:ascii="Times New Roman" w:hAnsi="Times New Roman" w:cs="Times New Roman"/>
          <w:noProof/>
        </w:rPr>
        <w:t xml:space="preserve"> (2012) 1600</w:t>
      </w:r>
      <w:r w:rsidRPr="00720750">
        <w:rPr>
          <w:rFonts w:ascii="Times New Roman" w:hAnsi="Times New Roman" w:cs="Times New Roman"/>
          <w:noProof/>
        </w:rPr>
        <w:t>.</w:t>
      </w:r>
      <w:bookmarkEnd w:id="4"/>
    </w:p>
    <w:p w:rsidR="006962E0" w:rsidRPr="00720750" w:rsidRDefault="006962E0" w:rsidP="002B1871">
      <w:pPr>
        <w:ind w:left="426" w:hanging="426"/>
        <w:jc w:val="both"/>
        <w:rPr>
          <w:rFonts w:ascii="Times New Roman" w:hAnsi="Times New Roman" w:cs="Times New Roman"/>
          <w:noProof/>
        </w:rPr>
      </w:pPr>
      <w:bookmarkStart w:id="5" w:name="_ENREF_5"/>
      <w:r w:rsidRPr="00720750">
        <w:rPr>
          <w:rFonts w:ascii="Times New Roman" w:hAnsi="Times New Roman" w:cs="Times New Roman"/>
          <w:noProof/>
        </w:rPr>
        <w:t xml:space="preserve">[5] </w:t>
      </w:r>
      <w:r w:rsidRPr="00720750">
        <w:rPr>
          <w:rFonts w:ascii="Times New Roman" w:hAnsi="Times New Roman" w:cs="Times New Roman"/>
          <w:smallCaps/>
          <w:noProof/>
        </w:rPr>
        <w:t>Schwantes, J.M.</w:t>
      </w:r>
      <w:r w:rsidRPr="00720750">
        <w:rPr>
          <w:rFonts w:ascii="Times New Roman" w:hAnsi="Times New Roman" w:cs="Times New Roman"/>
          <w:noProof/>
        </w:rPr>
        <w:t>, et al., Nuclear archeology in a bottle: Evidence of pre-trinity U.S. weapons activities from a waste burial site, Anal</w:t>
      </w:r>
      <w:r w:rsidR="00690AFD">
        <w:rPr>
          <w:rFonts w:ascii="Times New Roman" w:hAnsi="Times New Roman" w:cs="Times New Roman"/>
          <w:noProof/>
        </w:rPr>
        <w:t>.</w:t>
      </w:r>
      <w:r w:rsidRPr="00720750">
        <w:rPr>
          <w:rFonts w:ascii="Times New Roman" w:hAnsi="Times New Roman" w:cs="Times New Roman"/>
          <w:noProof/>
        </w:rPr>
        <w:t xml:space="preserve"> Chem</w:t>
      </w:r>
      <w:r w:rsidR="00690AFD">
        <w:rPr>
          <w:rFonts w:ascii="Times New Roman" w:hAnsi="Times New Roman" w:cs="Times New Roman"/>
          <w:noProof/>
        </w:rPr>
        <w:t>.</w:t>
      </w:r>
      <w:r w:rsidRPr="00720750">
        <w:rPr>
          <w:rFonts w:ascii="Times New Roman" w:hAnsi="Times New Roman" w:cs="Times New Roman"/>
          <w:noProof/>
        </w:rPr>
        <w:t xml:space="preserve"> </w:t>
      </w:r>
      <w:r w:rsidRPr="00720750">
        <w:rPr>
          <w:rFonts w:ascii="Times New Roman" w:hAnsi="Times New Roman" w:cs="Times New Roman"/>
          <w:b/>
          <w:noProof/>
        </w:rPr>
        <w:t>81</w:t>
      </w:r>
      <w:r w:rsidRPr="00720750">
        <w:rPr>
          <w:rFonts w:ascii="Times New Roman" w:hAnsi="Times New Roman" w:cs="Times New Roman"/>
          <w:noProof/>
        </w:rPr>
        <w:t xml:space="preserve"> (2009) 1297-1306.</w:t>
      </w:r>
      <w:bookmarkEnd w:id="5"/>
    </w:p>
    <w:p w:rsidR="006962E0" w:rsidRPr="00720750" w:rsidRDefault="006962E0" w:rsidP="002B1871">
      <w:pPr>
        <w:ind w:left="426" w:hanging="426"/>
        <w:jc w:val="both"/>
        <w:rPr>
          <w:rFonts w:ascii="Times New Roman" w:hAnsi="Times New Roman" w:cs="Times New Roman"/>
          <w:noProof/>
        </w:rPr>
      </w:pPr>
      <w:bookmarkStart w:id="6" w:name="_ENREF_6"/>
      <w:r w:rsidRPr="00720750">
        <w:rPr>
          <w:rFonts w:ascii="Times New Roman" w:hAnsi="Times New Roman" w:cs="Times New Roman"/>
          <w:noProof/>
        </w:rPr>
        <w:t xml:space="preserve">[6] </w:t>
      </w:r>
      <w:r w:rsidRPr="00720750">
        <w:rPr>
          <w:rFonts w:ascii="Times New Roman" w:hAnsi="Times New Roman" w:cs="Times New Roman"/>
          <w:smallCaps/>
          <w:noProof/>
        </w:rPr>
        <w:t>Kristo, M.J.</w:t>
      </w:r>
      <w:r w:rsidRPr="00720750">
        <w:rPr>
          <w:rFonts w:ascii="Times New Roman" w:hAnsi="Times New Roman" w:cs="Times New Roman"/>
          <w:noProof/>
        </w:rPr>
        <w:t xml:space="preserve">, </w:t>
      </w:r>
      <w:r w:rsidRPr="00720750">
        <w:rPr>
          <w:rFonts w:ascii="Times New Roman" w:hAnsi="Times New Roman" w:cs="Times New Roman"/>
          <w:smallCaps/>
          <w:noProof/>
        </w:rPr>
        <w:t>Tumey, S.J.</w:t>
      </w:r>
      <w:r w:rsidRPr="00720750">
        <w:rPr>
          <w:rFonts w:ascii="Times New Roman" w:hAnsi="Times New Roman" w:cs="Times New Roman"/>
          <w:noProof/>
        </w:rPr>
        <w:t>, The state of nuclear forensics, Nucl</w:t>
      </w:r>
      <w:r w:rsidR="00690AFD">
        <w:rPr>
          <w:rFonts w:ascii="Times New Roman" w:hAnsi="Times New Roman" w:cs="Times New Roman"/>
          <w:noProof/>
        </w:rPr>
        <w:t>.</w:t>
      </w:r>
      <w:r w:rsidRPr="00720750">
        <w:rPr>
          <w:rFonts w:ascii="Times New Roman" w:hAnsi="Times New Roman" w:cs="Times New Roman"/>
          <w:noProof/>
        </w:rPr>
        <w:t xml:space="preserve"> Instrum</w:t>
      </w:r>
      <w:r w:rsidR="00690AFD">
        <w:rPr>
          <w:rFonts w:ascii="Times New Roman" w:hAnsi="Times New Roman" w:cs="Times New Roman"/>
          <w:noProof/>
        </w:rPr>
        <w:t>.</w:t>
      </w:r>
      <w:r w:rsidRPr="00720750">
        <w:rPr>
          <w:rFonts w:ascii="Times New Roman" w:hAnsi="Times New Roman" w:cs="Times New Roman"/>
          <w:noProof/>
        </w:rPr>
        <w:t xml:space="preserve"> Meth</w:t>
      </w:r>
      <w:r w:rsidR="00690AFD">
        <w:rPr>
          <w:rFonts w:ascii="Times New Roman" w:hAnsi="Times New Roman" w:cs="Times New Roman"/>
          <w:noProof/>
        </w:rPr>
        <w:t>.</w:t>
      </w:r>
      <w:r w:rsidRPr="00720750">
        <w:rPr>
          <w:rFonts w:ascii="Times New Roman" w:hAnsi="Times New Roman" w:cs="Times New Roman"/>
          <w:noProof/>
        </w:rPr>
        <w:t xml:space="preserve"> Phys</w:t>
      </w:r>
      <w:r w:rsidR="00690AFD">
        <w:rPr>
          <w:rFonts w:ascii="Times New Roman" w:hAnsi="Times New Roman" w:cs="Times New Roman"/>
          <w:noProof/>
        </w:rPr>
        <w:t>.</w:t>
      </w:r>
      <w:r w:rsidRPr="00720750">
        <w:rPr>
          <w:rFonts w:ascii="Times New Roman" w:hAnsi="Times New Roman" w:cs="Times New Roman"/>
          <w:noProof/>
        </w:rPr>
        <w:t xml:space="preserve"> Res</w:t>
      </w:r>
      <w:r w:rsidR="00690AFD">
        <w:rPr>
          <w:rFonts w:ascii="Times New Roman" w:hAnsi="Times New Roman" w:cs="Times New Roman"/>
          <w:noProof/>
        </w:rPr>
        <w:t xml:space="preserve">. </w:t>
      </w:r>
      <w:r w:rsidRPr="00720750">
        <w:rPr>
          <w:rFonts w:ascii="Times New Roman" w:hAnsi="Times New Roman" w:cs="Times New Roman"/>
          <w:noProof/>
        </w:rPr>
        <w:t xml:space="preserve">B </w:t>
      </w:r>
      <w:r w:rsidRPr="00720750">
        <w:rPr>
          <w:rFonts w:ascii="Times New Roman" w:hAnsi="Times New Roman" w:cs="Times New Roman"/>
          <w:b/>
          <w:noProof/>
        </w:rPr>
        <w:t>294</w:t>
      </w:r>
      <w:r w:rsidR="0039135D">
        <w:rPr>
          <w:rFonts w:ascii="Times New Roman" w:hAnsi="Times New Roman" w:cs="Times New Roman"/>
          <w:noProof/>
        </w:rPr>
        <w:t xml:space="preserve"> (2013) 656</w:t>
      </w:r>
      <w:r w:rsidRPr="00720750">
        <w:rPr>
          <w:rFonts w:ascii="Times New Roman" w:hAnsi="Times New Roman" w:cs="Times New Roman"/>
          <w:noProof/>
        </w:rPr>
        <w:t>.</w:t>
      </w:r>
      <w:bookmarkEnd w:id="6"/>
    </w:p>
    <w:p w:rsidR="006962E0" w:rsidRPr="00720750" w:rsidRDefault="006962E0" w:rsidP="002B1871">
      <w:pPr>
        <w:ind w:left="426" w:hanging="426"/>
        <w:jc w:val="both"/>
        <w:rPr>
          <w:rFonts w:ascii="Times New Roman" w:hAnsi="Times New Roman" w:cs="Times New Roman"/>
          <w:noProof/>
        </w:rPr>
      </w:pPr>
      <w:bookmarkStart w:id="7" w:name="_ENREF_7"/>
      <w:r w:rsidRPr="00720750">
        <w:rPr>
          <w:rFonts w:ascii="Times New Roman" w:hAnsi="Times New Roman" w:cs="Times New Roman"/>
          <w:noProof/>
        </w:rPr>
        <w:t xml:space="preserve">[7] </w:t>
      </w:r>
      <w:r w:rsidRPr="00720750">
        <w:rPr>
          <w:rFonts w:ascii="Times New Roman" w:hAnsi="Times New Roman" w:cs="Times New Roman"/>
          <w:smallCaps/>
          <w:noProof/>
        </w:rPr>
        <w:t>Thode, H.G.</w:t>
      </w:r>
      <w:r w:rsidRPr="00720750">
        <w:rPr>
          <w:rFonts w:ascii="Times New Roman" w:hAnsi="Times New Roman" w:cs="Times New Roman"/>
          <w:noProof/>
        </w:rPr>
        <w:t>, Sulphur Isotopes in Nature and the Environment: An Overview, in: H.R. Krouse, V.A. Grinenko (Eds.) Stable Isotopes in the Assessment of Natural and Anthropogenic Sulphur in the Environment, John Wiley &amp; Sons, New Y</w:t>
      </w:r>
      <w:r w:rsidR="00690AFD">
        <w:rPr>
          <w:rFonts w:ascii="Times New Roman" w:hAnsi="Times New Roman" w:cs="Times New Roman"/>
          <w:noProof/>
        </w:rPr>
        <w:t>ork</w:t>
      </w:r>
      <w:r w:rsidRPr="00720750">
        <w:rPr>
          <w:rFonts w:ascii="Times New Roman" w:hAnsi="Times New Roman" w:cs="Times New Roman"/>
          <w:noProof/>
        </w:rPr>
        <w:t xml:space="preserve"> </w:t>
      </w:r>
      <w:r w:rsidR="00690AFD">
        <w:rPr>
          <w:rFonts w:ascii="Times New Roman" w:hAnsi="Times New Roman" w:cs="Times New Roman"/>
          <w:noProof/>
        </w:rPr>
        <w:t>(</w:t>
      </w:r>
      <w:r w:rsidRPr="00720750">
        <w:rPr>
          <w:rFonts w:ascii="Times New Roman" w:hAnsi="Times New Roman" w:cs="Times New Roman"/>
          <w:noProof/>
        </w:rPr>
        <w:t>1991</w:t>
      </w:r>
      <w:r w:rsidR="00690AFD">
        <w:rPr>
          <w:rFonts w:ascii="Times New Roman" w:hAnsi="Times New Roman" w:cs="Times New Roman"/>
          <w:noProof/>
        </w:rPr>
        <w:t>)</w:t>
      </w:r>
      <w:r w:rsidRPr="00720750">
        <w:rPr>
          <w:rFonts w:ascii="Times New Roman" w:hAnsi="Times New Roman" w:cs="Times New Roman"/>
          <w:noProof/>
        </w:rPr>
        <w:t>.</w:t>
      </w:r>
      <w:bookmarkEnd w:id="7"/>
    </w:p>
    <w:p w:rsidR="006962E0" w:rsidRPr="00720750" w:rsidRDefault="006962E0" w:rsidP="002B1871">
      <w:pPr>
        <w:ind w:left="426" w:hanging="426"/>
        <w:jc w:val="both"/>
        <w:rPr>
          <w:rFonts w:ascii="Times New Roman" w:hAnsi="Times New Roman" w:cs="Times New Roman"/>
          <w:noProof/>
        </w:rPr>
      </w:pPr>
      <w:bookmarkStart w:id="8" w:name="_ENREF_8"/>
      <w:r w:rsidRPr="00720750">
        <w:rPr>
          <w:rFonts w:ascii="Times New Roman" w:hAnsi="Times New Roman" w:cs="Times New Roman"/>
          <w:noProof/>
        </w:rPr>
        <w:t xml:space="preserve">[8] </w:t>
      </w:r>
      <w:r w:rsidRPr="00720750">
        <w:rPr>
          <w:rFonts w:ascii="Times New Roman" w:hAnsi="Times New Roman" w:cs="Times New Roman"/>
          <w:smallCaps/>
          <w:noProof/>
        </w:rPr>
        <w:t>Ding, T.</w:t>
      </w:r>
      <w:r w:rsidRPr="00720750">
        <w:rPr>
          <w:rFonts w:ascii="Times New Roman" w:hAnsi="Times New Roman" w:cs="Times New Roman"/>
          <w:noProof/>
        </w:rPr>
        <w:t>, et al., Calibrated sulfur isotope abundance ratios three IAEA sulfur isotope reference materials and V-CDT with a reassessment of the atomic weight of sulfur, Geochim</w:t>
      </w:r>
      <w:r w:rsidR="006A6822">
        <w:rPr>
          <w:rFonts w:ascii="Times New Roman" w:hAnsi="Times New Roman" w:cs="Times New Roman"/>
          <w:noProof/>
        </w:rPr>
        <w:t>.</w:t>
      </w:r>
      <w:r w:rsidRPr="00720750">
        <w:rPr>
          <w:rFonts w:ascii="Times New Roman" w:hAnsi="Times New Roman" w:cs="Times New Roman"/>
          <w:noProof/>
        </w:rPr>
        <w:t xml:space="preserve"> Cosmochim</w:t>
      </w:r>
      <w:r w:rsidR="00690AFD">
        <w:rPr>
          <w:rFonts w:ascii="Times New Roman" w:hAnsi="Times New Roman" w:cs="Times New Roman"/>
          <w:noProof/>
        </w:rPr>
        <w:t xml:space="preserve">. </w:t>
      </w:r>
      <w:r w:rsidRPr="00720750">
        <w:rPr>
          <w:rFonts w:ascii="Times New Roman" w:hAnsi="Times New Roman" w:cs="Times New Roman"/>
          <w:noProof/>
        </w:rPr>
        <w:t xml:space="preserve">Acta </w:t>
      </w:r>
      <w:r w:rsidRPr="00720750">
        <w:rPr>
          <w:rFonts w:ascii="Times New Roman" w:hAnsi="Times New Roman" w:cs="Times New Roman"/>
          <w:b/>
          <w:noProof/>
        </w:rPr>
        <w:t>65</w:t>
      </w:r>
      <w:r w:rsidR="0039135D">
        <w:rPr>
          <w:rFonts w:ascii="Times New Roman" w:hAnsi="Times New Roman" w:cs="Times New Roman"/>
          <w:noProof/>
        </w:rPr>
        <w:t xml:space="preserve"> 15 (2001) 2433</w:t>
      </w:r>
      <w:r w:rsidRPr="00720750">
        <w:rPr>
          <w:rFonts w:ascii="Times New Roman" w:hAnsi="Times New Roman" w:cs="Times New Roman"/>
          <w:noProof/>
        </w:rPr>
        <w:t>.</w:t>
      </w:r>
      <w:bookmarkEnd w:id="8"/>
    </w:p>
    <w:p w:rsidR="006962E0" w:rsidRPr="00720750" w:rsidRDefault="006962E0" w:rsidP="002B1871">
      <w:pPr>
        <w:ind w:left="426" w:hanging="426"/>
        <w:jc w:val="both"/>
        <w:rPr>
          <w:rFonts w:ascii="Times New Roman" w:hAnsi="Times New Roman" w:cs="Times New Roman"/>
          <w:noProof/>
        </w:rPr>
      </w:pPr>
      <w:bookmarkStart w:id="9" w:name="_ENREF_9"/>
      <w:r w:rsidRPr="00720750">
        <w:rPr>
          <w:rFonts w:ascii="Times New Roman" w:hAnsi="Times New Roman" w:cs="Times New Roman"/>
          <w:noProof/>
        </w:rPr>
        <w:t xml:space="preserve">[9] </w:t>
      </w:r>
      <w:r w:rsidRPr="00720750">
        <w:rPr>
          <w:rFonts w:ascii="Times New Roman" w:hAnsi="Times New Roman" w:cs="Times New Roman"/>
          <w:smallCaps/>
          <w:noProof/>
        </w:rPr>
        <w:t>Ding, T.</w:t>
      </w:r>
      <w:r w:rsidRPr="00720750">
        <w:rPr>
          <w:rFonts w:ascii="Times New Roman" w:hAnsi="Times New Roman" w:cs="Times New Roman"/>
          <w:noProof/>
        </w:rPr>
        <w:t xml:space="preserve">, et al., Preparation of two synthetic isotope mixtures for the calibration of isotope amount ratio measurements of sulfur, International Journal of Mass Spectrometry, </w:t>
      </w:r>
      <w:r w:rsidRPr="00720750">
        <w:rPr>
          <w:rFonts w:ascii="Times New Roman" w:hAnsi="Times New Roman" w:cs="Times New Roman"/>
          <w:b/>
          <w:noProof/>
        </w:rPr>
        <w:t>197</w:t>
      </w:r>
      <w:r w:rsidRPr="00720750">
        <w:rPr>
          <w:rFonts w:ascii="Times New Roman" w:hAnsi="Times New Roman" w:cs="Times New Roman"/>
          <w:noProof/>
        </w:rPr>
        <w:t xml:space="preserve"> 1-3 (2000) 131-137.</w:t>
      </w:r>
      <w:bookmarkEnd w:id="9"/>
    </w:p>
    <w:p w:rsidR="006962E0" w:rsidRPr="00720750" w:rsidRDefault="006962E0" w:rsidP="002B1871">
      <w:pPr>
        <w:ind w:left="426" w:hanging="426"/>
        <w:jc w:val="both"/>
        <w:rPr>
          <w:rFonts w:ascii="Times New Roman" w:hAnsi="Times New Roman" w:cs="Times New Roman"/>
          <w:noProof/>
        </w:rPr>
      </w:pPr>
      <w:bookmarkStart w:id="10" w:name="_ENREF_10"/>
      <w:r w:rsidRPr="00720750">
        <w:rPr>
          <w:rFonts w:ascii="Times New Roman" w:hAnsi="Times New Roman" w:cs="Times New Roman"/>
          <w:noProof/>
        </w:rPr>
        <w:t xml:space="preserve">[10] </w:t>
      </w:r>
      <w:r w:rsidRPr="00720750">
        <w:rPr>
          <w:rFonts w:ascii="Times New Roman" w:hAnsi="Times New Roman" w:cs="Times New Roman"/>
          <w:smallCaps/>
          <w:noProof/>
        </w:rPr>
        <w:t>Coplen, T.B.</w:t>
      </w:r>
      <w:r w:rsidRPr="00720750">
        <w:rPr>
          <w:rFonts w:ascii="Times New Roman" w:hAnsi="Times New Roman" w:cs="Times New Roman"/>
          <w:noProof/>
        </w:rPr>
        <w:t>, et al., Isotope-abundance variations of selected elements (IUPAC technical report), Pure Appl</w:t>
      </w:r>
      <w:r w:rsidR="00690AFD">
        <w:rPr>
          <w:rFonts w:ascii="Times New Roman" w:hAnsi="Times New Roman" w:cs="Times New Roman"/>
          <w:noProof/>
        </w:rPr>
        <w:t>.</w:t>
      </w:r>
      <w:r w:rsidRPr="00720750">
        <w:rPr>
          <w:rFonts w:ascii="Times New Roman" w:hAnsi="Times New Roman" w:cs="Times New Roman"/>
          <w:noProof/>
        </w:rPr>
        <w:t xml:space="preserve"> Chem</w:t>
      </w:r>
      <w:r w:rsidR="00690AFD">
        <w:rPr>
          <w:rFonts w:ascii="Times New Roman" w:hAnsi="Times New Roman" w:cs="Times New Roman"/>
          <w:noProof/>
        </w:rPr>
        <w:t>.</w:t>
      </w:r>
      <w:r w:rsidRPr="00720750">
        <w:rPr>
          <w:rFonts w:ascii="Times New Roman" w:hAnsi="Times New Roman" w:cs="Times New Roman"/>
          <w:noProof/>
        </w:rPr>
        <w:t xml:space="preserve"> </w:t>
      </w:r>
      <w:r w:rsidRPr="00720750">
        <w:rPr>
          <w:rFonts w:ascii="Times New Roman" w:hAnsi="Times New Roman" w:cs="Times New Roman"/>
          <w:b/>
          <w:noProof/>
        </w:rPr>
        <w:t>74</w:t>
      </w:r>
      <w:r w:rsidR="0039135D">
        <w:rPr>
          <w:rFonts w:ascii="Times New Roman" w:hAnsi="Times New Roman" w:cs="Times New Roman"/>
          <w:noProof/>
        </w:rPr>
        <w:t xml:space="preserve"> 10 (2002) 1987</w:t>
      </w:r>
      <w:r w:rsidRPr="00720750">
        <w:rPr>
          <w:rFonts w:ascii="Times New Roman" w:hAnsi="Times New Roman" w:cs="Times New Roman"/>
          <w:noProof/>
        </w:rPr>
        <w:t>.</w:t>
      </w:r>
      <w:bookmarkEnd w:id="10"/>
    </w:p>
    <w:p w:rsidR="006962E0" w:rsidRPr="00720750" w:rsidRDefault="006962E0" w:rsidP="002B1871">
      <w:pPr>
        <w:ind w:left="426" w:hanging="426"/>
        <w:jc w:val="both"/>
        <w:rPr>
          <w:rFonts w:ascii="Times New Roman" w:hAnsi="Times New Roman" w:cs="Times New Roman"/>
          <w:noProof/>
        </w:rPr>
      </w:pPr>
      <w:bookmarkStart w:id="11" w:name="_ENREF_11"/>
      <w:r w:rsidRPr="00720750">
        <w:rPr>
          <w:rFonts w:ascii="Times New Roman" w:hAnsi="Times New Roman" w:cs="Times New Roman"/>
          <w:noProof/>
        </w:rPr>
        <w:t xml:space="preserve">[11] </w:t>
      </w:r>
      <w:r w:rsidRPr="00720750">
        <w:rPr>
          <w:rFonts w:ascii="Times New Roman" w:hAnsi="Times New Roman" w:cs="Times New Roman"/>
          <w:smallCaps/>
          <w:noProof/>
        </w:rPr>
        <w:t>Han, S.H.</w:t>
      </w:r>
      <w:r w:rsidRPr="00720750">
        <w:rPr>
          <w:rFonts w:ascii="Times New Roman" w:hAnsi="Times New Roman" w:cs="Times New Roman"/>
          <w:noProof/>
        </w:rPr>
        <w:t>, et al., Measurement of the sulphur isotope ratio (34S/32S) in uranium ore concentrates (yellow cakes) for origin assessment, J</w:t>
      </w:r>
      <w:r w:rsidR="00690AFD">
        <w:rPr>
          <w:rFonts w:ascii="Times New Roman" w:hAnsi="Times New Roman" w:cs="Times New Roman"/>
          <w:noProof/>
        </w:rPr>
        <w:t>.</w:t>
      </w:r>
      <w:r w:rsidRPr="00720750">
        <w:rPr>
          <w:rFonts w:ascii="Times New Roman" w:hAnsi="Times New Roman" w:cs="Times New Roman"/>
          <w:noProof/>
        </w:rPr>
        <w:t xml:space="preserve"> Anal</w:t>
      </w:r>
      <w:r w:rsidR="00690AFD">
        <w:rPr>
          <w:rFonts w:ascii="Times New Roman" w:hAnsi="Times New Roman" w:cs="Times New Roman"/>
          <w:noProof/>
        </w:rPr>
        <w:t>.</w:t>
      </w:r>
      <w:r w:rsidRPr="00720750">
        <w:rPr>
          <w:rFonts w:ascii="Times New Roman" w:hAnsi="Times New Roman" w:cs="Times New Roman"/>
          <w:noProof/>
        </w:rPr>
        <w:t xml:space="preserve"> At</w:t>
      </w:r>
      <w:r w:rsidR="00690AFD">
        <w:rPr>
          <w:rFonts w:ascii="Times New Roman" w:hAnsi="Times New Roman" w:cs="Times New Roman"/>
          <w:noProof/>
        </w:rPr>
        <w:t>.</w:t>
      </w:r>
      <w:r w:rsidRPr="00720750">
        <w:rPr>
          <w:rFonts w:ascii="Times New Roman" w:hAnsi="Times New Roman" w:cs="Times New Roman"/>
          <w:noProof/>
        </w:rPr>
        <w:t xml:space="preserve"> Spectrom</w:t>
      </w:r>
      <w:r w:rsidR="00690AFD">
        <w:rPr>
          <w:rFonts w:ascii="Times New Roman" w:hAnsi="Times New Roman" w:cs="Times New Roman"/>
          <w:noProof/>
        </w:rPr>
        <w:t>.</w:t>
      </w:r>
      <w:r w:rsidRPr="00720750">
        <w:rPr>
          <w:rFonts w:ascii="Times New Roman" w:hAnsi="Times New Roman" w:cs="Times New Roman"/>
          <w:noProof/>
        </w:rPr>
        <w:t xml:space="preserve"> </w:t>
      </w:r>
      <w:r w:rsidRPr="00720750">
        <w:rPr>
          <w:rFonts w:ascii="Times New Roman" w:hAnsi="Times New Roman" w:cs="Times New Roman"/>
          <w:b/>
          <w:noProof/>
        </w:rPr>
        <w:t>28</w:t>
      </w:r>
      <w:r w:rsidR="0039135D">
        <w:rPr>
          <w:rFonts w:ascii="Times New Roman" w:hAnsi="Times New Roman" w:cs="Times New Roman"/>
          <w:noProof/>
        </w:rPr>
        <w:t xml:space="preserve"> 12 (2013) 1919</w:t>
      </w:r>
      <w:r w:rsidRPr="00720750">
        <w:rPr>
          <w:rFonts w:ascii="Times New Roman" w:hAnsi="Times New Roman" w:cs="Times New Roman"/>
          <w:noProof/>
        </w:rPr>
        <w:t>.</w:t>
      </w:r>
      <w:bookmarkEnd w:id="11"/>
    </w:p>
    <w:p w:rsidR="006962E0" w:rsidRPr="00720750" w:rsidRDefault="006962E0" w:rsidP="00720750">
      <w:pPr>
        <w:ind w:left="284" w:hanging="284"/>
        <w:jc w:val="both"/>
        <w:rPr>
          <w:rFonts w:ascii="Times New Roman" w:hAnsi="Times New Roman" w:cs="Times New Roman"/>
          <w:noProof/>
        </w:rPr>
      </w:pPr>
    </w:p>
    <w:p w:rsidR="006962E0" w:rsidRPr="00720750" w:rsidRDefault="006962E0" w:rsidP="00720750">
      <w:pPr>
        <w:ind w:left="284" w:hanging="284"/>
        <w:jc w:val="both"/>
        <w:rPr>
          <w:rFonts w:ascii="Times New Roman" w:hAnsi="Times New Roman" w:cs="Times New Roman"/>
        </w:rPr>
      </w:pPr>
    </w:p>
    <w:p w:rsidR="002B6C0B" w:rsidRDefault="002B6C0B"/>
    <w:sectPr w:rsidR="002B6C0B" w:rsidSect="007A038F">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F5B6F">
      <w:r>
        <w:separator/>
      </w:r>
    </w:p>
  </w:endnote>
  <w:endnote w:type="continuationSeparator" w:id="0">
    <w:p w:rsidR="00000000" w:rsidRDefault="003F5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dvPS497E2">
    <w:altName w:val="Times New Roman"/>
    <w:panose1 w:val="00000000000000000000"/>
    <w:charset w:val="00"/>
    <w:family w:val="roman"/>
    <w:notTrueType/>
    <w:pitch w:val="default"/>
    <w:sig w:usb0="00000003" w:usb1="00000000" w:usb2="00000000" w:usb3="00000000" w:csb0="00000001" w:csb1="00000000"/>
  </w:font>
  <w:font w:name="HYMyeongJo-Extra">
    <w:altName w:val="Arial Unicode MS"/>
    <w:charset w:val="81"/>
    <w:family w:val="roman"/>
    <w:pitch w:val="variable"/>
    <w:sig w:usb0="00000000" w:usb1="39D77CF9"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81934"/>
      <w:docPartObj>
        <w:docPartGallery w:val="Page Numbers (Bottom of Page)"/>
        <w:docPartUnique/>
      </w:docPartObj>
    </w:sdtPr>
    <w:sdtEndPr>
      <w:rPr>
        <w:rFonts w:ascii="Times New Roman" w:hAnsi="Times New Roman" w:cs="Times New Roman"/>
        <w:noProof/>
      </w:rPr>
    </w:sdtEndPr>
    <w:sdtContent>
      <w:p w:rsidR="00154037" w:rsidRPr="00154037" w:rsidRDefault="006A6822">
        <w:pPr>
          <w:pStyle w:val="Footer"/>
          <w:rPr>
            <w:rFonts w:ascii="Times New Roman" w:hAnsi="Times New Roman" w:cs="Times New Roman"/>
          </w:rPr>
        </w:pPr>
        <w:r w:rsidRPr="00154037">
          <w:rPr>
            <w:rFonts w:ascii="Times New Roman" w:hAnsi="Times New Roman" w:cs="Times New Roman"/>
          </w:rPr>
          <w:fldChar w:fldCharType="begin"/>
        </w:r>
        <w:r w:rsidRPr="00154037">
          <w:rPr>
            <w:rFonts w:ascii="Times New Roman" w:hAnsi="Times New Roman" w:cs="Times New Roman"/>
          </w:rPr>
          <w:instrText xml:space="preserve"> PAGE   \* MERGEFORMAT </w:instrText>
        </w:r>
        <w:r w:rsidRPr="00154037">
          <w:rPr>
            <w:rFonts w:ascii="Times New Roman" w:hAnsi="Times New Roman" w:cs="Times New Roman"/>
          </w:rPr>
          <w:fldChar w:fldCharType="separate"/>
        </w:r>
        <w:r>
          <w:rPr>
            <w:rFonts w:ascii="Times New Roman" w:hAnsi="Times New Roman" w:cs="Times New Roman"/>
            <w:noProof/>
          </w:rPr>
          <w:t>6</w:t>
        </w:r>
        <w:r w:rsidRPr="00154037">
          <w:rPr>
            <w:rFonts w:ascii="Times New Roman" w:hAnsi="Times New Roman" w:cs="Times New Roman"/>
            <w:noProof/>
          </w:rPr>
          <w:fldChar w:fldCharType="end"/>
        </w:r>
      </w:p>
    </w:sdtContent>
  </w:sdt>
  <w:p w:rsidR="00154037" w:rsidRDefault="003F5B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087651"/>
      <w:docPartObj>
        <w:docPartGallery w:val="Page Numbers (Bottom of Page)"/>
        <w:docPartUnique/>
      </w:docPartObj>
    </w:sdtPr>
    <w:sdtEndPr>
      <w:rPr>
        <w:rFonts w:ascii="Times New Roman" w:hAnsi="Times New Roman" w:cs="Times New Roman"/>
        <w:noProof/>
      </w:rPr>
    </w:sdtEndPr>
    <w:sdtContent>
      <w:p w:rsidR="000D3201" w:rsidRPr="000D3201" w:rsidRDefault="006A6822">
        <w:pPr>
          <w:pStyle w:val="Footer"/>
          <w:jc w:val="center"/>
          <w:rPr>
            <w:rFonts w:ascii="Times New Roman" w:hAnsi="Times New Roman" w:cs="Times New Roman"/>
          </w:rPr>
        </w:pPr>
        <w:r>
          <w:ptab w:relativeTo="margin" w:alignment="right" w:leader="none"/>
        </w:r>
        <w:r>
          <w:ptab w:relativeTo="margin" w:alignment="center" w:leader="none"/>
        </w:r>
        <w:r>
          <w:ptab w:relativeTo="margin" w:alignment="right" w:leader="none"/>
        </w:r>
        <w:r w:rsidRPr="000D3201">
          <w:rPr>
            <w:rFonts w:ascii="Times New Roman" w:hAnsi="Times New Roman" w:cs="Times New Roman"/>
          </w:rPr>
          <w:fldChar w:fldCharType="begin"/>
        </w:r>
        <w:r w:rsidRPr="000D3201">
          <w:rPr>
            <w:rFonts w:ascii="Times New Roman" w:hAnsi="Times New Roman" w:cs="Times New Roman"/>
          </w:rPr>
          <w:instrText xml:space="preserve"> PAGE   \* MERGEFORMAT </w:instrText>
        </w:r>
        <w:r w:rsidRPr="000D3201">
          <w:rPr>
            <w:rFonts w:ascii="Times New Roman" w:hAnsi="Times New Roman" w:cs="Times New Roman"/>
          </w:rPr>
          <w:fldChar w:fldCharType="separate"/>
        </w:r>
        <w:r w:rsidR="003F5B6F">
          <w:rPr>
            <w:rFonts w:ascii="Times New Roman" w:hAnsi="Times New Roman" w:cs="Times New Roman"/>
            <w:noProof/>
          </w:rPr>
          <w:t>5</w:t>
        </w:r>
        <w:r w:rsidRPr="000D3201">
          <w:rPr>
            <w:rFonts w:ascii="Times New Roman" w:hAnsi="Times New Roman" w:cs="Times New Roman"/>
            <w:noProof/>
          </w:rPr>
          <w:fldChar w:fldCharType="end"/>
        </w:r>
      </w:p>
    </w:sdtContent>
  </w:sdt>
  <w:p w:rsidR="000D3201" w:rsidRDefault="003F5B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F5B6F">
      <w:r>
        <w:separator/>
      </w:r>
    </w:p>
  </w:footnote>
  <w:footnote w:type="continuationSeparator" w:id="0">
    <w:p w:rsidR="00000000" w:rsidRDefault="003F5B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LW_DocType" w:val="NORMAL"/>
  </w:docVars>
  <w:rsids>
    <w:rsidRoot w:val="006962E0"/>
    <w:rsid w:val="00117265"/>
    <w:rsid w:val="002B1871"/>
    <w:rsid w:val="002B6C0B"/>
    <w:rsid w:val="0039135D"/>
    <w:rsid w:val="003B2815"/>
    <w:rsid w:val="003F5B6F"/>
    <w:rsid w:val="004062E0"/>
    <w:rsid w:val="00690AFD"/>
    <w:rsid w:val="006962E0"/>
    <w:rsid w:val="006A6822"/>
    <w:rsid w:val="006F6546"/>
    <w:rsid w:val="007179A9"/>
    <w:rsid w:val="00720750"/>
    <w:rsid w:val="007E6719"/>
    <w:rsid w:val="00971789"/>
    <w:rsid w:val="00980505"/>
    <w:rsid w:val="00AE4CCE"/>
    <w:rsid w:val="00BC5300"/>
    <w:rsid w:val="00DF14BA"/>
    <w:rsid w:val="00E3699A"/>
    <w:rsid w:val="00F10CC8"/>
    <w:rsid w:val="00F85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2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Abstract">
    <w:name w:val="03 Abstract"/>
    <w:qFormat/>
    <w:rsid w:val="006962E0"/>
    <w:pPr>
      <w:spacing w:after="240" w:line="240" w:lineRule="exact"/>
      <w:ind w:right="2268"/>
    </w:pPr>
    <w:rPr>
      <w:rFonts w:ascii="Times New Roman" w:eastAsia="Times New Roman" w:hAnsi="Times New Roman" w:cs="Times New Roman"/>
      <w:sz w:val="18"/>
      <w:szCs w:val="18"/>
      <w:lang w:eastAsia="en-GB"/>
    </w:rPr>
  </w:style>
  <w:style w:type="paragraph" w:styleId="BodyText">
    <w:name w:val="Body Text"/>
    <w:link w:val="BodyTextChar"/>
    <w:rsid w:val="006962E0"/>
    <w:pPr>
      <w:spacing w:after="170" w:line="280" w:lineRule="atLeast"/>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962E0"/>
    <w:rPr>
      <w:rFonts w:ascii="Times New Roman" w:eastAsia="Times New Roman" w:hAnsi="Times New Roman" w:cs="Times New Roman"/>
      <w:szCs w:val="20"/>
    </w:rPr>
  </w:style>
  <w:style w:type="paragraph" w:customStyle="1" w:styleId="01PaperTitle">
    <w:name w:val="01 Paper Title"/>
    <w:qFormat/>
    <w:rsid w:val="006962E0"/>
    <w:pPr>
      <w:spacing w:after="180" w:line="360" w:lineRule="exact"/>
    </w:pPr>
    <w:rPr>
      <w:rFonts w:ascii="Times New Roman" w:eastAsia="Times New Roman" w:hAnsi="Times New Roman" w:cs="Times New Roman"/>
      <w:b/>
      <w:position w:val="7"/>
      <w:sz w:val="24"/>
      <w:szCs w:val="24"/>
      <w:lang w:eastAsia="en-GB"/>
    </w:rPr>
  </w:style>
  <w:style w:type="paragraph" w:customStyle="1" w:styleId="08ArticleText">
    <w:name w:val="08 Article Text"/>
    <w:qFormat/>
    <w:rsid w:val="006962E0"/>
    <w:pPr>
      <w:widowControl w:val="0"/>
      <w:tabs>
        <w:tab w:val="left" w:pos="198"/>
      </w:tabs>
      <w:spacing w:line="230" w:lineRule="exact"/>
      <w:jc w:val="both"/>
    </w:pPr>
    <w:rPr>
      <w:rFonts w:ascii="Times New Roman" w:eastAsia="Times New Roman" w:hAnsi="Times New Roman" w:cs="Times New Roman"/>
      <w:sz w:val="18"/>
      <w:szCs w:val="18"/>
      <w:lang w:eastAsia="en-GB"/>
    </w:rPr>
  </w:style>
  <w:style w:type="paragraph" w:customStyle="1" w:styleId="G3SingleColumnEquation">
    <w:name w:val="G3 Single Column Equation"/>
    <w:next w:val="08ArticleText"/>
    <w:qFormat/>
    <w:rsid w:val="006962E0"/>
    <w:pPr>
      <w:tabs>
        <w:tab w:val="center" w:pos="2155"/>
        <w:tab w:val="right" w:pos="4706"/>
      </w:tabs>
      <w:spacing w:before="160" w:after="160"/>
    </w:pPr>
    <w:rPr>
      <w:rFonts w:ascii="Times New Roman" w:eastAsia="Times New Roman" w:hAnsi="Times New Roman" w:cs="Times New Roman"/>
      <w:sz w:val="18"/>
      <w:szCs w:val="20"/>
      <w:lang w:eastAsia="en-GB"/>
    </w:rPr>
  </w:style>
  <w:style w:type="paragraph" w:customStyle="1" w:styleId="04AHeading">
    <w:name w:val="04 A Heading"/>
    <w:next w:val="08ArticleText"/>
    <w:qFormat/>
    <w:rsid w:val="006962E0"/>
    <w:pPr>
      <w:spacing w:before="240" w:after="120" w:line="240" w:lineRule="exact"/>
    </w:pPr>
    <w:rPr>
      <w:rFonts w:ascii="Times New Roman" w:eastAsia="Times New Roman" w:hAnsi="Times New Roman" w:cs="Times New Roman"/>
      <w:b/>
      <w:szCs w:val="20"/>
      <w:lang w:eastAsia="en-GB"/>
    </w:rPr>
  </w:style>
  <w:style w:type="paragraph" w:customStyle="1" w:styleId="05BHeading">
    <w:name w:val="05 B Heading"/>
    <w:next w:val="08ArticleText"/>
    <w:qFormat/>
    <w:rsid w:val="006962E0"/>
    <w:pPr>
      <w:spacing w:before="120" w:after="120" w:line="200" w:lineRule="exact"/>
      <w:jc w:val="both"/>
    </w:pPr>
    <w:rPr>
      <w:rFonts w:ascii="Times New Roman" w:eastAsia="Times New Roman" w:hAnsi="Times New Roman" w:cs="Times New Roman"/>
      <w:b/>
      <w:sz w:val="18"/>
      <w:szCs w:val="20"/>
      <w:lang w:eastAsia="en-GB"/>
    </w:rPr>
  </w:style>
  <w:style w:type="paragraph" w:customStyle="1" w:styleId="G1aFigureImage">
    <w:name w:val="G1a Figure Image"/>
    <w:next w:val="G1bFigureCaption"/>
    <w:qFormat/>
    <w:rsid w:val="006962E0"/>
    <w:pPr>
      <w:shd w:val="solid" w:color="FFFFFF" w:fill="FFFFFF"/>
      <w:spacing w:before="160" w:after="40"/>
      <w:jc w:val="center"/>
    </w:pPr>
    <w:rPr>
      <w:rFonts w:ascii="Times New Roman" w:eastAsia="Times New Roman" w:hAnsi="Times New Roman" w:cs="Times New Roman"/>
      <w:sz w:val="18"/>
      <w:szCs w:val="20"/>
      <w:lang w:eastAsia="en-GB"/>
    </w:rPr>
  </w:style>
  <w:style w:type="paragraph" w:customStyle="1" w:styleId="G1bFigureCaption">
    <w:name w:val="G1b Figure Caption"/>
    <w:basedOn w:val="Normal"/>
    <w:next w:val="08ArticleText"/>
    <w:qFormat/>
    <w:rsid w:val="006962E0"/>
    <w:pPr>
      <w:shd w:val="solid" w:color="FFFFFF" w:fill="FFFFFF"/>
      <w:spacing w:before="40" w:after="160" w:line="190" w:lineRule="exact"/>
      <w:jc w:val="center"/>
    </w:pPr>
    <w:rPr>
      <w:rFonts w:ascii="Times New Roman" w:eastAsia="Malgun Gothic" w:hAnsi="Times New Roman" w:cs="Times New Roman"/>
      <w:sz w:val="16"/>
      <w:szCs w:val="24"/>
      <w:lang w:eastAsia="en-GB"/>
    </w:rPr>
  </w:style>
  <w:style w:type="paragraph" w:customStyle="1" w:styleId="G4aTableTitle">
    <w:name w:val="G4a Table Title"/>
    <w:qFormat/>
    <w:rsid w:val="006962E0"/>
    <w:pPr>
      <w:keepNext/>
      <w:keepLines/>
      <w:pBdr>
        <w:bottom w:val="single" w:sz="6" w:space="1" w:color="auto"/>
      </w:pBdr>
      <w:spacing w:before="120" w:after="120" w:line="190" w:lineRule="exact"/>
    </w:pPr>
    <w:rPr>
      <w:rFonts w:ascii="Times New Roman" w:eastAsia="Times New Roman" w:hAnsi="Times New Roman" w:cs="Times New Roman"/>
      <w:sz w:val="16"/>
      <w:szCs w:val="20"/>
      <w:lang w:eastAsia="en-GB"/>
    </w:rPr>
  </w:style>
  <w:style w:type="paragraph" w:customStyle="1" w:styleId="G4bTableBody">
    <w:name w:val="G4b Table Body"/>
    <w:qFormat/>
    <w:rsid w:val="006962E0"/>
    <w:pPr>
      <w:keepNext/>
      <w:keepLines/>
      <w:jc w:val="center"/>
    </w:pPr>
    <w:rPr>
      <w:rFonts w:ascii="Times New Roman" w:eastAsia="Times New Roman" w:hAnsi="Times New Roman" w:cs="Times New Roman"/>
      <w:sz w:val="16"/>
      <w:szCs w:val="16"/>
      <w:lang w:eastAsia="en-GB"/>
    </w:rPr>
  </w:style>
  <w:style w:type="paragraph" w:styleId="BalloonText">
    <w:name w:val="Balloon Text"/>
    <w:basedOn w:val="Normal"/>
    <w:link w:val="BalloonTextChar"/>
    <w:uiPriority w:val="99"/>
    <w:semiHidden/>
    <w:unhideWhenUsed/>
    <w:rsid w:val="006962E0"/>
    <w:rPr>
      <w:rFonts w:ascii="Tahoma" w:hAnsi="Tahoma" w:cs="Tahoma"/>
      <w:sz w:val="16"/>
      <w:szCs w:val="16"/>
    </w:rPr>
  </w:style>
  <w:style w:type="character" w:customStyle="1" w:styleId="BalloonTextChar">
    <w:name w:val="Balloon Text Char"/>
    <w:basedOn w:val="DefaultParagraphFont"/>
    <w:link w:val="BalloonText"/>
    <w:uiPriority w:val="99"/>
    <w:semiHidden/>
    <w:rsid w:val="006962E0"/>
    <w:rPr>
      <w:rFonts w:ascii="Tahoma" w:hAnsi="Tahoma" w:cs="Tahoma"/>
      <w:sz w:val="16"/>
      <w:szCs w:val="16"/>
    </w:rPr>
  </w:style>
  <w:style w:type="paragraph" w:styleId="Header">
    <w:name w:val="header"/>
    <w:basedOn w:val="Normal"/>
    <w:link w:val="HeaderChar"/>
    <w:uiPriority w:val="99"/>
    <w:unhideWhenUsed/>
    <w:rsid w:val="006962E0"/>
    <w:pPr>
      <w:tabs>
        <w:tab w:val="center" w:pos="4513"/>
        <w:tab w:val="right" w:pos="9026"/>
      </w:tabs>
    </w:pPr>
  </w:style>
  <w:style w:type="character" w:customStyle="1" w:styleId="HeaderChar">
    <w:name w:val="Header Char"/>
    <w:basedOn w:val="DefaultParagraphFont"/>
    <w:link w:val="Header"/>
    <w:uiPriority w:val="99"/>
    <w:rsid w:val="006962E0"/>
  </w:style>
  <w:style w:type="paragraph" w:styleId="Footer">
    <w:name w:val="footer"/>
    <w:basedOn w:val="Normal"/>
    <w:link w:val="FooterChar"/>
    <w:uiPriority w:val="99"/>
    <w:unhideWhenUsed/>
    <w:rsid w:val="006962E0"/>
    <w:pPr>
      <w:tabs>
        <w:tab w:val="center" w:pos="4513"/>
        <w:tab w:val="right" w:pos="9026"/>
      </w:tabs>
    </w:pPr>
  </w:style>
  <w:style w:type="character" w:customStyle="1" w:styleId="FooterChar">
    <w:name w:val="Footer Char"/>
    <w:basedOn w:val="DefaultParagraphFont"/>
    <w:link w:val="Footer"/>
    <w:uiPriority w:val="99"/>
    <w:rsid w:val="006962E0"/>
  </w:style>
  <w:style w:type="character" w:styleId="Hyperlink">
    <w:name w:val="Hyperlink"/>
    <w:basedOn w:val="DefaultParagraphFont"/>
    <w:uiPriority w:val="99"/>
    <w:unhideWhenUsed/>
    <w:rsid w:val="006962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2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Abstract">
    <w:name w:val="03 Abstract"/>
    <w:qFormat/>
    <w:rsid w:val="006962E0"/>
    <w:pPr>
      <w:spacing w:after="240" w:line="240" w:lineRule="exact"/>
      <w:ind w:right="2268"/>
    </w:pPr>
    <w:rPr>
      <w:rFonts w:ascii="Times New Roman" w:eastAsia="Times New Roman" w:hAnsi="Times New Roman" w:cs="Times New Roman"/>
      <w:sz w:val="18"/>
      <w:szCs w:val="18"/>
      <w:lang w:eastAsia="en-GB"/>
    </w:rPr>
  </w:style>
  <w:style w:type="paragraph" w:styleId="BodyText">
    <w:name w:val="Body Text"/>
    <w:link w:val="BodyTextChar"/>
    <w:rsid w:val="006962E0"/>
    <w:pPr>
      <w:spacing w:after="170" w:line="280" w:lineRule="atLeast"/>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962E0"/>
    <w:rPr>
      <w:rFonts w:ascii="Times New Roman" w:eastAsia="Times New Roman" w:hAnsi="Times New Roman" w:cs="Times New Roman"/>
      <w:szCs w:val="20"/>
    </w:rPr>
  </w:style>
  <w:style w:type="paragraph" w:customStyle="1" w:styleId="01PaperTitle">
    <w:name w:val="01 Paper Title"/>
    <w:qFormat/>
    <w:rsid w:val="006962E0"/>
    <w:pPr>
      <w:spacing w:after="180" w:line="360" w:lineRule="exact"/>
    </w:pPr>
    <w:rPr>
      <w:rFonts w:ascii="Times New Roman" w:eastAsia="Times New Roman" w:hAnsi="Times New Roman" w:cs="Times New Roman"/>
      <w:b/>
      <w:position w:val="7"/>
      <w:sz w:val="24"/>
      <w:szCs w:val="24"/>
      <w:lang w:eastAsia="en-GB"/>
    </w:rPr>
  </w:style>
  <w:style w:type="paragraph" w:customStyle="1" w:styleId="08ArticleText">
    <w:name w:val="08 Article Text"/>
    <w:qFormat/>
    <w:rsid w:val="006962E0"/>
    <w:pPr>
      <w:widowControl w:val="0"/>
      <w:tabs>
        <w:tab w:val="left" w:pos="198"/>
      </w:tabs>
      <w:spacing w:line="230" w:lineRule="exact"/>
      <w:jc w:val="both"/>
    </w:pPr>
    <w:rPr>
      <w:rFonts w:ascii="Times New Roman" w:eastAsia="Times New Roman" w:hAnsi="Times New Roman" w:cs="Times New Roman"/>
      <w:sz w:val="18"/>
      <w:szCs w:val="18"/>
      <w:lang w:eastAsia="en-GB"/>
    </w:rPr>
  </w:style>
  <w:style w:type="paragraph" w:customStyle="1" w:styleId="G3SingleColumnEquation">
    <w:name w:val="G3 Single Column Equation"/>
    <w:next w:val="08ArticleText"/>
    <w:qFormat/>
    <w:rsid w:val="006962E0"/>
    <w:pPr>
      <w:tabs>
        <w:tab w:val="center" w:pos="2155"/>
        <w:tab w:val="right" w:pos="4706"/>
      </w:tabs>
      <w:spacing w:before="160" w:after="160"/>
    </w:pPr>
    <w:rPr>
      <w:rFonts w:ascii="Times New Roman" w:eastAsia="Times New Roman" w:hAnsi="Times New Roman" w:cs="Times New Roman"/>
      <w:sz w:val="18"/>
      <w:szCs w:val="20"/>
      <w:lang w:eastAsia="en-GB"/>
    </w:rPr>
  </w:style>
  <w:style w:type="paragraph" w:customStyle="1" w:styleId="04AHeading">
    <w:name w:val="04 A Heading"/>
    <w:next w:val="08ArticleText"/>
    <w:qFormat/>
    <w:rsid w:val="006962E0"/>
    <w:pPr>
      <w:spacing w:before="240" w:after="120" w:line="240" w:lineRule="exact"/>
    </w:pPr>
    <w:rPr>
      <w:rFonts w:ascii="Times New Roman" w:eastAsia="Times New Roman" w:hAnsi="Times New Roman" w:cs="Times New Roman"/>
      <w:b/>
      <w:szCs w:val="20"/>
      <w:lang w:eastAsia="en-GB"/>
    </w:rPr>
  </w:style>
  <w:style w:type="paragraph" w:customStyle="1" w:styleId="05BHeading">
    <w:name w:val="05 B Heading"/>
    <w:next w:val="08ArticleText"/>
    <w:qFormat/>
    <w:rsid w:val="006962E0"/>
    <w:pPr>
      <w:spacing w:before="120" w:after="120" w:line="200" w:lineRule="exact"/>
      <w:jc w:val="both"/>
    </w:pPr>
    <w:rPr>
      <w:rFonts w:ascii="Times New Roman" w:eastAsia="Times New Roman" w:hAnsi="Times New Roman" w:cs="Times New Roman"/>
      <w:b/>
      <w:sz w:val="18"/>
      <w:szCs w:val="20"/>
      <w:lang w:eastAsia="en-GB"/>
    </w:rPr>
  </w:style>
  <w:style w:type="paragraph" w:customStyle="1" w:styleId="G1aFigureImage">
    <w:name w:val="G1a Figure Image"/>
    <w:next w:val="G1bFigureCaption"/>
    <w:qFormat/>
    <w:rsid w:val="006962E0"/>
    <w:pPr>
      <w:shd w:val="solid" w:color="FFFFFF" w:fill="FFFFFF"/>
      <w:spacing w:before="160" w:after="40"/>
      <w:jc w:val="center"/>
    </w:pPr>
    <w:rPr>
      <w:rFonts w:ascii="Times New Roman" w:eastAsia="Times New Roman" w:hAnsi="Times New Roman" w:cs="Times New Roman"/>
      <w:sz w:val="18"/>
      <w:szCs w:val="20"/>
      <w:lang w:eastAsia="en-GB"/>
    </w:rPr>
  </w:style>
  <w:style w:type="paragraph" w:customStyle="1" w:styleId="G1bFigureCaption">
    <w:name w:val="G1b Figure Caption"/>
    <w:basedOn w:val="Normal"/>
    <w:next w:val="08ArticleText"/>
    <w:qFormat/>
    <w:rsid w:val="006962E0"/>
    <w:pPr>
      <w:shd w:val="solid" w:color="FFFFFF" w:fill="FFFFFF"/>
      <w:spacing w:before="40" w:after="160" w:line="190" w:lineRule="exact"/>
      <w:jc w:val="center"/>
    </w:pPr>
    <w:rPr>
      <w:rFonts w:ascii="Times New Roman" w:eastAsia="Malgun Gothic" w:hAnsi="Times New Roman" w:cs="Times New Roman"/>
      <w:sz w:val="16"/>
      <w:szCs w:val="24"/>
      <w:lang w:eastAsia="en-GB"/>
    </w:rPr>
  </w:style>
  <w:style w:type="paragraph" w:customStyle="1" w:styleId="G4aTableTitle">
    <w:name w:val="G4a Table Title"/>
    <w:qFormat/>
    <w:rsid w:val="006962E0"/>
    <w:pPr>
      <w:keepNext/>
      <w:keepLines/>
      <w:pBdr>
        <w:bottom w:val="single" w:sz="6" w:space="1" w:color="auto"/>
      </w:pBdr>
      <w:spacing w:before="120" w:after="120" w:line="190" w:lineRule="exact"/>
    </w:pPr>
    <w:rPr>
      <w:rFonts w:ascii="Times New Roman" w:eastAsia="Times New Roman" w:hAnsi="Times New Roman" w:cs="Times New Roman"/>
      <w:sz w:val="16"/>
      <w:szCs w:val="20"/>
      <w:lang w:eastAsia="en-GB"/>
    </w:rPr>
  </w:style>
  <w:style w:type="paragraph" w:customStyle="1" w:styleId="G4bTableBody">
    <w:name w:val="G4b Table Body"/>
    <w:qFormat/>
    <w:rsid w:val="006962E0"/>
    <w:pPr>
      <w:keepNext/>
      <w:keepLines/>
      <w:jc w:val="center"/>
    </w:pPr>
    <w:rPr>
      <w:rFonts w:ascii="Times New Roman" w:eastAsia="Times New Roman" w:hAnsi="Times New Roman" w:cs="Times New Roman"/>
      <w:sz w:val="16"/>
      <w:szCs w:val="16"/>
      <w:lang w:eastAsia="en-GB"/>
    </w:rPr>
  </w:style>
  <w:style w:type="paragraph" w:styleId="BalloonText">
    <w:name w:val="Balloon Text"/>
    <w:basedOn w:val="Normal"/>
    <w:link w:val="BalloonTextChar"/>
    <w:uiPriority w:val="99"/>
    <w:semiHidden/>
    <w:unhideWhenUsed/>
    <w:rsid w:val="006962E0"/>
    <w:rPr>
      <w:rFonts w:ascii="Tahoma" w:hAnsi="Tahoma" w:cs="Tahoma"/>
      <w:sz w:val="16"/>
      <w:szCs w:val="16"/>
    </w:rPr>
  </w:style>
  <w:style w:type="character" w:customStyle="1" w:styleId="BalloonTextChar">
    <w:name w:val="Balloon Text Char"/>
    <w:basedOn w:val="DefaultParagraphFont"/>
    <w:link w:val="BalloonText"/>
    <w:uiPriority w:val="99"/>
    <w:semiHidden/>
    <w:rsid w:val="006962E0"/>
    <w:rPr>
      <w:rFonts w:ascii="Tahoma" w:hAnsi="Tahoma" w:cs="Tahoma"/>
      <w:sz w:val="16"/>
      <w:szCs w:val="16"/>
    </w:rPr>
  </w:style>
  <w:style w:type="paragraph" w:styleId="Header">
    <w:name w:val="header"/>
    <w:basedOn w:val="Normal"/>
    <w:link w:val="HeaderChar"/>
    <w:uiPriority w:val="99"/>
    <w:unhideWhenUsed/>
    <w:rsid w:val="006962E0"/>
    <w:pPr>
      <w:tabs>
        <w:tab w:val="center" w:pos="4513"/>
        <w:tab w:val="right" w:pos="9026"/>
      </w:tabs>
    </w:pPr>
  </w:style>
  <w:style w:type="character" w:customStyle="1" w:styleId="HeaderChar">
    <w:name w:val="Header Char"/>
    <w:basedOn w:val="DefaultParagraphFont"/>
    <w:link w:val="Header"/>
    <w:uiPriority w:val="99"/>
    <w:rsid w:val="006962E0"/>
  </w:style>
  <w:style w:type="paragraph" w:styleId="Footer">
    <w:name w:val="footer"/>
    <w:basedOn w:val="Normal"/>
    <w:link w:val="FooterChar"/>
    <w:uiPriority w:val="99"/>
    <w:unhideWhenUsed/>
    <w:rsid w:val="006962E0"/>
    <w:pPr>
      <w:tabs>
        <w:tab w:val="center" w:pos="4513"/>
        <w:tab w:val="right" w:pos="9026"/>
      </w:tabs>
    </w:pPr>
  </w:style>
  <w:style w:type="character" w:customStyle="1" w:styleId="FooterChar">
    <w:name w:val="Footer Char"/>
    <w:basedOn w:val="DefaultParagraphFont"/>
    <w:link w:val="Footer"/>
    <w:uiPriority w:val="99"/>
    <w:rsid w:val="006962E0"/>
  </w:style>
  <w:style w:type="character" w:styleId="Hyperlink">
    <w:name w:val="Hyperlink"/>
    <w:basedOn w:val="DefaultParagraphFont"/>
    <w:uiPriority w:val="99"/>
    <w:unhideWhenUsed/>
    <w:rsid w:val="006962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3057</Words>
  <Characters>17430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Zsolt (JRC-KARLSRUHE)</dc:creator>
  <cp:lastModifiedBy>VARGA Zsolt (JRC-KARLSRUHE)</cp:lastModifiedBy>
  <cp:revision>9</cp:revision>
  <dcterms:created xsi:type="dcterms:W3CDTF">2014-06-23T13:18:00Z</dcterms:created>
  <dcterms:modified xsi:type="dcterms:W3CDTF">2014-06-23T13:28:00Z</dcterms:modified>
</cp:coreProperties>
</file>