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32" w:rsidRDefault="00DC6C32" w:rsidP="006F2B76">
      <w:pPr>
        <w:ind w:left="709"/>
        <w:rPr>
          <w:b/>
          <w:sz w:val="28"/>
          <w:szCs w:val="28"/>
          <w:lang w:val="en-US"/>
        </w:rPr>
      </w:pPr>
      <w:r w:rsidRPr="006F2B76">
        <w:rPr>
          <w:b/>
          <w:sz w:val="28"/>
          <w:szCs w:val="28"/>
          <w:lang w:val="en-US"/>
        </w:rPr>
        <w:t>Identification of Unknown Nuclear Material</w:t>
      </w:r>
    </w:p>
    <w:p w:rsidR="003D7B8A" w:rsidRPr="00D6741A" w:rsidRDefault="003D7B8A" w:rsidP="006F2B76">
      <w:pPr>
        <w:ind w:left="709"/>
        <w:rPr>
          <w:sz w:val="22"/>
          <w:szCs w:val="22"/>
          <w:lang w:val="en-US"/>
        </w:rPr>
      </w:pPr>
    </w:p>
    <w:p w:rsidR="00B53C2A" w:rsidRPr="00D6741A" w:rsidRDefault="00DC6C32" w:rsidP="006F2B76">
      <w:pPr>
        <w:ind w:left="709"/>
        <w:rPr>
          <w:b/>
          <w:szCs w:val="22"/>
          <w:lang w:val="en-US"/>
        </w:rPr>
      </w:pPr>
      <w:r w:rsidRPr="00D6741A">
        <w:rPr>
          <w:b/>
          <w:szCs w:val="22"/>
          <w:lang w:val="fr-FR"/>
        </w:rPr>
        <w:t>G. Melanofthalmidou, I. Lantzos</w:t>
      </w:r>
      <w:r w:rsidR="00F842E2" w:rsidRPr="00D6741A">
        <w:rPr>
          <w:b/>
          <w:szCs w:val="22"/>
          <w:lang w:val="fr-FR"/>
        </w:rPr>
        <w:t>,</w:t>
      </w:r>
      <w:r w:rsidRPr="00D6741A">
        <w:rPr>
          <w:b/>
          <w:szCs w:val="22"/>
          <w:lang w:val="en-US"/>
        </w:rPr>
        <w:t xml:space="preserve"> G. Nicolaou</w:t>
      </w:r>
    </w:p>
    <w:p w:rsidR="003D7B8A" w:rsidRPr="00D6741A" w:rsidRDefault="003D7B8A" w:rsidP="006F2B76">
      <w:pPr>
        <w:ind w:left="709"/>
        <w:rPr>
          <w:sz w:val="22"/>
          <w:szCs w:val="22"/>
          <w:lang w:val="en-US"/>
        </w:rPr>
      </w:pPr>
    </w:p>
    <w:p w:rsidR="006F2B76" w:rsidRPr="00D6741A" w:rsidRDefault="00B53C2A" w:rsidP="006F2B76">
      <w:pPr>
        <w:pStyle w:val="30"/>
        <w:spacing w:line="240" w:lineRule="auto"/>
        <w:ind w:left="709"/>
        <w:jc w:val="left"/>
      </w:pPr>
      <w:r w:rsidRPr="00D6741A">
        <w:t xml:space="preserve">Demokritus University of Thrace, Faculty of Engineering, </w:t>
      </w:r>
    </w:p>
    <w:p w:rsidR="006F2B76" w:rsidRPr="00D6741A" w:rsidRDefault="00B53C2A" w:rsidP="006F2B76">
      <w:pPr>
        <w:pStyle w:val="30"/>
        <w:spacing w:line="240" w:lineRule="auto"/>
        <w:ind w:left="709"/>
        <w:jc w:val="left"/>
      </w:pPr>
      <w:r w:rsidRPr="00D6741A">
        <w:t xml:space="preserve">Department of Electrical and Computer Engineering, </w:t>
      </w:r>
    </w:p>
    <w:p w:rsidR="00B53C2A" w:rsidRPr="00D6741A" w:rsidRDefault="00B53C2A" w:rsidP="006F2B76">
      <w:pPr>
        <w:pStyle w:val="30"/>
        <w:spacing w:line="240" w:lineRule="auto"/>
        <w:ind w:left="709"/>
        <w:jc w:val="left"/>
      </w:pPr>
      <w:r w:rsidRPr="00D6741A">
        <w:t xml:space="preserve">Laboratory of Nuclear Technology, </w:t>
      </w:r>
    </w:p>
    <w:p w:rsidR="00B53C2A" w:rsidRPr="00D6741A" w:rsidRDefault="00B53C2A" w:rsidP="006F2B76">
      <w:pPr>
        <w:pStyle w:val="30"/>
        <w:spacing w:line="240" w:lineRule="auto"/>
        <w:ind w:left="709"/>
        <w:jc w:val="left"/>
      </w:pPr>
      <w:r w:rsidRPr="00D6741A">
        <w:t>Vas. Sofias 12,  67100 Xanthi, Greece</w:t>
      </w:r>
    </w:p>
    <w:p w:rsidR="00D62258" w:rsidRPr="00D6741A" w:rsidRDefault="00D62258" w:rsidP="006F2B76">
      <w:pPr>
        <w:autoSpaceDE w:val="0"/>
        <w:autoSpaceDN w:val="0"/>
        <w:adjustRightInd w:val="0"/>
        <w:ind w:firstLine="720"/>
        <w:jc w:val="both"/>
        <w:rPr>
          <w:rFonts w:eastAsiaTheme="minorHAnsi"/>
          <w:lang w:val="en-US" w:eastAsia="en-US"/>
        </w:rPr>
      </w:pPr>
    </w:p>
    <w:p w:rsidR="00D62258" w:rsidRPr="00D6741A" w:rsidRDefault="00C52B53" w:rsidP="00BC2910">
      <w:pPr>
        <w:autoSpaceDE w:val="0"/>
        <w:autoSpaceDN w:val="0"/>
        <w:adjustRightInd w:val="0"/>
        <w:jc w:val="both"/>
        <w:rPr>
          <w:rFonts w:eastAsiaTheme="minorHAnsi"/>
          <w:lang w:val="en-US" w:eastAsia="en-US"/>
        </w:rPr>
      </w:pPr>
      <w:r w:rsidRPr="00D6741A">
        <w:rPr>
          <w:rFonts w:eastAsiaTheme="minorHAnsi"/>
          <w:b/>
          <w:lang w:val="en-US" w:eastAsia="en-US"/>
        </w:rPr>
        <w:t>Abstract.</w:t>
      </w:r>
      <w:r w:rsidRPr="00D6741A">
        <w:rPr>
          <w:rFonts w:eastAsiaTheme="minorHAnsi"/>
          <w:lang w:val="en-US" w:eastAsia="en-US"/>
        </w:rPr>
        <w:t xml:space="preserve"> </w:t>
      </w:r>
      <w:r w:rsidR="00D62258" w:rsidRPr="00D6741A">
        <w:rPr>
          <w:rFonts w:eastAsiaTheme="minorHAnsi"/>
          <w:lang w:val="en-US" w:eastAsia="en-US"/>
        </w:rPr>
        <w:t xml:space="preserve">An isotopic fingerprinting method has been demonstrated to discriminate spent fuels of the same origin. The method, demonstrated for conceptual and real spent fuels through their isotopic compositions obtained from simulations and Post-Irradiation Examinations, was sensitive enough to resolve spent fuels from: different reactor types, the same reactor but with different charge composition and of the same charge composition but from different reactors. </w:t>
      </w:r>
      <w:r w:rsidR="00CC59A0" w:rsidRPr="00D6741A">
        <w:rPr>
          <w:rFonts w:eastAsiaTheme="minorHAnsi"/>
          <w:lang w:val="en-US" w:eastAsia="en-US"/>
        </w:rPr>
        <w:t>Furthermore, t</w:t>
      </w:r>
      <w:r w:rsidR="00D62258" w:rsidRPr="00D6741A">
        <w:rPr>
          <w:rFonts w:eastAsiaTheme="minorHAnsi"/>
          <w:lang w:val="en-US" w:eastAsia="en-US"/>
        </w:rPr>
        <w:t xml:space="preserve">he simulation of spent fuel composition when </w:t>
      </w:r>
      <w:r w:rsidR="00D62258" w:rsidRPr="00D6741A">
        <w:rPr>
          <w:vertAlign w:val="superscript"/>
          <w:lang w:val="fr-FR"/>
        </w:rPr>
        <w:t>236</w:t>
      </w:r>
      <w:r w:rsidR="00D62258" w:rsidRPr="00D6741A">
        <w:rPr>
          <w:lang w:val="fr-FR"/>
        </w:rPr>
        <w:t>U</w:t>
      </w:r>
      <w:r w:rsidR="00D62258" w:rsidRPr="00D6741A">
        <w:rPr>
          <w:rFonts w:eastAsiaTheme="minorHAnsi"/>
          <w:lang w:val="en-US" w:eastAsia="en-US"/>
        </w:rPr>
        <w:t xml:space="preserve"> is considered in fresh </w:t>
      </w:r>
      <w:r w:rsidR="009939D2" w:rsidRPr="00D6741A">
        <w:rPr>
          <w:rFonts w:eastAsiaTheme="minorHAnsi"/>
          <w:lang w:val="en-US" w:eastAsia="en-US"/>
        </w:rPr>
        <w:t xml:space="preserve">fuel </w:t>
      </w:r>
      <w:r w:rsidR="009939D2" w:rsidRPr="00D6741A">
        <w:rPr>
          <w:rFonts w:eastAsia="Times-Roman"/>
          <w:lang w:val="en-US"/>
        </w:rPr>
        <w:t>has</w:t>
      </w:r>
      <w:r w:rsidR="00CC59A0" w:rsidRPr="00D6741A">
        <w:rPr>
          <w:rFonts w:eastAsia="Times-Roman"/>
          <w:lang w:val="en-US"/>
        </w:rPr>
        <w:t xml:space="preserve"> shown that the inclusion of </w:t>
      </w:r>
      <w:r w:rsidR="00CC59A0" w:rsidRPr="00D6741A">
        <w:rPr>
          <w:rFonts w:eastAsia="Times-Roman"/>
          <w:vertAlign w:val="superscript"/>
          <w:lang w:val="en-US"/>
        </w:rPr>
        <w:t>236</w:t>
      </w:r>
      <w:r w:rsidR="00CC59A0" w:rsidRPr="00D6741A">
        <w:rPr>
          <w:rFonts w:eastAsia="Times-Roman"/>
          <w:lang w:val="en-US"/>
        </w:rPr>
        <w:t>U does not affect the clustering.</w:t>
      </w:r>
      <w:r w:rsidR="00CC59A0" w:rsidRPr="00D6741A">
        <w:rPr>
          <w:rFonts w:eastAsiaTheme="minorHAnsi"/>
          <w:lang w:val="en-US" w:eastAsia="en-US"/>
        </w:rPr>
        <w:t xml:space="preserve"> Spent fuels have</w:t>
      </w:r>
      <w:r w:rsidR="00D62258" w:rsidRPr="00D6741A">
        <w:rPr>
          <w:rFonts w:eastAsiaTheme="minorHAnsi"/>
          <w:lang w:val="en-US" w:eastAsia="en-US"/>
        </w:rPr>
        <w:t xml:space="preserve"> been resolved on the basis of U and Pu or only Pu isotopic composition.</w:t>
      </w:r>
    </w:p>
    <w:p w:rsidR="00E8307C" w:rsidRPr="00D6741A" w:rsidRDefault="00E8307C" w:rsidP="00BC2910">
      <w:pPr>
        <w:pStyle w:val="30"/>
        <w:spacing w:line="240" w:lineRule="auto"/>
        <w:jc w:val="both"/>
      </w:pPr>
    </w:p>
    <w:p w:rsidR="009A2511" w:rsidRPr="00D6741A" w:rsidRDefault="005C143D" w:rsidP="00BC2910">
      <w:pPr>
        <w:pStyle w:val="a7"/>
        <w:numPr>
          <w:ilvl w:val="0"/>
          <w:numId w:val="8"/>
        </w:numPr>
        <w:autoSpaceDE w:val="0"/>
        <w:autoSpaceDN w:val="0"/>
        <w:adjustRightInd w:val="0"/>
        <w:ind w:hanging="426"/>
        <w:jc w:val="both"/>
        <w:rPr>
          <w:b/>
          <w:lang w:val="en-US"/>
        </w:rPr>
      </w:pPr>
      <w:r w:rsidRPr="00D6741A">
        <w:rPr>
          <w:b/>
          <w:lang w:val="en-US"/>
        </w:rPr>
        <w:t>Introduction</w:t>
      </w:r>
    </w:p>
    <w:p w:rsidR="009A2511" w:rsidRPr="00D6741A" w:rsidRDefault="009A2511" w:rsidP="00BC2910">
      <w:pPr>
        <w:autoSpaceDE w:val="0"/>
        <w:autoSpaceDN w:val="0"/>
        <w:adjustRightInd w:val="0"/>
        <w:jc w:val="both"/>
        <w:rPr>
          <w:vertAlign w:val="superscript"/>
          <w:lang w:val="en-GB"/>
        </w:rPr>
      </w:pPr>
      <w:r w:rsidRPr="00D6741A">
        <w:rPr>
          <w:lang w:val="en-US"/>
        </w:rPr>
        <w:t xml:space="preserve">Nuclear forensics is primarily concerned with the timely interception of </w:t>
      </w:r>
      <w:r w:rsidRPr="00D6741A">
        <w:rPr>
          <w:lang w:val="en-GB"/>
        </w:rPr>
        <w:t xml:space="preserve">nuclear material seized away from its designated areas. Identification of the provenance of this </w:t>
      </w:r>
      <w:r w:rsidR="009939D2" w:rsidRPr="00D6741A">
        <w:rPr>
          <w:lang w:val="en-GB"/>
        </w:rPr>
        <w:t>material</w:t>
      </w:r>
      <w:r w:rsidRPr="00D6741A">
        <w:rPr>
          <w:lang w:val="en-GB"/>
        </w:rPr>
        <w:t xml:space="preserve"> could indicate the trafficking route from its diversion to its interception. Then, appropriate measures could be taken to combat possible future diversions of nuclear material away from designated areas.</w:t>
      </w:r>
      <w:r w:rsidRPr="00D6741A">
        <w:rPr>
          <w:vertAlign w:val="superscript"/>
          <w:lang w:val="en-GB"/>
        </w:rPr>
        <w:t xml:space="preserve"> </w:t>
      </w:r>
      <w:r w:rsidRPr="00D6741A">
        <w:rPr>
          <w:lang w:val="en-US"/>
        </w:rPr>
        <w:t xml:space="preserve">The objective of this work is to demonstrate a sensitive enough isotopic </w:t>
      </w:r>
      <w:r w:rsidR="009939D2" w:rsidRPr="00D6741A">
        <w:rPr>
          <w:lang w:val="en-US"/>
        </w:rPr>
        <w:t>fingerprinting</w:t>
      </w:r>
      <w:r w:rsidRPr="00D6741A">
        <w:rPr>
          <w:lang w:val="en-US"/>
        </w:rPr>
        <w:t xml:space="preserve"> procedure cluster spent fuels of the same origin </w:t>
      </w:r>
      <w:r w:rsidR="003D7B8A" w:rsidRPr="00D6741A">
        <w:rPr>
          <w:lang w:val="en-US"/>
        </w:rPr>
        <w:t>[1-6]</w:t>
      </w:r>
      <w:r w:rsidRPr="00D6741A">
        <w:rPr>
          <w:lang w:val="en-US"/>
        </w:rPr>
        <w:t xml:space="preserve">. The term origin refers to the type of the reactor where the fuel was irradiated and the spent fuel final burnup at the end of irradiation, as well as the composition of the fuel charged to the reactor. </w:t>
      </w:r>
    </w:p>
    <w:p w:rsidR="009A2511" w:rsidRPr="00D6741A" w:rsidRDefault="009A2511" w:rsidP="00BC2910">
      <w:pPr>
        <w:widowControl w:val="0"/>
        <w:autoSpaceDE w:val="0"/>
        <w:autoSpaceDN w:val="0"/>
        <w:adjustRightInd w:val="0"/>
        <w:ind w:firstLine="134"/>
        <w:jc w:val="both"/>
        <w:rPr>
          <w:lang w:val="en-US"/>
        </w:rPr>
      </w:pPr>
    </w:p>
    <w:p w:rsidR="009A2511" w:rsidRPr="00D6741A" w:rsidRDefault="009A2511" w:rsidP="00BC2910">
      <w:pPr>
        <w:pStyle w:val="a3"/>
        <w:numPr>
          <w:ilvl w:val="0"/>
          <w:numId w:val="8"/>
        </w:numPr>
        <w:spacing w:after="0"/>
        <w:ind w:hanging="426"/>
        <w:jc w:val="both"/>
        <w:rPr>
          <w:b/>
          <w:lang w:val="en-US"/>
        </w:rPr>
      </w:pPr>
      <w:r w:rsidRPr="00D6741A">
        <w:rPr>
          <w:b/>
          <w:lang w:val="en-US"/>
        </w:rPr>
        <w:t>Materials and methods</w:t>
      </w:r>
    </w:p>
    <w:p w:rsidR="009939D2" w:rsidRPr="00D6741A" w:rsidRDefault="009A2511" w:rsidP="00BC2910">
      <w:pPr>
        <w:pStyle w:val="a3"/>
        <w:spacing w:after="0"/>
        <w:jc w:val="both"/>
        <w:rPr>
          <w:lang w:val="en-US"/>
        </w:rPr>
      </w:pPr>
      <w:r w:rsidRPr="00D6741A">
        <w:t xml:space="preserve">Spent fuel/reactor compositions should ideally cover all possible origins. The information can be drawn from Post-Irradiation Examination studies rendering isotopic composition information on the spent fuels. </w:t>
      </w:r>
      <w:r w:rsidRPr="00D6741A">
        <w:rPr>
          <w:lang w:val="en-US"/>
        </w:rPr>
        <w:t xml:space="preserve">Such spent fuels from PWR and BWR nuclear reactors, which have been considered in this study, are shown in Table 1. The isotopic composition data, given at the End-of-Irradiation of these fuels, </w:t>
      </w:r>
      <w:r w:rsidR="009939D2" w:rsidRPr="00D6741A">
        <w:rPr>
          <w:lang w:val="en-US"/>
        </w:rPr>
        <w:t xml:space="preserve">have been obtained from Post-Irradiation Examination and </w:t>
      </w:r>
      <w:r w:rsidRPr="00D6741A">
        <w:rPr>
          <w:lang w:val="en-US"/>
        </w:rPr>
        <w:t xml:space="preserve">are available in the OECD/NEA SFCOMPO databank (http://www.oecdnea.org/sfcompo/Ver.2/Eng/index.html). </w:t>
      </w:r>
      <w:r w:rsidR="009939D2" w:rsidRPr="00D6741A">
        <w:rPr>
          <w:lang w:val="en-US"/>
        </w:rPr>
        <w:t>Alternatively</w:t>
      </w:r>
      <w:r w:rsidRPr="00D6741A">
        <w:rPr>
          <w:lang w:val="en-US"/>
        </w:rPr>
        <w:t>, in the absence of suitable experimental data on U and Pu compositions of spent nuclear fuels, these were simulated for the reactor-commercial nuclear fuel combinations considered</w:t>
      </w:r>
      <w:r w:rsidR="0091004E">
        <w:rPr>
          <w:lang w:val="en-US"/>
        </w:rPr>
        <w:t xml:space="preserve"> (Table 2</w:t>
      </w:r>
      <w:r w:rsidRPr="00D6741A">
        <w:rPr>
          <w:lang w:val="en-US"/>
        </w:rPr>
        <w:t>). These were simulated using the zero-Dimensional isotop</w:t>
      </w:r>
      <w:r w:rsidR="009939D2" w:rsidRPr="00D6741A">
        <w:rPr>
          <w:lang w:val="en-US"/>
        </w:rPr>
        <w:t>e generation and depletion code</w:t>
      </w:r>
      <w:r w:rsidRPr="00D6741A">
        <w:rPr>
          <w:lang w:val="en-US"/>
        </w:rPr>
        <w:t xml:space="preserve"> ORIGEN-2.2</w:t>
      </w:r>
      <w:r w:rsidRPr="00D6741A">
        <w:rPr>
          <w:vertAlign w:val="superscript"/>
          <w:lang w:val="en-US"/>
        </w:rPr>
        <w:t xml:space="preserve"> </w:t>
      </w:r>
      <w:r w:rsidR="009939D2" w:rsidRPr="00D6741A">
        <w:rPr>
          <w:lang w:val="en-US"/>
        </w:rPr>
        <w:t>[7].</w:t>
      </w:r>
      <w:r w:rsidRPr="00D6741A">
        <w:t xml:space="preserve"> </w:t>
      </w:r>
      <w:r w:rsidRPr="00D6741A">
        <w:rPr>
          <w:lang w:val="en-US"/>
        </w:rPr>
        <w:t xml:space="preserve">The simulations performed were coupled with burnup-dependent cross-section libraries resembling, as closely as possible, the fuel type and neutron spectrum of irradiation.  </w:t>
      </w:r>
      <w:r w:rsidR="006F2B76" w:rsidRPr="00D6741A">
        <w:rPr>
          <w:lang w:val="en-US"/>
        </w:rPr>
        <w:t xml:space="preserve">The composition of spent fuel depends on, and hence reflects, the charge composition of the fuel, its irradiation history and the neutron spectrum, hence carrying information uniquely related to the origin of the fuel. </w:t>
      </w:r>
    </w:p>
    <w:p w:rsidR="009939D2" w:rsidRPr="00D6741A" w:rsidRDefault="009939D2" w:rsidP="00BC2910">
      <w:pPr>
        <w:pStyle w:val="a3"/>
        <w:spacing w:after="0"/>
        <w:jc w:val="both"/>
        <w:rPr>
          <w:lang w:val="en-US"/>
        </w:rPr>
      </w:pPr>
    </w:p>
    <w:p w:rsidR="006F2B76" w:rsidRPr="00D6741A" w:rsidRDefault="006F2B76" w:rsidP="00BC2910">
      <w:pPr>
        <w:pStyle w:val="a3"/>
        <w:spacing w:after="0"/>
        <w:jc w:val="both"/>
        <w:rPr>
          <w:lang w:val="en-US"/>
        </w:rPr>
      </w:pPr>
      <w:r w:rsidRPr="00D6741A">
        <w:rPr>
          <w:lang w:val="en-US"/>
        </w:rPr>
        <w:t xml:space="preserve">The discrimination of the spent fuel is based on the use of the uranium and/or plutonium isotopic composition as the forensic </w:t>
      </w:r>
      <w:r w:rsidR="009939D2" w:rsidRPr="00D6741A">
        <w:rPr>
          <w:lang w:val="en-US"/>
        </w:rPr>
        <w:t>signatures. The</w:t>
      </w:r>
      <w:r w:rsidRPr="00D6741A">
        <w:rPr>
          <w:lang w:val="en-US"/>
        </w:rPr>
        <w:t xml:space="preserve"> isotopic ratios considered were in the case of U and/or Pu: </w:t>
      </w:r>
      <w:r w:rsidRPr="00D6741A">
        <w:rPr>
          <w:vertAlign w:val="superscript"/>
          <w:lang w:val="fr-FR"/>
        </w:rPr>
        <w:t>242</w:t>
      </w:r>
      <w:r w:rsidRPr="00D6741A">
        <w:rPr>
          <w:lang w:val="fr-FR"/>
        </w:rPr>
        <w:t>Pu/</w:t>
      </w:r>
      <w:r w:rsidRPr="00D6741A">
        <w:rPr>
          <w:vertAlign w:val="superscript"/>
          <w:lang w:val="fr-FR"/>
        </w:rPr>
        <w:t>240</w:t>
      </w:r>
      <w:r w:rsidRPr="00D6741A">
        <w:rPr>
          <w:lang w:val="fr-FR"/>
        </w:rPr>
        <w:t xml:space="preserve">Pu, </w:t>
      </w:r>
      <w:r w:rsidRPr="00D6741A">
        <w:rPr>
          <w:vertAlign w:val="superscript"/>
          <w:lang w:val="fr-FR"/>
        </w:rPr>
        <w:t>238</w:t>
      </w:r>
      <w:r w:rsidRPr="00D6741A">
        <w:rPr>
          <w:lang w:val="fr-FR"/>
        </w:rPr>
        <w:t xml:space="preserve">Pu/Pu, </w:t>
      </w:r>
      <w:r w:rsidRPr="00D6741A">
        <w:rPr>
          <w:vertAlign w:val="superscript"/>
          <w:lang w:val="fr-FR"/>
        </w:rPr>
        <w:t>235</w:t>
      </w:r>
      <w:r w:rsidRPr="00D6741A">
        <w:rPr>
          <w:lang w:val="fr-FR"/>
        </w:rPr>
        <w:t>U/</w:t>
      </w:r>
      <w:r w:rsidRPr="00D6741A">
        <w:rPr>
          <w:vertAlign w:val="superscript"/>
          <w:lang w:val="fr-FR"/>
        </w:rPr>
        <w:t>238</w:t>
      </w:r>
      <w:r w:rsidRPr="00D6741A">
        <w:rPr>
          <w:lang w:val="fr-FR"/>
        </w:rPr>
        <w:t xml:space="preserve">U, </w:t>
      </w:r>
      <w:r w:rsidRPr="00D6741A">
        <w:rPr>
          <w:vertAlign w:val="superscript"/>
          <w:lang w:val="fr-FR"/>
        </w:rPr>
        <w:t>240</w:t>
      </w:r>
      <w:r w:rsidRPr="00D6741A">
        <w:rPr>
          <w:lang w:val="fr-FR"/>
        </w:rPr>
        <w:t>Pu/</w:t>
      </w:r>
      <w:r w:rsidRPr="00D6741A">
        <w:rPr>
          <w:vertAlign w:val="superscript"/>
          <w:lang w:val="fr-FR"/>
        </w:rPr>
        <w:t>239</w:t>
      </w:r>
      <w:r w:rsidRPr="00D6741A">
        <w:rPr>
          <w:lang w:val="fr-FR"/>
        </w:rPr>
        <w:t xml:space="preserve">Pu, </w:t>
      </w:r>
      <w:r w:rsidRPr="00D6741A">
        <w:rPr>
          <w:vertAlign w:val="superscript"/>
          <w:lang w:val="fr-FR"/>
        </w:rPr>
        <w:t>241</w:t>
      </w:r>
      <w:r w:rsidRPr="00D6741A">
        <w:rPr>
          <w:lang w:val="fr-FR"/>
        </w:rPr>
        <w:t>Pu/</w:t>
      </w:r>
      <w:r w:rsidRPr="00D6741A">
        <w:rPr>
          <w:vertAlign w:val="superscript"/>
          <w:lang w:val="fr-FR"/>
        </w:rPr>
        <w:t>240</w:t>
      </w:r>
      <w:r w:rsidRPr="00D6741A">
        <w:rPr>
          <w:lang w:val="fr-FR"/>
        </w:rPr>
        <w:t xml:space="preserve">Pu, </w:t>
      </w:r>
      <w:r w:rsidRPr="00D6741A">
        <w:rPr>
          <w:vertAlign w:val="superscript"/>
          <w:lang w:val="fr-FR"/>
        </w:rPr>
        <w:t>239</w:t>
      </w:r>
      <w:r w:rsidRPr="00D6741A">
        <w:rPr>
          <w:lang w:val="fr-FR"/>
        </w:rPr>
        <w:t>Pu/</w:t>
      </w:r>
      <w:r w:rsidRPr="00D6741A">
        <w:rPr>
          <w:vertAlign w:val="superscript"/>
          <w:lang w:val="fr-FR"/>
        </w:rPr>
        <w:t>235</w:t>
      </w:r>
      <w:r w:rsidRPr="00D6741A">
        <w:rPr>
          <w:lang w:val="fr-FR"/>
        </w:rPr>
        <w:t xml:space="preserve">U, </w:t>
      </w:r>
      <w:r w:rsidRPr="00D6741A">
        <w:rPr>
          <w:vertAlign w:val="superscript"/>
          <w:lang w:val="fr-FR"/>
        </w:rPr>
        <w:t>242</w:t>
      </w:r>
      <w:r w:rsidRPr="00D6741A">
        <w:rPr>
          <w:lang w:val="fr-FR"/>
        </w:rPr>
        <w:t>Pu/</w:t>
      </w:r>
      <w:r w:rsidRPr="00D6741A">
        <w:rPr>
          <w:vertAlign w:val="superscript"/>
          <w:lang w:val="fr-FR"/>
        </w:rPr>
        <w:t>238</w:t>
      </w:r>
      <w:r w:rsidRPr="00D6741A">
        <w:rPr>
          <w:lang w:val="fr-FR"/>
        </w:rPr>
        <w:t>U</w:t>
      </w:r>
      <w:r w:rsidRPr="00D6741A">
        <w:rPr>
          <w:lang w:val="en-US"/>
        </w:rPr>
        <w:t xml:space="preserve">. Then, these ratios are compared, using the multivariate statistical technique of </w:t>
      </w:r>
      <w:r w:rsidRPr="00D6741A">
        <w:rPr>
          <w:lang w:val="en-US"/>
        </w:rPr>
        <w:lastRenderedPageBreak/>
        <w:t>factor analysis,</w:t>
      </w:r>
      <w:r w:rsidR="009939D2" w:rsidRPr="00D6741A">
        <w:rPr>
          <w:vertAlign w:val="superscript"/>
          <w:lang w:val="en-US"/>
        </w:rPr>
        <w:t xml:space="preserve"> </w:t>
      </w:r>
      <w:r w:rsidRPr="00D6741A">
        <w:rPr>
          <w:lang w:val="en-US"/>
        </w:rPr>
        <w:t xml:space="preserve">in order to cluster on a 3D representation, spent fuel of the same origin, through their similarities and differences in the isotopic compositions </w:t>
      </w:r>
      <w:r w:rsidR="009939D2" w:rsidRPr="00D6741A">
        <w:rPr>
          <w:lang w:val="en-US"/>
        </w:rPr>
        <w:t>[1,2]</w:t>
      </w:r>
      <w:r w:rsidRPr="00D6741A">
        <w:rPr>
          <w:lang w:val="en-US"/>
        </w:rPr>
        <w:t xml:space="preserve">. </w:t>
      </w:r>
    </w:p>
    <w:p w:rsidR="009A2511" w:rsidRPr="00D6741A" w:rsidRDefault="009A2511" w:rsidP="00BC2910">
      <w:pPr>
        <w:widowControl w:val="0"/>
        <w:autoSpaceDE w:val="0"/>
        <w:autoSpaceDN w:val="0"/>
        <w:adjustRightInd w:val="0"/>
        <w:spacing w:line="201" w:lineRule="atLeast"/>
        <w:ind w:firstLine="134"/>
        <w:jc w:val="both"/>
        <w:rPr>
          <w:lang w:val="en-US"/>
        </w:rPr>
      </w:pPr>
    </w:p>
    <w:p w:rsidR="007F06AD" w:rsidRPr="00D6741A" w:rsidRDefault="0091004E" w:rsidP="007F06AD">
      <w:pPr>
        <w:widowControl w:val="0"/>
        <w:autoSpaceDE w:val="0"/>
        <w:autoSpaceDN w:val="0"/>
        <w:adjustRightInd w:val="0"/>
        <w:spacing w:after="120"/>
        <w:jc w:val="center"/>
        <w:rPr>
          <w:lang w:val="en-US"/>
        </w:rPr>
      </w:pPr>
      <w:r>
        <w:rPr>
          <w:lang w:val="en-US"/>
        </w:rPr>
        <w:t>Table 1</w:t>
      </w:r>
      <w:r w:rsidR="007F06AD" w:rsidRPr="00D6741A">
        <w:rPr>
          <w:lang w:val="en-US"/>
        </w:rPr>
        <w:t>. PWR and BWR UO</w:t>
      </w:r>
      <w:r w:rsidR="007F06AD" w:rsidRPr="00D6741A">
        <w:rPr>
          <w:vertAlign w:val="subscript"/>
          <w:lang w:val="en-US"/>
        </w:rPr>
        <w:t xml:space="preserve">2 </w:t>
      </w:r>
      <w:r w:rsidR="007F06AD" w:rsidRPr="00D6741A">
        <w:rPr>
          <w:lang w:val="en-US"/>
        </w:rPr>
        <w:t xml:space="preserve">fuels considered from the SFCOMPO data bank. </w:t>
      </w:r>
    </w:p>
    <w:tbl>
      <w:tblPr>
        <w:tblW w:w="8147" w:type="dxa"/>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5"/>
        <w:gridCol w:w="966"/>
        <w:gridCol w:w="2693"/>
        <w:gridCol w:w="2363"/>
      </w:tblGrid>
      <w:tr w:rsidR="007F06AD" w:rsidRPr="00D6741A" w:rsidTr="00537EC0">
        <w:trPr>
          <w:jc w:val="center"/>
        </w:trPr>
        <w:tc>
          <w:tcPr>
            <w:tcW w:w="2125" w:type="dxa"/>
            <w:tcBorders>
              <w:left w:val="nil"/>
              <w:bottom w:val="single" w:sz="4" w:space="0" w:color="auto"/>
              <w:right w:val="nil"/>
            </w:tcBorders>
          </w:tcPr>
          <w:p w:rsidR="007F06AD" w:rsidRPr="00D6741A" w:rsidRDefault="007F06AD" w:rsidP="00537EC0">
            <w:pPr>
              <w:widowControl w:val="0"/>
              <w:autoSpaceDE w:val="0"/>
              <w:autoSpaceDN w:val="0"/>
              <w:adjustRightInd w:val="0"/>
              <w:spacing w:after="60"/>
              <w:rPr>
                <w:b/>
                <w:lang w:val="en-US"/>
              </w:rPr>
            </w:pPr>
            <w:r w:rsidRPr="00D6741A">
              <w:rPr>
                <w:b/>
                <w:lang w:val="en-US"/>
              </w:rPr>
              <w:t>Reactor</w:t>
            </w:r>
          </w:p>
        </w:tc>
        <w:tc>
          <w:tcPr>
            <w:tcW w:w="966" w:type="dxa"/>
            <w:tcBorders>
              <w:left w:val="nil"/>
              <w:bottom w:val="single" w:sz="4" w:space="0" w:color="auto"/>
              <w:right w:val="nil"/>
            </w:tcBorders>
          </w:tcPr>
          <w:p w:rsidR="007F06AD" w:rsidRPr="00D6741A" w:rsidRDefault="007F06AD" w:rsidP="00537EC0">
            <w:pPr>
              <w:widowControl w:val="0"/>
              <w:autoSpaceDE w:val="0"/>
              <w:autoSpaceDN w:val="0"/>
              <w:adjustRightInd w:val="0"/>
              <w:spacing w:after="60"/>
              <w:rPr>
                <w:b/>
                <w:lang w:val="en-US"/>
              </w:rPr>
            </w:pPr>
          </w:p>
        </w:tc>
        <w:tc>
          <w:tcPr>
            <w:tcW w:w="2693" w:type="dxa"/>
            <w:tcBorders>
              <w:left w:val="nil"/>
              <w:bottom w:val="nil"/>
              <w:right w:val="nil"/>
            </w:tcBorders>
          </w:tcPr>
          <w:p w:rsidR="007F06AD" w:rsidRPr="00D6741A" w:rsidRDefault="007F06AD" w:rsidP="003D7B8A">
            <w:pPr>
              <w:widowControl w:val="0"/>
              <w:autoSpaceDE w:val="0"/>
              <w:autoSpaceDN w:val="0"/>
              <w:adjustRightInd w:val="0"/>
              <w:spacing w:after="60"/>
              <w:jc w:val="center"/>
              <w:rPr>
                <w:b/>
                <w:lang w:val="en-US"/>
              </w:rPr>
            </w:pPr>
            <w:r w:rsidRPr="00D6741A">
              <w:rPr>
                <w:b/>
                <w:lang w:val="en-US"/>
              </w:rPr>
              <w:t>Fresh fuel</w:t>
            </w:r>
          </w:p>
        </w:tc>
        <w:tc>
          <w:tcPr>
            <w:tcW w:w="2363" w:type="dxa"/>
            <w:tcBorders>
              <w:left w:val="nil"/>
              <w:bottom w:val="nil"/>
              <w:right w:val="nil"/>
            </w:tcBorders>
          </w:tcPr>
          <w:p w:rsidR="007F06AD" w:rsidRPr="00D6741A" w:rsidRDefault="007F06AD" w:rsidP="003D7B8A">
            <w:pPr>
              <w:widowControl w:val="0"/>
              <w:autoSpaceDE w:val="0"/>
              <w:autoSpaceDN w:val="0"/>
              <w:adjustRightInd w:val="0"/>
              <w:spacing w:after="60"/>
              <w:jc w:val="center"/>
              <w:rPr>
                <w:b/>
                <w:lang w:val="en-US"/>
              </w:rPr>
            </w:pPr>
            <w:r w:rsidRPr="00D6741A">
              <w:rPr>
                <w:b/>
                <w:lang w:val="en-US"/>
              </w:rPr>
              <w:t>Burnup range</w:t>
            </w:r>
          </w:p>
        </w:tc>
      </w:tr>
      <w:tr w:rsidR="007F06AD" w:rsidRPr="00D6741A" w:rsidTr="00537EC0">
        <w:trPr>
          <w:jc w:val="center"/>
        </w:trPr>
        <w:tc>
          <w:tcPr>
            <w:tcW w:w="2125" w:type="dxa"/>
            <w:tcBorders>
              <w:left w:val="nil"/>
              <w:bottom w:val="single" w:sz="4" w:space="0" w:color="auto"/>
              <w:right w:val="nil"/>
            </w:tcBorders>
          </w:tcPr>
          <w:p w:rsidR="007F06AD" w:rsidRPr="00D6741A" w:rsidRDefault="007F06AD" w:rsidP="00537EC0">
            <w:pPr>
              <w:widowControl w:val="0"/>
              <w:autoSpaceDE w:val="0"/>
              <w:autoSpaceDN w:val="0"/>
              <w:adjustRightInd w:val="0"/>
              <w:spacing w:after="60"/>
              <w:rPr>
                <w:b/>
                <w:lang w:val="en-US"/>
              </w:rPr>
            </w:pPr>
            <w:r w:rsidRPr="00D6741A">
              <w:rPr>
                <w:b/>
                <w:lang w:val="en-US"/>
              </w:rPr>
              <w:t>name</w:t>
            </w:r>
          </w:p>
        </w:tc>
        <w:tc>
          <w:tcPr>
            <w:tcW w:w="966" w:type="dxa"/>
            <w:tcBorders>
              <w:left w:val="nil"/>
              <w:bottom w:val="single" w:sz="4" w:space="0" w:color="auto"/>
              <w:right w:val="nil"/>
            </w:tcBorders>
          </w:tcPr>
          <w:p w:rsidR="007F06AD" w:rsidRPr="00D6741A" w:rsidRDefault="007F06AD" w:rsidP="00537EC0">
            <w:pPr>
              <w:widowControl w:val="0"/>
              <w:autoSpaceDE w:val="0"/>
              <w:autoSpaceDN w:val="0"/>
              <w:adjustRightInd w:val="0"/>
              <w:spacing w:after="60"/>
              <w:rPr>
                <w:b/>
                <w:lang w:val="en-US"/>
              </w:rPr>
            </w:pPr>
            <w:r w:rsidRPr="00D6741A">
              <w:rPr>
                <w:b/>
                <w:lang w:val="en-US"/>
              </w:rPr>
              <w:t>type</w:t>
            </w:r>
          </w:p>
        </w:tc>
        <w:tc>
          <w:tcPr>
            <w:tcW w:w="2693" w:type="dxa"/>
            <w:tcBorders>
              <w:top w:val="nil"/>
              <w:left w:val="nil"/>
              <w:bottom w:val="single" w:sz="4" w:space="0" w:color="auto"/>
              <w:right w:val="nil"/>
            </w:tcBorders>
          </w:tcPr>
          <w:p w:rsidR="007F06AD" w:rsidRPr="00D6741A" w:rsidRDefault="007F06AD" w:rsidP="003D7B8A">
            <w:pPr>
              <w:widowControl w:val="0"/>
              <w:autoSpaceDE w:val="0"/>
              <w:autoSpaceDN w:val="0"/>
              <w:adjustRightInd w:val="0"/>
              <w:spacing w:after="60"/>
              <w:jc w:val="center"/>
              <w:rPr>
                <w:b/>
                <w:lang w:val="en-US"/>
              </w:rPr>
            </w:pPr>
            <w:r w:rsidRPr="00D6741A">
              <w:rPr>
                <w:b/>
                <w:lang w:val="en-US"/>
              </w:rPr>
              <w:t xml:space="preserve">(enrichment in </w:t>
            </w:r>
            <w:r w:rsidRPr="00D6741A">
              <w:rPr>
                <w:b/>
                <w:vertAlign w:val="superscript"/>
                <w:lang w:val="en-US"/>
              </w:rPr>
              <w:t>235</w:t>
            </w:r>
            <w:r w:rsidRPr="00D6741A">
              <w:rPr>
                <w:b/>
                <w:lang w:val="en-US"/>
              </w:rPr>
              <w:t>U)</w:t>
            </w:r>
          </w:p>
        </w:tc>
        <w:tc>
          <w:tcPr>
            <w:tcW w:w="2363" w:type="dxa"/>
            <w:tcBorders>
              <w:top w:val="nil"/>
              <w:left w:val="nil"/>
              <w:bottom w:val="single" w:sz="4" w:space="0" w:color="auto"/>
              <w:right w:val="nil"/>
            </w:tcBorders>
          </w:tcPr>
          <w:p w:rsidR="007F06AD" w:rsidRPr="00D6741A" w:rsidRDefault="007F06AD" w:rsidP="003D7B8A">
            <w:pPr>
              <w:widowControl w:val="0"/>
              <w:autoSpaceDE w:val="0"/>
              <w:autoSpaceDN w:val="0"/>
              <w:adjustRightInd w:val="0"/>
              <w:spacing w:after="60"/>
              <w:jc w:val="center"/>
              <w:rPr>
                <w:b/>
                <w:lang w:val="en-US"/>
              </w:rPr>
            </w:pPr>
            <w:r w:rsidRPr="00D6741A">
              <w:rPr>
                <w:b/>
                <w:lang w:val="en-US"/>
              </w:rPr>
              <w:t>(GWd/tU)</w:t>
            </w:r>
          </w:p>
        </w:tc>
      </w:tr>
      <w:tr w:rsidR="007F06AD" w:rsidRPr="00D6741A" w:rsidTr="00537EC0">
        <w:trPr>
          <w:jc w:val="center"/>
        </w:trPr>
        <w:tc>
          <w:tcPr>
            <w:tcW w:w="2125"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Mihama-3</w:t>
            </w:r>
          </w:p>
        </w:tc>
        <w:tc>
          <w:tcPr>
            <w:tcW w:w="966"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PWR</w:t>
            </w:r>
          </w:p>
        </w:tc>
        <w:tc>
          <w:tcPr>
            <w:tcW w:w="269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3.21%</w:t>
            </w:r>
          </w:p>
        </w:tc>
        <w:tc>
          <w:tcPr>
            <w:tcW w:w="236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21 - 32.</w:t>
            </w:r>
          </w:p>
        </w:tc>
      </w:tr>
      <w:tr w:rsidR="007F06AD" w:rsidRPr="00D6741A" w:rsidTr="00537EC0">
        <w:trPr>
          <w:jc w:val="center"/>
        </w:trPr>
        <w:tc>
          <w:tcPr>
            <w:tcW w:w="2125"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Genkai-1</w:t>
            </w:r>
          </w:p>
        </w:tc>
        <w:tc>
          <w:tcPr>
            <w:tcW w:w="966"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PWR</w:t>
            </w:r>
          </w:p>
        </w:tc>
        <w:tc>
          <w:tcPr>
            <w:tcW w:w="269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3.415%</w:t>
            </w:r>
          </w:p>
        </w:tc>
        <w:tc>
          <w:tcPr>
            <w:tcW w:w="236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38.1, 38.7</w:t>
            </w:r>
          </w:p>
        </w:tc>
      </w:tr>
      <w:tr w:rsidR="007F06AD" w:rsidRPr="00D6741A" w:rsidTr="00537EC0">
        <w:trPr>
          <w:jc w:val="center"/>
        </w:trPr>
        <w:tc>
          <w:tcPr>
            <w:tcW w:w="2125"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Calvert Cliffs-1</w:t>
            </w:r>
          </w:p>
        </w:tc>
        <w:tc>
          <w:tcPr>
            <w:tcW w:w="966"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PWR</w:t>
            </w:r>
          </w:p>
        </w:tc>
        <w:tc>
          <w:tcPr>
            <w:tcW w:w="269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2.453%</w:t>
            </w:r>
          </w:p>
        </w:tc>
        <w:tc>
          <w:tcPr>
            <w:tcW w:w="236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31 - 46</w:t>
            </w:r>
          </w:p>
        </w:tc>
      </w:tr>
      <w:tr w:rsidR="007F06AD" w:rsidRPr="00D6741A" w:rsidTr="00537EC0">
        <w:trPr>
          <w:jc w:val="center"/>
        </w:trPr>
        <w:tc>
          <w:tcPr>
            <w:tcW w:w="2125"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Calvert Cliffs-1</w:t>
            </w:r>
          </w:p>
        </w:tc>
        <w:tc>
          <w:tcPr>
            <w:tcW w:w="966"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PWR</w:t>
            </w:r>
          </w:p>
        </w:tc>
        <w:tc>
          <w:tcPr>
            <w:tcW w:w="269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2.72%</w:t>
            </w:r>
          </w:p>
        </w:tc>
        <w:tc>
          <w:tcPr>
            <w:tcW w:w="236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26, 33.17</w:t>
            </w:r>
          </w:p>
        </w:tc>
      </w:tr>
      <w:tr w:rsidR="007F06AD" w:rsidRPr="00D6741A" w:rsidTr="00537EC0">
        <w:trPr>
          <w:jc w:val="center"/>
        </w:trPr>
        <w:tc>
          <w:tcPr>
            <w:tcW w:w="2125"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Calvert Cliffs-1</w:t>
            </w:r>
          </w:p>
        </w:tc>
        <w:tc>
          <w:tcPr>
            <w:tcW w:w="966"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PWR</w:t>
            </w:r>
          </w:p>
        </w:tc>
        <w:tc>
          <w:tcPr>
            <w:tcW w:w="269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3.038%</w:t>
            </w:r>
          </w:p>
        </w:tc>
        <w:tc>
          <w:tcPr>
            <w:tcW w:w="236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27 - 44</w:t>
            </w:r>
          </w:p>
        </w:tc>
      </w:tr>
      <w:tr w:rsidR="007F06AD" w:rsidRPr="00D6741A" w:rsidTr="00537EC0">
        <w:trPr>
          <w:jc w:val="center"/>
        </w:trPr>
        <w:tc>
          <w:tcPr>
            <w:tcW w:w="2125"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Monticello</w:t>
            </w:r>
          </w:p>
        </w:tc>
        <w:tc>
          <w:tcPr>
            <w:tcW w:w="966"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BWR</w:t>
            </w:r>
          </w:p>
        </w:tc>
        <w:tc>
          <w:tcPr>
            <w:tcW w:w="269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1.87%</w:t>
            </w:r>
          </w:p>
        </w:tc>
        <w:tc>
          <w:tcPr>
            <w:tcW w:w="236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44</w:t>
            </w:r>
            <w:r w:rsidRPr="00D6741A">
              <w:rPr>
                <w:lang w:val="en-US"/>
              </w:rPr>
              <w:t xml:space="preserve"> - 55</w:t>
            </w:r>
          </w:p>
        </w:tc>
      </w:tr>
      <w:tr w:rsidR="007F06AD" w:rsidRPr="00D6741A" w:rsidTr="00537EC0">
        <w:trPr>
          <w:jc w:val="center"/>
        </w:trPr>
        <w:tc>
          <w:tcPr>
            <w:tcW w:w="2125"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Monticello</w:t>
            </w:r>
          </w:p>
        </w:tc>
        <w:tc>
          <w:tcPr>
            <w:tcW w:w="966" w:type="dxa"/>
            <w:tcBorders>
              <w:top w:val="nil"/>
              <w:left w:val="nil"/>
              <w:bottom w:val="nil"/>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BWR</w:t>
            </w:r>
          </w:p>
        </w:tc>
        <w:tc>
          <w:tcPr>
            <w:tcW w:w="269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2.14%</w:t>
            </w:r>
          </w:p>
        </w:tc>
        <w:tc>
          <w:tcPr>
            <w:tcW w:w="2363" w:type="dxa"/>
            <w:tcBorders>
              <w:top w:val="nil"/>
              <w:left w:val="nil"/>
              <w:bottom w:val="nil"/>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49</w:t>
            </w:r>
            <w:r w:rsidRPr="00D6741A">
              <w:rPr>
                <w:lang w:val="en-US"/>
              </w:rPr>
              <w:t xml:space="preserve"> - 54</w:t>
            </w:r>
          </w:p>
        </w:tc>
      </w:tr>
      <w:tr w:rsidR="007F06AD" w:rsidRPr="00D6741A" w:rsidTr="00537EC0">
        <w:trPr>
          <w:jc w:val="center"/>
        </w:trPr>
        <w:tc>
          <w:tcPr>
            <w:tcW w:w="2125" w:type="dxa"/>
            <w:tcBorders>
              <w:top w:val="nil"/>
              <w:left w:val="nil"/>
              <w:bottom w:val="single" w:sz="4" w:space="0" w:color="auto"/>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Gundremmingen</w:t>
            </w:r>
          </w:p>
        </w:tc>
        <w:tc>
          <w:tcPr>
            <w:tcW w:w="966" w:type="dxa"/>
            <w:tcBorders>
              <w:top w:val="nil"/>
              <w:left w:val="nil"/>
              <w:bottom w:val="single" w:sz="4" w:space="0" w:color="auto"/>
              <w:right w:val="nil"/>
            </w:tcBorders>
          </w:tcPr>
          <w:p w:rsidR="007F06AD" w:rsidRPr="00D6741A" w:rsidRDefault="007F06AD" w:rsidP="00537EC0">
            <w:pPr>
              <w:widowControl w:val="0"/>
              <w:autoSpaceDE w:val="0"/>
              <w:autoSpaceDN w:val="0"/>
              <w:adjustRightInd w:val="0"/>
              <w:spacing w:after="60"/>
              <w:rPr>
                <w:lang w:val="en-US"/>
              </w:rPr>
            </w:pPr>
            <w:r w:rsidRPr="00D6741A">
              <w:rPr>
                <w:lang w:val="en-US"/>
              </w:rPr>
              <w:t>BWR</w:t>
            </w:r>
          </w:p>
        </w:tc>
        <w:tc>
          <w:tcPr>
            <w:tcW w:w="2693" w:type="dxa"/>
            <w:tcBorders>
              <w:top w:val="nil"/>
              <w:left w:val="nil"/>
              <w:bottom w:val="single" w:sz="4" w:space="0" w:color="auto"/>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2.53%</w:t>
            </w:r>
          </w:p>
        </w:tc>
        <w:tc>
          <w:tcPr>
            <w:tcW w:w="2363" w:type="dxa"/>
            <w:tcBorders>
              <w:top w:val="nil"/>
              <w:left w:val="nil"/>
              <w:bottom w:val="single" w:sz="4" w:space="0" w:color="auto"/>
              <w:right w:val="nil"/>
            </w:tcBorders>
          </w:tcPr>
          <w:p w:rsidR="007F06AD" w:rsidRPr="00D6741A" w:rsidRDefault="007F06AD" w:rsidP="003D7B8A">
            <w:pPr>
              <w:widowControl w:val="0"/>
              <w:autoSpaceDE w:val="0"/>
              <w:autoSpaceDN w:val="0"/>
              <w:adjustRightInd w:val="0"/>
              <w:spacing w:after="60"/>
              <w:jc w:val="center"/>
              <w:rPr>
                <w:lang w:val="en-US"/>
              </w:rPr>
            </w:pPr>
            <w:r w:rsidRPr="00D6741A">
              <w:rPr>
                <w:lang w:val="en-US"/>
              </w:rPr>
              <w:t>21</w:t>
            </w:r>
            <w:r w:rsidRPr="00D6741A">
              <w:rPr>
                <w:lang w:val="en-US"/>
              </w:rPr>
              <w:t xml:space="preserve"> - 25</w:t>
            </w:r>
          </w:p>
        </w:tc>
      </w:tr>
    </w:tbl>
    <w:p w:rsidR="0091004E" w:rsidRDefault="0091004E" w:rsidP="0091004E">
      <w:pPr>
        <w:widowControl w:val="0"/>
        <w:autoSpaceDE w:val="0"/>
        <w:autoSpaceDN w:val="0"/>
        <w:adjustRightInd w:val="0"/>
        <w:spacing w:after="120"/>
        <w:jc w:val="center"/>
        <w:rPr>
          <w:lang w:val="en-US"/>
        </w:rPr>
      </w:pPr>
    </w:p>
    <w:p w:rsidR="0091004E" w:rsidRPr="00D6741A" w:rsidRDefault="0091004E" w:rsidP="0091004E">
      <w:pPr>
        <w:widowControl w:val="0"/>
        <w:autoSpaceDE w:val="0"/>
        <w:autoSpaceDN w:val="0"/>
        <w:adjustRightInd w:val="0"/>
        <w:spacing w:after="120"/>
        <w:jc w:val="center"/>
        <w:rPr>
          <w:lang w:val="en-US"/>
        </w:rPr>
      </w:pPr>
      <w:r>
        <w:rPr>
          <w:lang w:val="en-US"/>
        </w:rPr>
        <w:t>Table 2</w:t>
      </w:r>
      <w:r w:rsidRPr="00D6741A">
        <w:rPr>
          <w:lang w:val="en-US"/>
        </w:rPr>
        <w:t xml:space="preserve">. Simulated reactors, fuels and targeted burnup values.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922"/>
        <w:gridCol w:w="1740"/>
      </w:tblGrid>
      <w:tr w:rsidR="0091004E" w:rsidRPr="00D6741A" w:rsidTr="00C171DB">
        <w:trPr>
          <w:jc w:val="center"/>
        </w:trPr>
        <w:tc>
          <w:tcPr>
            <w:tcW w:w="1526" w:type="dxa"/>
            <w:tcBorders>
              <w:left w:val="nil"/>
              <w:bottom w:val="single" w:sz="4" w:space="0" w:color="auto"/>
              <w:right w:val="nil"/>
            </w:tcBorders>
          </w:tcPr>
          <w:p w:rsidR="0091004E" w:rsidRPr="00D6741A" w:rsidRDefault="0091004E" w:rsidP="00C171DB">
            <w:pPr>
              <w:widowControl w:val="0"/>
              <w:autoSpaceDE w:val="0"/>
              <w:autoSpaceDN w:val="0"/>
              <w:adjustRightInd w:val="0"/>
              <w:spacing w:after="60"/>
              <w:rPr>
                <w:b/>
                <w:lang w:val="en-US"/>
              </w:rPr>
            </w:pPr>
            <w:r w:rsidRPr="00D6741A">
              <w:rPr>
                <w:b/>
                <w:lang w:val="en-US"/>
              </w:rPr>
              <w:t>Reactor</w:t>
            </w:r>
          </w:p>
        </w:tc>
        <w:tc>
          <w:tcPr>
            <w:tcW w:w="4922" w:type="dxa"/>
            <w:tcBorders>
              <w:left w:val="nil"/>
              <w:bottom w:val="single" w:sz="4" w:space="0" w:color="auto"/>
              <w:right w:val="nil"/>
            </w:tcBorders>
          </w:tcPr>
          <w:p w:rsidR="0091004E" w:rsidRPr="00D6741A" w:rsidRDefault="0091004E" w:rsidP="00C171DB">
            <w:pPr>
              <w:widowControl w:val="0"/>
              <w:autoSpaceDE w:val="0"/>
              <w:autoSpaceDN w:val="0"/>
              <w:adjustRightInd w:val="0"/>
              <w:spacing w:after="60"/>
              <w:rPr>
                <w:b/>
                <w:lang w:val="en-US"/>
              </w:rPr>
            </w:pPr>
            <w:r w:rsidRPr="00D6741A">
              <w:rPr>
                <w:b/>
                <w:lang w:val="en-US"/>
              </w:rPr>
              <w:t>Fresh fuel</w:t>
            </w:r>
          </w:p>
        </w:tc>
        <w:tc>
          <w:tcPr>
            <w:tcW w:w="1740" w:type="dxa"/>
            <w:tcBorders>
              <w:left w:val="nil"/>
              <w:bottom w:val="single" w:sz="4" w:space="0" w:color="auto"/>
              <w:right w:val="nil"/>
            </w:tcBorders>
          </w:tcPr>
          <w:p w:rsidR="0091004E" w:rsidRPr="00D6741A" w:rsidRDefault="0091004E" w:rsidP="00C171DB">
            <w:pPr>
              <w:widowControl w:val="0"/>
              <w:autoSpaceDE w:val="0"/>
              <w:autoSpaceDN w:val="0"/>
              <w:adjustRightInd w:val="0"/>
              <w:spacing w:after="60"/>
              <w:jc w:val="center"/>
              <w:rPr>
                <w:b/>
                <w:lang w:val="en-US"/>
              </w:rPr>
            </w:pPr>
            <w:r w:rsidRPr="00D6741A">
              <w:rPr>
                <w:b/>
                <w:lang w:val="en-US"/>
              </w:rPr>
              <w:t>Burnup range</w:t>
            </w:r>
          </w:p>
          <w:p w:rsidR="0091004E" w:rsidRPr="00D6741A" w:rsidRDefault="0091004E" w:rsidP="00C171DB">
            <w:pPr>
              <w:widowControl w:val="0"/>
              <w:autoSpaceDE w:val="0"/>
              <w:autoSpaceDN w:val="0"/>
              <w:adjustRightInd w:val="0"/>
              <w:spacing w:after="60"/>
              <w:jc w:val="center"/>
              <w:rPr>
                <w:b/>
                <w:lang w:val="en-US"/>
              </w:rPr>
            </w:pPr>
            <w:r w:rsidRPr="00D6741A">
              <w:rPr>
                <w:b/>
                <w:lang w:val="en-US"/>
              </w:rPr>
              <w:t>(GWd/tU)</w:t>
            </w:r>
          </w:p>
        </w:tc>
      </w:tr>
      <w:tr w:rsidR="0091004E" w:rsidRPr="00D6741A" w:rsidTr="00C171DB">
        <w:trPr>
          <w:jc w:val="center"/>
        </w:trPr>
        <w:tc>
          <w:tcPr>
            <w:tcW w:w="1526"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PWR</w:t>
            </w:r>
          </w:p>
        </w:tc>
        <w:tc>
          <w:tcPr>
            <w:tcW w:w="4922"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 xml:space="preserve">3 - 5%  </w:t>
            </w:r>
            <w:r w:rsidRPr="00D6741A">
              <w:rPr>
                <w:vertAlign w:val="superscript"/>
                <w:lang w:val="en-US"/>
              </w:rPr>
              <w:t>235</w:t>
            </w:r>
            <w:r w:rsidRPr="00D6741A">
              <w:rPr>
                <w:lang w:val="en-US"/>
              </w:rPr>
              <w:t>U</w:t>
            </w:r>
          </w:p>
        </w:tc>
        <w:tc>
          <w:tcPr>
            <w:tcW w:w="1740" w:type="dxa"/>
            <w:tcBorders>
              <w:top w:val="nil"/>
              <w:left w:val="nil"/>
              <w:bottom w:val="nil"/>
              <w:right w:val="nil"/>
            </w:tcBorders>
          </w:tcPr>
          <w:p w:rsidR="0091004E" w:rsidRPr="00D6741A" w:rsidRDefault="0091004E" w:rsidP="00C171DB">
            <w:pPr>
              <w:widowControl w:val="0"/>
              <w:autoSpaceDE w:val="0"/>
              <w:autoSpaceDN w:val="0"/>
              <w:adjustRightInd w:val="0"/>
              <w:spacing w:after="60"/>
              <w:jc w:val="center"/>
              <w:rPr>
                <w:lang w:val="en-US"/>
              </w:rPr>
            </w:pPr>
            <w:r w:rsidRPr="00D6741A">
              <w:rPr>
                <w:lang w:val="en-US"/>
              </w:rPr>
              <w:t>40 - 55</w:t>
            </w:r>
          </w:p>
        </w:tc>
      </w:tr>
      <w:tr w:rsidR="0091004E" w:rsidRPr="00D6741A" w:rsidTr="00C171DB">
        <w:trPr>
          <w:jc w:val="center"/>
        </w:trPr>
        <w:tc>
          <w:tcPr>
            <w:tcW w:w="1526"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PWR</w:t>
            </w:r>
          </w:p>
        </w:tc>
        <w:tc>
          <w:tcPr>
            <w:tcW w:w="4922"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 xml:space="preserve">3.5%  </w:t>
            </w:r>
            <w:r w:rsidRPr="00D6741A">
              <w:rPr>
                <w:vertAlign w:val="superscript"/>
                <w:lang w:val="en-US"/>
              </w:rPr>
              <w:t>235</w:t>
            </w:r>
            <w:r w:rsidRPr="00D6741A">
              <w:rPr>
                <w:lang w:val="en-US"/>
              </w:rPr>
              <w:t>U + Gd</w:t>
            </w:r>
          </w:p>
          <w:p w:rsidR="0091004E" w:rsidRPr="00D6741A" w:rsidRDefault="0091004E" w:rsidP="00C171DB">
            <w:pPr>
              <w:widowControl w:val="0"/>
              <w:autoSpaceDE w:val="0"/>
              <w:autoSpaceDN w:val="0"/>
              <w:adjustRightInd w:val="0"/>
              <w:spacing w:after="60"/>
              <w:rPr>
                <w:lang w:val="en-US"/>
              </w:rPr>
            </w:pPr>
            <w:r w:rsidRPr="00D6741A">
              <w:rPr>
                <w:lang w:val="en-US"/>
              </w:rPr>
              <w:t>thermal MOX  [95% U depleted, 5% Pu*]</w:t>
            </w:r>
          </w:p>
          <w:p w:rsidR="0091004E" w:rsidRPr="00D6741A" w:rsidRDefault="0091004E" w:rsidP="00C171DB">
            <w:pPr>
              <w:widowControl w:val="0"/>
              <w:autoSpaceDE w:val="0"/>
              <w:autoSpaceDN w:val="0"/>
              <w:adjustRightInd w:val="0"/>
              <w:spacing w:after="60"/>
              <w:rPr>
                <w:lang w:val="en-US"/>
              </w:rPr>
            </w:pPr>
            <w:r w:rsidRPr="00D6741A">
              <w:rPr>
                <w:lang w:val="en-US"/>
              </w:rPr>
              <w:t xml:space="preserve">MTR high enriched (90 %  </w:t>
            </w:r>
            <w:r w:rsidRPr="00D6741A">
              <w:rPr>
                <w:vertAlign w:val="superscript"/>
                <w:lang w:val="en-US"/>
              </w:rPr>
              <w:t>235</w:t>
            </w:r>
            <w:r w:rsidRPr="00D6741A">
              <w:rPr>
                <w:lang w:val="en-US"/>
              </w:rPr>
              <w:t>U)</w:t>
            </w:r>
          </w:p>
          <w:p w:rsidR="0091004E" w:rsidRPr="00D6741A" w:rsidRDefault="0091004E" w:rsidP="00C171DB">
            <w:pPr>
              <w:widowControl w:val="0"/>
              <w:autoSpaceDE w:val="0"/>
              <w:autoSpaceDN w:val="0"/>
              <w:adjustRightInd w:val="0"/>
              <w:spacing w:after="60"/>
              <w:rPr>
                <w:lang w:val="en-US"/>
              </w:rPr>
            </w:pPr>
            <w:r w:rsidRPr="00D6741A">
              <w:rPr>
                <w:lang w:val="en-US"/>
              </w:rPr>
              <w:t xml:space="preserve">MTR low enriched (25 %  </w:t>
            </w:r>
            <w:r w:rsidRPr="00D6741A">
              <w:rPr>
                <w:vertAlign w:val="superscript"/>
                <w:lang w:val="en-US"/>
              </w:rPr>
              <w:t>235</w:t>
            </w:r>
            <w:r w:rsidRPr="00D6741A">
              <w:rPr>
                <w:lang w:val="en-US"/>
              </w:rPr>
              <w:t>U)</w:t>
            </w:r>
          </w:p>
        </w:tc>
        <w:tc>
          <w:tcPr>
            <w:tcW w:w="1740" w:type="dxa"/>
            <w:tcBorders>
              <w:top w:val="nil"/>
              <w:left w:val="nil"/>
              <w:bottom w:val="nil"/>
              <w:right w:val="nil"/>
            </w:tcBorders>
          </w:tcPr>
          <w:p w:rsidR="0091004E" w:rsidRPr="00D6741A" w:rsidRDefault="0091004E" w:rsidP="00C171DB">
            <w:pPr>
              <w:widowControl w:val="0"/>
              <w:autoSpaceDE w:val="0"/>
              <w:autoSpaceDN w:val="0"/>
              <w:adjustRightInd w:val="0"/>
              <w:spacing w:after="60"/>
              <w:jc w:val="center"/>
              <w:rPr>
                <w:lang w:val="en-US"/>
              </w:rPr>
            </w:pPr>
            <w:r w:rsidRPr="00D6741A">
              <w:rPr>
                <w:lang w:val="en-US"/>
              </w:rPr>
              <w:t>40 - 55</w:t>
            </w:r>
          </w:p>
          <w:p w:rsidR="0091004E" w:rsidRPr="00D6741A" w:rsidRDefault="0091004E" w:rsidP="00C171DB">
            <w:pPr>
              <w:widowControl w:val="0"/>
              <w:autoSpaceDE w:val="0"/>
              <w:autoSpaceDN w:val="0"/>
              <w:adjustRightInd w:val="0"/>
              <w:spacing w:after="60"/>
              <w:jc w:val="center"/>
              <w:rPr>
                <w:lang w:val="en-US"/>
              </w:rPr>
            </w:pPr>
            <w:r w:rsidRPr="00D6741A">
              <w:rPr>
                <w:lang w:val="en-US"/>
              </w:rPr>
              <w:t>35 – 50</w:t>
            </w:r>
          </w:p>
          <w:p w:rsidR="0091004E" w:rsidRPr="00D6741A" w:rsidRDefault="0091004E" w:rsidP="00C171DB">
            <w:pPr>
              <w:widowControl w:val="0"/>
              <w:autoSpaceDE w:val="0"/>
              <w:autoSpaceDN w:val="0"/>
              <w:adjustRightInd w:val="0"/>
              <w:spacing w:after="60"/>
              <w:jc w:val="center"/>
              <w:rPr>
                <w:lang w:val="en-US"/>
              </w:rPr>
            </w:pPr>
            <w:r w:rsidRPr="00D6741A">
              <w:rPr>
                <w:lang w:val="en-US"/>
              </w:rPr>
              <w:t>100 – 300</w:t>
            </w:r>
          </w:p>
          <w:p w:rsidR="0091004E" w:rsidRPr="00D6741A" w:rsidRDefault="0091004E" w:rsidP="00C171DB">
            <w:pPr>
              <w:widowControl w:val="0"/>
              <w:autoSpaceDE w:val="0"/>
              <w:autoSpaceDN w:val="0"/>
              <w:adjustRightInd w:val="0"/>
              <w:spacing w:after="60"/>
              <w:jc w:val="center"/>
              <w:rPr>
                <w:lang w:val="en-US"/>
              </w:rPr>
            </w:pPr>
            <w:r w:rsidRPr="00D6741A">
              <w:rPr>
                <w:lang w:val="en-US"/>
              </w:rPr>
              <w:t>50 - 100</w:t>
            </w:r>
          </w:p>
        </w:tc>
      </w:tr>
      <w:tr w:rsidR="0091004E" w:rsidRPr="00D6741A" w:rsidTr="00C171DB">
        <w:trPr>
          <w:jc w:val="center"/>
        </w:trPr>
        <w:tc>
          <w:tcPr>
            <w:tcW w:w="1526"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BWR</w:t>
            </w:r>
          </w:p>
        </w:tc>
        <w:tc>
          <w:tcPr>
            <w:tcW w:w="4922"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UO</w:t>
            </w:r>
            <w:r w:rsidRPr="00D6741A">
              <w:rPr>
                <w:vertAlign w:val="subscript"/>
                <w:lang w:val="en-US"/>
              </w:rPr>
              <w:t>2</w:t>
            </w:r>
            <w:r w:rsidRPr="00D6741A">
              <w:rPr>
                <w:lang w:val="en-US"/>
              </w:rPr>
              <w:t xml:space="preserve">,  2.5 - 4%  </w:t>
            </w:r>
            <w:r w:rsidRPr="00D6741A">
              <w:rPr>
                <w:vertAlign w:val="superscript"/>
                <w:lang w:val="en-US"/>
              </w:rPr>
              <w:t>235</w:t>
            </w:r>
            <w:r w:rsidRPr="00D6741A">
              <w:rPr>
                <w:lang w:val="en-US"/>
              </w:rPr>
              <w:t>U</w:t>
            </w:r>
          </w:p>
          <w:p w:rsidR="0091004E" w:rsidRPr="00D6741A" w:rsidRDefault="0091004E" w:rsidP="00C171DB">
            <w:pPr>
              <w:widowControl w:val="0"/>
              <w:autoSpaceDE w:val="0"/>
              <w:autoSpaceDN w:val="0"/>
              <w:adjustRightInd w:val="0"/>
              <w:spacing w:after="60"/>
              <w:rPr>
                <w:lang w:val="en-US"/>
              </w:rPr>
            </w:pPr>
            <w:r w:rsidRPr="00D6741A">
              <w:rPr>
                <w:lang w:val="en-US"/>
              </w:rPr>
              <w:t xml:space="preserve">2.75%  </w:t>
            </w:r>
            <w:r w:rsidRPr="00D6741A">
              <w:rPr>
                <w:vertAlign w:val="superscript"/>
                <w:lang w:val="en-US"/>
              </w:rPr>
              <w:t>235</w:t>
            </w:r>
            <w:r w:rsidRPr="00D6741A">
              <w:rPr>
                <w:lang w:val="en-US"/>
              </w:rPr>
              <w:t>U + Gd</w:t>
            </w:r>
          </w:p>
        </w:tc>
        <w:tc>
          <w:tcPr>
            <w:tcW w:w="1740" w:type="dxa"/>
            <w:tcBorders>
              <w:top w:val="nil"/>
              <w:left w:val="nil"/>
              <w:bottom w:val="nil"/>
              <w:right w:val="nil"/>
            </w:tcBorders>
          </w:tcPr>
          <w:p w:rsidR="0091004E" w:rsidRPr="00D6741A" w:rsidRDefault="0091004E" w:rsidP="00C171DB">
            <w:pPr>
              <w:widowControl w:val="0"/>
              <w:autoSpaceDE w:val="0"/>
              <w:autoSpaceDN w:val="0"/>
              <w:adjustRightInd w:val="0"/>
              <w:spacing w:after="60"/>
              <w:jc w:val="center"/>
              <w:rPr>
                <w:lang w:val="en-US"/>
              </w:rPr>
            </w:pPr>
            <w:r w:rsidRPr="00D6741A">
              <w:rPr>
                <w:lang w:val="en-US"/>
              </w:rPr>
              <w:t>20 - 40</w:t>
            </w:r>
          </w:p>
          <w:p w:rsidR="0091004E" w:rsidRPr="00D6741A" w:rsidRDefault="0091004E" w:rsidP="00C171DB">
            <w:pPr>
              <w:widowControl w:val="0"/>
              <w:autoSpaceDE w:val="0"/>
              <w:autoSpaceDN w:val="0"/>
              <w:adjustRightInd w:val="0"/>
              <w:spacing w:after="60"/>
              <w:jc w:val="center"/>
              <w:rPr>
                <w:lang w:val="en-US"/>
              </w:rPr>
            </w:pPr>
            <w:r w:rsidRPr="00D6741A">
              <w:rPr>
                <w:lang w:val="en-US"/>
              </w:rPr>
              <w:t>20 - 40</w:t>
            </w:r>
          </w:p>
        </w:tc>
      </w:tr>
      <w:tr w:rsidR="0091004E" w:rsidRPr="00D6741A" w:rsidTr="00C171DB">
        <w:trPr>
          <w:jc w:val="center"/>
        </w:trPr>
        <w:tc>
          <w:tcPr>
            <w:tcW w:w="1526"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CANDU-N</w:t>
            </w:r>
          </w:p>
        </w:tc>
        <w:tc>
          <w:tcPr>
            <w:tcW w:w="4922"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natural U</w:t>
            </w:r>
          </w:p>
        </w:tc>
        <w:tc>
          <w:tcPr>
            <w:tcW w:w="1740" w:type="dxa"/>
            <w:tcBorders>
              <w:top w:val="nil"/>
              <w:left w:val="nil"/>
              <w:bottom w:val="nil"/>
              <w:right w:val="nil"/>
            </w:tcBorders>
          </w:tcPr>
          <w:p w:rsidR="0091004E" w:rsidRPr="00D6741A" w:rsidRDefault="0091004E" w:rsidP="00C171DB">
            <w:pPr>
              <w:widowControl w:val="0"/>
              <w:autoSpaceDE w:val="0"/>
              <w:autoSpaceDN w:val="0"/>
              <w:adjustRightInd w:val="0"/>
              <w:spacing w:after="60"/>
              <w:jc w:val="center"/>
              <w:rPr>
                <w:lang w:val="en-US"/>
              </w:rPr>
            </w:pPr>
            <w:r w:rsidRPr="00D6741A">
              <w:rPr>
                <w:lang w:val="en-US"/>
              </w:rPr>
              <w:t>4 - 10</w:t>
            </w:r>
          </w:p>
        </w:tc>
      </w:tr>
      <w:tr w:rsidR="0091004E" w:rsidRPr="00D6741A" w:rsidTr="00C171DB">
        <w:trPr>
          <w:jc w:val="center"/>
        </w:trPr>
        <w:tc>
          <w:tcPr>
            <w:tcW w:w="1526"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CANDU-S</w:t>
            </w:r>
          </w:p>
        </w:tc>
        <w:tc>
          <w:tcPr>
            <w:tcW w:w="4922" w:type="dxa"/>
            <w:tcBorders>
              <w:top w:val="nil"/>
              <w:left w:val="nil"/>
              <w:bottom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slightly enriched UO</w:t>
            </w:r>
            <w:r w:rsidRPr="00D6741A">
              <w:rPr>
                <w:vertAlign w:val="subscript"/>
                <w:lang w:val="en-US"/>
              </w:rPr>
              <w:t>2</w:t>
            </w:r>
            <w:r w:rsidRPr="00D6741A">
              <w:rPr>
                <w:lang w:val="en-US"/>
              </w:rPr>
              <w:t xml:space="preserve">, 1 - 2% </w:t>
            </w:r>
            <w:r w:rsidRPr="00D6741A">
              <w:rPr>
                <w:vertAlign w:val="superscript"/>
                <w:lang w:val="en-US"/>
              </w:rPr>
              <w:t>235</w:t>
            </w:r>
            <w:r w:rsidRPr="00D6741A">
              <w:rPr>
                <w:lang w:val="en-US"/>
              </w:rPr>
              <w:t>U</w:t>
            </w:r>
          </w:p>
        </w:tc>
        <w:tc>
          <w:tcPr>
            <w:tcW w:w="1740" w:type="dxa"/>
            <w:tcBorders>
              <w:top w:val="nil"/>
              <w:left w:val="nil"/>
              <w:bottom w:val="nil"/>
              <w:right w:val="nil"/>
            </w:tcBorders>
          </w:tcPr>
          <w:p w:rsidR="0091004E" w:rsidRPr="00D6741A" w:rsidRDefault="0091004E" w:rsidP="00C171DB">
            <w:pPr>
              <w:widowControl w:val="0"/>
              <w:autoSpaceDE w:val="0"/>
              <w:autoSpaceDN w:val="0"/>
              <w:adjustRightInd w:val="0"/>
              <w:spacing w:after="60"/>
              <w:jc w:val="center"/>
              <w:rPr>
                <w:lang w:val="en-US"/>
              </w:rPr>
            </w:pPr>
            <w:r w:rsidRPr="00D6741A">
              <w:rPr>
                <w:lang w:val="en-US"/>
              </w:rPr>
              <w:t>7 - 30</w:t>
            </w:r>
          </w:p>
        </w:tc>
      </w:tr>
      <w:tr w:rsidR="0091004E" w:rsidRPr="00D6741A" w:rsidTr="00C171DB">
        <w:trPr>
          <w:jc w:val="center"/>
        </w:trPr>
        <w:tc>
          <w:tcPr>
            <w:tcW w:w="1526" w:type="dxa"/>
            <w:tcBorders>
              <w:top w:val="nil"/>
              <w:left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LMFBR</w:t>
            </w:r>
          </w:p>
        </w:tc>
        <w:tc>
          <w:tcPr>
            <w:tcW w:w="4922" w:type="dxa"/>
            <w:tcBorders>
              <w:top w:val="nil"/>
              <w:left w:val="nil"/>
              <w:right w:val="nil"/>
            </w:tcBorders>
          </w:tcPr>
          <w:p w:rsidR="0091004E" w:rsidRPr="00D6741A" w:rsidRDefault="0091004E" w:rsidP="00C171DB">
            <w:pPr>
              <w:widowControl w:val="0"/>
              <w:autoSpaceDE w:val="0"/>
              <w:autoSpaceDN w:val="0"/>
              <w:adjustRightInd w:val="0"/>
              <w:spacing w:after="60"/>
              <w:rPr>
                <w:lang w:val="en-US"/>
              </w:rPr>
            </w:pPr>
            <w:r w:rsidRPr="00D6741A">
              <w:rPr>
                <w:lang w:val="en-US"/>
              </w:rPr>
              <w:t>MOX  [74% U depleted, 25% Pu*]</w:t>
            </w:r>
          </w:p>
        </w:tc>
        <w:tc>
          <w:tcPr>
            <w:tcW w:w="1740" w:type="dxa"/>
            <w:tcBorders>
              <w:top w:val="nil"/>
              <w:left w:val="nil"/>
              <w:right w:val="nil"/>
            </w:tcBorders>
          </w:tcPr>
          <w:p w:rsidR="0091004E" w:rsidRPr="00D6741A" w:rsidRDefault="0091004E" w:rsidP="00C171DB">
            <w:pPr>
              <w:widowControl w:val="0"/>
              <w:autoSpaceDE w:val="0"/>
              <w:autoSpaceDN w:val="0"/>
              <w:adjustRightInd w:val="0"/>
              <w:spacing w:after="60"/>
              <w:jc w:val="center"/>
              <w:rPr>
                <w:lang w:val="en-US"/>
              </w:rPr>
            </w:pPr>
            <w:r w:rsidRPr="00D6741A">
              <w:rPr>
                <w:lang w:val="en-US"/>
              </w:rPr>
              <w:t>60 - 100</w:t>
            </w:r>
          </w:p>
        </w:tc>
      </w:tr>
    </w:tbl>
    <w:p w:rsidR="0091004E" w:rsidRPr="00D6741A" w:rsidRDefault="0091004E" w:rsidP="0091004E">
      <w:pPr>
        <w:rPr>
          <w:bCs/>
          <w:iCs/>
          <w:lang w:val="en-US"/>
        </w:rPr>
      </w:pPr>
      <w:r w:rsidRPr="00D6741A">
        <w:rPr>
          <w:bCs/>
          <w:iCs/>
          <w:lang w:val="en-US"/>
        </w:rPr>
        <w:t xml:space="preserve">       *isotopic vector of plutonium 238:239:240:241:242 was 1.4:55:25.3:13.3:5.</w:t>
      </w:r>
    </w:p>
    <w:p w:rsidR="00C36EC9" w:rsidRPr="00D6741A" w:rsidRDefault="00C36EC9" w:rsidP="00D6741A">
      <w:pPr>
        <w:widowControl w:val="0"/>
        <w:autoSpaceDE w:val="0"/>
        <w:autoSpaceDN w:val="0"/>
        <w:adjustRightInd w:val="0"/>
        <w:rPr>
          <w:lang w:val="en-US"/>
        </w:rPr>
      </w:pPr>
    </w:p>
    <w:p w:rsidR="00793B2D" w:rsidRPr="00D6741A" w:rsidRDefault="005C143D" w:rsidP="005C143D">
      <w:pPr>
        <w:pStyle w:val="a7"/>
        <w:numPr>
          <w:ilvl w:val="0"/>
          <w:numId w:val="8"/>
        </w:numPr>
        <w:autoSpaceDE w:val="0"/>
        <w:autoSpaceDN w:val="0"/>
        <w:adjustRightInd w:val="0"/>
        <w:ind w:hanging="426"/>
        <w:jc w:val="both"/>
        <w:rPr>
          <w:rFonts w:eastAsia="Times-Roman"/>
          <w:b/>
          <w:lang w:val="en-US"/>
        </w:rPr>
      </w:pPr>
      <w:r w:rsidRPr="00D6741A">
        <w:rPr>
          <w:rFonts w:eastAsia="Times-Roman"/>
          <w:b/>
          <w:lang w:val="en-US"/>
        </w:rPr>
        <w:t>Results</w:t>
      </w:r>
    </w:p>
    <w:p w:rsidR="00C36EC9" w:rsidRPr="00D6741A" w:rsidRDefault="00C36EC9" w:rsidP="00C52B53">
      <w:pPr>
        <w:autoSpaceDE w:val="0"/>
        <w:autoSpaceDN w:val="0"/>
        <w:adjustRightInd w:val="0"/>
        <w:jc w:val="both"/>
        <w:rPr>
          <w:rFonts w:eastAsia="Times-Roman"/>
          <w:lang w:val="en-US"/>
        </w:rPr>
      </w:pPr>
      <w:r w:rsidRPr="00D6741A">
        <w:rPr>
          <w:rFonts w:eastAsia="Times-Roman"/>
          <w:lang w:val="en-US"/>
        </w:rPr>
        <w:t xml:space="preserve">In </w:t>
      </w:r>
      <w:r w:rsidR="005C143D" w:rsidRPr="00D6741A">
        <w:rPr>
          <w:rFonts w:eastAsia="Times-Roman"/>
          <w:lang w:val="en-US"/>
        </w:rPr>
        <w:t>Fig.</w:t>
      </w:r>
      <w:r w:rsidRPr="00D6741A">
        <w:rPr>
          <w:rFonts w:eastAsia="Times-Roman"/>
          <w:lang w:val="en-US"/>
        </w:rPr>
        <w:t xml:space="preserve"> </w:t>
      </w:r>
      <w:r w:rsidR="000571DA" w:rsidRPr="00D6741A">
        <w:rPr>
          <w:rFonts w:eastAsia="Times-Roman"/>
          <w:lang w:val="en-US"/>
        </w:rPr>
        <w:t>1a</w:t>
      </w:r>
      <w:r w:rsidRPr="00D6741A">
        <w:rPr>
          <w:rFonts w:eastAsia="Times-Roman"/>
          <w:lang w:val="en-US"/>
        </w:rPr>
        <w:t>, the ten reactor-spent fuel combinations</w:t>
      </w:r>
      <w:r w:rsidR="00793B2D" w:rsidRPr="00D6741A">
        <w:rPr>
          <w:rFonts w:eastAsia="Times-Roman"/>
          <w:lang w:val="en-US"/>
        </w:rPr>
        <w:t xml:space="preserve"> considered in</w:t>
      </w:r>
      <w:r w:rsidR="0091004E">
        <w:rPr>
          <w:rFonts w:eastAsia="Times-Roman"/>
          <w:lang w:val="en-US"/>
        </w:rPr>
        <w:t xml:space="preserve"> Table 2</w:t>
      </w:r>
      <w:r w:rsidRPr="00D6741A">
        <w:rPr>
          <w:rFonts w:eastAsia="Times-Roman"/>
          <w:lang w:val="en-US"/>
        </w:rPr>
        <w:t xml:space="preserve">, are clustered together on the basis of their similarities in their isotopic composition. Hence, they are clustered together according to the reactor type where the fuels ware irradiated and their charge composition. The fuels are clearly </w:t>
      </w:r>
      <w:r w:rsidR="00793B2D" w:rsidRPr="00D6741A">
        <w:rPr>
          <w:rFonts w:eastAsia="Times-Roman"/>
          <w:lang w:val="en-US"/>
        </w:rPr>
        <w:t>resolved</w:t>
      </w:r>
      <w:r w:rsidRPr="00D6741A">
        <w:rPr>
          <w:rFonts w:eastAsia="Times-Roman"/>
          <w:lang w:val="en-US"/>
        </w:rPr>
        <w:t xml:space="preserve"> between them. In order to </w:t>
      </w:r>
      <w:r w:rsidR="00793B2D" w:rsidRPr="00D6741A">
        <w:rPr>
          <w:rFonts w:eastAsia="Times-Roman"/>
          <w:lang w:val="en-US"/>
        </w:rPr>
        <w:t>improve</w:t>
      </w:r>
      <w:r w:rsidRPr="00D6741A">
        <w:rPr>
          <w:rFonts w:eastAsia="Times-Roman"/>
          <w:lang w:val="en-US"/>
        </w:rPr>
        <w:t xml:space="preserve"> the resolution of the graph</w:t>
      </w:r>
      <w:r w:rsidR="00793B2D" w:rsidRPr="00D6741A">
        <w:rPr>
          <w:rFonts w:eastAsia="Times-Roman"/>
          <w:lang w:val="en-US"/>
        </w:rPr>
        <w:t xml:space="preserve"> </w:t>
      </w:r>
      <w:r w:rsidR="009939D2" w:rsidRPr="00D6741A">
        <w:rPr>
          <w:rFonts w:eastAsia="Times-Roman"/>
          <w:lang w:val="en-US"/>
        </w:rPr>
        <w:t>displayed</w:t>
      </w:r>
      <w:r w:rsidRPr="00D6741A">
        <w:rPr>
          <w:rFonts w:eastAsia="Times-Roman"/>
          <w:lang w:val="en-US"/>
        </w:rPr>
        <w:t>, the MTR fuels are removed, revealing clearly the U and UGd fuel</w:t>
      </w:r>
      <w:r w:rsidR="00793B2D" w:rsidRPr="00D6741A">
        <w:rPr>
          <w:rFonts w:eastAsia="Times-Roman"/>
          <w:lang w:val="en-US"/>
        </w:rPr>
        <w:t xml:space="preserve">s from the PWR, </w:t>
      </w:r>
      <w:r w:rsidRPr="00D6741A">
        <w:rPr>
          <w:rFonts w:eastAsia="Times-Roman"/>
          <w:lang w:val="en-US"/>
        </w:rPr>
        <w:t>BWR</w:t>
      </w:r>
      <w:r w:rsidR="00793B2D" w:rsidRPr="00D6741A">
        <w:rPr>
          <w:rFonts w:eastAsia="Times-Roman"/>
          <w:lang w:val="en-US"/>
        </w:rPr>
        <w:t>, LMFBR and CANDU</w:t>
      </w:r>
      <w:r w:rsidRPr="00D6741A">
        <w:rPr>
          <w:rFonts w:eastAsia="Times-Roman"/>
          <w:lang w:val="en-US"/>
        </w:rPr>
        <w:t xml:space="preserve"> reactors (</w:t>
      </w:r>
      <w:r w:rsidR="000571DA" w:rsidRPr="00D6741A">
        <w:rPr>
          <w:rFonts w:eastAsia="Times-Roman"/>
          <w:lang w:val="en-US"/>
        </w:rPr>
        <w:t>Fig. 1b</w:t>
      </w:r>
      <w:r w:rsidRPr="00D6741A">
        <w:rPr>
          <w:rFonts w:eastAsia="Times-Roman"/>
          <w:lang w:val="en-US"/>
        </w:rPr>
        <w:t>).</w:t>
      </w:r>
    </w:p>
    <w:p w:rsidR="009939D2" w:rsidRPr="00D6741A" w:rsidRDefault="009939D2" w:rsidP="009939D2">
      <w:pPr>
        <w:autoSpaceDE w:val="0"/>
        <w:autoSpaceDN w:val="0"/>
        <w:adjustRightInd w:val="0"/>
        <w:jc w:val="both"/>
        <w:rPr>
          <w:rFonts w:eastAsia="Times-Roman"/>
          <w:lang w:val="en-US"/>
        </w:rPr>
      </w:pPr>
    </w:p>
    <w:p w:rsidR="009939D2" w:rsidRPr="00D6741A" w:rsidRDefault="009939D2" w:rsidP="009939D2">
      <w:pPr>
        <w:autoSpaceDE w:val="0"/>
        <w:autoSpaceDN w:val="0"/>
        <w:adjustRightInd w:val="0"/>
        <w:jc w:val="both"/>
        <w:rPr>
          <w:rFonts w:eastAsia="Times-Roman"/>
          <w:lang w:val="en-US"/>
        </w:rPr>
      </w:pPr>
      <w:r w:rsidRPr="00D6741A">
        <w:rPr>
          <w:rFonts w:eastAsia="Times-Roman"/>
          <w:lang w:val="en-US"/>
        </w:rPr>
        <w:t xml:space="preserve">Spent fuel compositions at EOI were simulated, using the code ORIGEN-2, for PWR and BWR uranium fuels with different charge compositions of </w:t>
      </w:r>
      <w:r w:rsidRPr="00D6741A">
        <w:rPr>
          <w:rFonts w:eastAsia="Times-Roman"/>
          <w:vertAlign w:val="superscript"/>
          <w:lang w:val="en-US"/>
        </w:rPr>
        <w:t>235</w:t>
      </w:r>
      <w:r w:rsidRPr="00D6741A">
        <w:rPr>
          <w:rFonts w:eastAsia="Times-Roman"/>
          <w:lang w:val="en-US"/>
        </w:rPr>
        <w:t xml:space="preserve">U (3% - 5%) and </w:t>
      </w:r>
      <w:r w:rsidRPr="00D6741A">
        <w:rPr>
          <w:rFonts w:eastAsia="Times-Roman"/>
          <w:vertAlign w:val="superscript"/>
          <w:lang w:val="en-US"/>
        </w:rPr>
        <w:t>236</w:t>
      </w:r>
      <w:r w:rsidRPr="00D6741A">
        <w:rPr>
          <w:rFonts w:eastAsia="Times-Roman"/>
          <w:lang w:val="en-US"/>
        </w:rPr>
        <w:t xml:space="preserve">U (0 or 0.6%). The purpose of these simulations was to assess if the inclusion of </w:t>
      </w:r>
      <w:r w:rsidRPr="00D6741A">
        <w:rPr>
          <w:rFonts w:eastAsia="Times-Roman"/>
          <w:vertAlign w:val="superscript"/>
          <w:lang w:val="en-US"/>
        </w:rPr>
        <w:t>236</w:t>
      </w:r>
      <w:r w:rsidRPr="00D6741A">
        <w:rPr>
          <w:rFonts w:eastAsia="Times-Roman"/>
          <w:lang w:val="en-US"/>
        </w:rPr>
        <w:t xml:space="preserve">U in the charge composition of the fresh fuels would affect the clustering of their corresponding spent fuels in the frame of isotopic fingerprinting. The 3D plots, on the basis of the U and Pu isotope ratios, are shown in Figs. 2a &amp; 2b for the PWR and BWR cases </w:t>
      </w:r>
      <w:r w:rsidR="0091004E">
        <w:rPr>
          <w:rFonts w:eastAsia="Times-Roman"/>
          <w:lang w:val="en-US"/>
        </w:rPr>
        <w:t>given in Table 2</w:t>
      </w:r>
      <w:r w:rsidRPr="00D6741A">
        <w:rPr>
          <w:rFonts w:eastAsia="Times-Roman"/>
          <w:lang w:val="en-US"/>
        </w:rPr>
        <w:t xml:space="preserve"> respectively. The inclusion of </w:t>
      </w:r>
      <w:r w:rsidRPr="00D6741A">
        <w:rPr>
          <w:rFonts w:eastAsia="Times-Roman"/>
          <w:vertAlign w:val="superscript"/>
          <w:lang w:val="en-US"/>
        </w:rPr>
        <w:t>236</w:t>
      </w:r>
      <w:r w:rsidRPr="00D6741A">
        <w:rPr>
          <w:rFonts w:eastAsia="Times-Roman"/>
          <w:lang w:val="en-US"/>
        </w:rPr>
        <w:t>U does not affect the clustering.</w:t>
      </w:r>
    </w:p>
    <w:p w:rsidR="00793B2D" w:rsidRPr="00D6741A" w:rsidRDefault="00793B2D" w:rsidP="00793B2D">
      <w:pPr>
        <w:widowControl w:val="0"/>
        <w:autoSpaceDE w:val="0"/>
        <w:autoSpaceDN w:val="0"/>
        <w:adjustRightInd w:val="0"/>
        <w:spacing w:line="201" w:lineRule="atLeast"/>
        <w:ind w:firstLine="134"/>
        <w:jc w:val="center"/>
        <w:rPr>
          <w:lang w:val="en-GB"/>
        </w:rPr>
      </w:pPr>
      <w:r w:rsidRPr="00D6741A">
        <w:rPr>
          <w:noProof/>
        </w:rPr>
        <w:lastRenderedPageBreak/>
        <w:drawing>
          <wp:inline distT="0" distB="0" distL="0" distR="0">
            <wp:extent cx="2628000" cy="2484120"/>
            <wp:effectExtent l="19050" t="19050" r="19950" b="11430"/>
            <wp:docPr id="6"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28000" cy="2484120"/>
                    </a:xfrm>
                    <a:prstGeom prst="rect">
                      <a:avLst/>
                    </a:prstGeom>
                    <a:noFill/>
                    <a:ln w="9525">
                      <a:solidFill>
                        <a:schemeClr val="tx1"/>
                      </a:solidFill>
                      <a:miter lim="800000"/>
                      <a:headEnd/>
                      <a:tailEnd/>
                    </a:ln>
                  </pic:spPr>
                </pic:pic>
              </a:graphicData>
            </a:graphic>
          </wp:inline>
        </w:drawing>
      </w:r>
      <w:r w:rsidRPr="00D6741A">
        <w:rPr>
          <w:noProof/>
        </w:rPr>
        <w:drawing>
          <wp:inline distT="0" distB="0" distL="0" distR="0">
            <wp:extent cx="2628265" cy="2484000"/>
            <wp:effectExtent l="19050" t="19050" r="19685" b="11550"/>
            <wp:docPr id="8"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srcRect/>
                    <a:stretch>
                      <a:fillRect/>
                    </a:stretch>
                  </pic:blipFill>
                  <pic:spPr bwMode="auto">
                    <a:xfrm>
                      <a:off x="0" y="0"/>
                      <a:ext cx="2628265" cy="2484000"/>
                    </a:xfrm>
                    <a:prstGeom prst="rect">
                      <a:avLst/>
                    </a:prstGeom>
                    <a:noFill/>
                    <a:ln w="9525">
                      <a:solidFill>
                        <a:schemeClr val="tx1"/>
                      </a:solidFill>
                      <a:miter lim="800000"/>
                      <a:headEnd/>
                      <a:tailEnd/>
                    </a:ln>
                  </pic:spPr>
                </pic:pic>
              </a:graphicData>
            </a:graphic>
          </wp:inline>
        </w:drawing>
      </w:r>
    </w:p>
    <w:p w:rsidR="00C36EC9" w:rsidRPr="00D6741A" w:rsidRDefault="00793B2D" w:rsidP="00793B2D">
      <w:pPr>
        <w:pStyle w:val="a7"/>
        <w:widowControl w:val="0"/>
        <w:numPr>
          <w:ilvl w:val="0"/>
          <w:numId w:val="3"/>
        </w:numPr>
        <w:autoSpaceDE w:val="0"/>
        <w:autoSpaceDN w:val="0"/>
        <w:adjustRightInd w:val="0"/>
        <w:spacing w:after="120"/>
        <w:rPr>
          <w:lang w:val="en-US"/>
        </w:rPr>
      </w:pPr>
      <w:r w:rsidRPr="00D6741A">
        <w:rPr>
          <w:lang w:val="en-US"/>
        </w:rPr>
        <w:t xml:space="preserve">                                                               (b)</w:t>
      </w:r>
    </w:p>
    <w:p w:rsidR="00793B2D" w:rsidRPr="00D6741A" w:rsidRDefault="005C143D" w:rsidP="00793B2D">
      <w:pPr>
        <w:pStyle w:val="a7"/>
        <w:ind w:left="0"/>
        <w:jc w:val="center"/>
        <w:rPr>
          <w:i/>
          <w:lang w:val="en-US"/>
        </w:rPr>
      </w:pPr>
      <w:r w:rsidRPr="00D6741A">
        <w:rPr>
          <w:rFonts w:eastAsiaTheme="minorHAnsi"/>
          <w:i/>
          <w:lang w:val="en-US" w:eastAsia="en-US"/>
        </w:rPr>
        <w:t>FIG. 1</w:t>
      </w:r>
      <w:r w:rsidR="00793B2D" w:rsidRPr="00D6741A">
        <w:rPr>
          <w:rFonts w:eastAsiaTheme="minorHAnsi"/>
          <w:i/>
          <w:lang w:val="en-US" w:eastAsia="en-US"/>
        </w:rPr>
        <w:t>. (a) The ten simulated spent fuels clustered on the basis of their U and Pu isotopic composition; (b) enhanced resolution of (a) with the MTR reactor cases removed.</w:t>
      </w:r>
    </w:p>
    <w:p w:rsidR="00C36EC9" w:rsidRPr="00D6741A" w:rsidRDefault="00C36EC9" w:rsidP="006F2B76">
      <w:pPr>
        <w:widowControl w:val="0"/>
        <w:autoSpaceDE w:val="0"/>
        <w:autoSpaceDN w:val="0"/>
        <w:adjustRightInd w:val="0"/>
        <w:jc w:val="center"/>
        <w:rPr>
          <w:lang w:val="en-US"/>
        </w:rPr>
      </w:pPr>
    </w:p>
    <w:p w:rsidR="000571DA" w:rsidRPr="00D6741A" w:rsidRDefault="000571DA" w:rsidP="00C52B53">
      <w:pPr>
        <w:widowControl w:val="0"/>
        <w:autoSpaceDE w:val="0"/>
        <w:autoSpaceDN w:val="0"/>
        <w:adjustRightInd w:val="0"/>
        <w:ind w:firstLine="316"/>
        <w:jc w:val="both"/>
        <w:rPr>
          <w:lang w:val="en-GB"/>
        </w:rPr>
      </w:pPr>
    </w:p>
    <w:p w:rsidR="00891C25" w:rsidRPr="00D6741A" w:rsidRDefault="00891C25" w:rsidP="00891C25">
      <w:pPr>
        <w:widowControl w:val="0"/>
        <w:autoSpaceDE w:val="0"/>
        <w:autoSpaceDN w:val="0"/>
        <w:adjustRightInd w:val="0"/>
        <w:spacing w:line="201" w:lineRule="atLeast"/>
        <w:ind w:firstLine="134"/>
        <w:jc w:val="center"/>
        <w:rPr>
          <w:lang w:val="en-GB"/>
        </w:rPr>
      </w:pPr>
      <w:r w:rsidRPr="00D6741A">
        <w:rPr>
          <w:noProof/>
        </w:rPr>
        <w:drawing>
          <wp:inline distT="0" distB="0" distL="0" distR="0">
            <wp:extent cx="2628000" cy="2484120"/>
            <wp:effectExtent l="19050" t="19050" r="19950" b="11430"/>
            <wp:docPr id="9" name="Εικόνα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0" cstate="print"/>
                    <a:srcRect/>
                    <a:stretch>
                      <a:fillRect/>
                    </a:stretch>
                  </pic:blipFill>
                  <pic:spPr bwMode="auto">
                    <a:xfrm>
                      <a:off x="0" y="0"/>
                      <a:ext cx="2628000" cy="2484120"/>
                    </a:xfrm>
                    <a:prstGeom prst="rect">
                      <a:avLst/>
                    </a:prstGeom>
                    <a:noFill/>
                    <a:ln w="9525">
                      <a:solidFill>
                        <a:schemeClr val="tx1"/>
                      </a:solidFill>
                      <a:miter lim="800000"/>
                      <a:headEnd/>
                      <a:tailEnd/>
                    </a:ln>
                  </pic:spPr>
                </pic:pic>
              </a:graphicData>
            </a:graphic>
          </wp:inline>
        </w:drawing>
      </w:r>
      <w:r w:rsidRPr="00D6741A">
        <w:rPr>
          <w:lang w:val="en-GB"/>
        </w:rPr>
        <w:t xml:space="preserve"> </w:t>
      </w:r>
      <w:r w:rsidRPr="00D6741A">
        <w:rPr>
          <w:noProof/>
        </w:rPr>
        <w:drawing>
          <wp:inline distT="0" distB="0" distL="0" distR="0">
            <wp:extent cx="2628000" cy="2484120"/>
            <wp:effectExtent l="19050" t="19050" r="19950" b="11430"/>
            <wp:docPr id="11" name="Εικόνα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28000" cy="2484120"/>
                    </a:xfrm>
                    <a:prstGeom prst="rect">
                      <a:avLst/>
                    </a:prstGeom>
                    <a:noFill/>
                    <a:ln w="9525">
                      <a:solidFill>
                        <a:schemeClr val="tx1"/>
                      </a:solidFill>
                      <a:miter lim="800000"/>
                      <a:headEnd/>
                      <a:tailEnd/>
                    </a:ln>
                  </pic:spPr>
                </pic:pic>
              </a:graphicData>
            </a:graphic>
          </wp:inline>
        </w:drawing>
      </w:r>
    </w:p>
    <w:p w:rsidR="00891C25" w:rsidRPr="00D6741A" w:rsidRDefault="00891C25" w:rsidP="006F2B76">
      <w:pPr>
        <w:pStyle w:val="a7"/>
        <w:widowControl w:val="0"/>
        <w:numPr>
          <w:ilvl w:val="0"/>
          <w:numId w:val="4"/>
        </w:numPr>
        <w:autoSpaceDE w:val="0"/>
        <w:autoSpaceDN w:val="0"/>
        <w:adjustRightInd w:val="0"/>
        <w:spacing w:line="225" w:lineRule="atLeast"/>
        <w:jc w:val="both"/>
        <w:rPr>
          <w:lang w:val="en-GB"/>
        </w:rPr>
      </w:pPr>
      <w:r w:rsidRPr="00D6741A">
        <w:rPr>
          <w:lang w:val="en-GB"/>
        </w:rPr>
        <w:t xml:space="preserve">                                                                 (b)</w:t>
      </w:r>
    </w:p>
    <w:p w:rsidR="00891C25" w:rsidRPr="00D6741A" w:rsidRDefault="005C143D" w:rsidP="00891C25">
      <w:pPr>
        <w:widowControl w:val="0"/>
        <w:autoSpaceDE w:val="0"/>
        <w:autoSpaceDN w:val="0"/>
        <w:adjustRightInd w:val="0"/>
        <w:spacing w:line="225" w:lineRule="atLeast"/>
        <w:ind w:firstLine="316"/>
        <w:jc w:val="center"/>
        <w:rPr>
          <w:i/>
          <w:lang w:val="en-US"/>
        </w:rPr>
      </w:pPr>
      <w:r w:rsidRPr="00D6741A">
        <w:rPr>
          <w:i/>
          <w:lang w:val="en-GB"/>
        </w:rPr>
        <w:t>FIG. 2</w:t>
      </w:r>
      <w:r w:rsidR="00891C25" w:rsidRPr="00D6741A">
        <w:rPr>
          <w:i/>
          <w:lang w:val="en-GB"/>
        </w:rPr>
        <w:t xml:space="preserve">. </w:t>
      </w:r>
      <w:r w:rsidR="00891C25" w:rsidRPr="00D6741A">
        <w:rPr>
          <w:rFonts w:eastAsia="Times-Roman"/>
          <w:i/>
          <w:lang w:val="en-US"/>
        </w:rPr>
        <w:t>Spent fuel PWR (a) and BWR (b</w:t>
      </w:r>
      <w:r w:rsidR="009939D2" w:rsidRPr="00D6741A">
        <w:rPr>
          <w:rFonts w:eastAsia="Times-Roman"/>
          <w:i/>
          <w:lang w:val="en-US"/>
        </w:rPr>
        <w:t>) cases</w:t>
      </w:r>
      <w:r w:rsidR="00891C25" w:rsidRPr="00D6741A">
        <w:rPr>
          <w:rFonts w:eastAsia="Times-Roman"/>
          <w:i/>
          <w:lang w:val="en-US"/>
        </w:rPr>
        <w:t xml:space="preserve"> with and without </w:t>
      </w:r>
      <w:r w:rsidR="00891C25" w:rsidRPr="00D6741A">
        <w:rPr>
          <w:rFonts w:eastAsia="Times-Roman"/>
          <w:i/>
          <w:vertAlign w:val="superscript"/>
          <w:lang w:val="en-US"/>
        </w:rPr>
        <w:t>236</w:t>
      </w:r>
      <w:r w:rsidR="00891C25" w:rsidRPr="00D6741A">
        <w:rPr>
          <w:rFonts w:eastAsia="Times-Roman"/>
          <w:i/>
          <w:lang w:val="en-US"/>
        </w:rPr>
        <w:t>U at charge.</w:t>
      </w:r>
    </w:p>
    <w:p w:rsidR="00891C25" w:rsidRPr="00D6741A" w:rsidRDefault="00891C25">
      <w:pPr>
        <w:widowControl w:val="0"/>
        <w:autoSpaceDE w:val="0"/>
        <w:autoSpaceDN w:val="0"/>
        <w:adjustRightInd w:val="0"/>
        <w:spacing w:line="196" w:lineRule="atLeast"/>
        <w:jc w:val="both"/>
        <w:rPr>
          <w:b/>
          <w:lang w:val="en-GB"/>
        </w:rPr>
      </w:pPr>
    </w:p>
    <w:p w:rsidR="00891C25" w:rsidRPr="00D6741A" w:rsidRDefault="00804F58" w:rsidP="00C52B53">
      <w:pPr>
        <w:autoSpaceDE w:val="0"/>
        <w:autoSpaceDN w:val="0"/>
        <w:adjustRightInd w:val="0"/>
        <w:jc w:val="both"/>
        <w:rPr>
          <w:rFonts w:eastAsia="Times-Roman"/>
          <w:lang w:val="en-US"/>
        </w:rPr>
      </w:pPr>
      <w:r w:rsidRPr="00D6741A">
        <w:rPr>
          <w:rFonts w:eastAsia="Times-Roman"/>
          <w:lang w:val="en-US"/>
        </w:rPr>
        <w:t xml:space="preserve">Sensitivity analysis has been carried out on the spent fuels from the SFCOMPO data bank given in </w:t>
      </w:r>
      <w:r w:rsidR="0091004E">
        <w:rPr>
          <w:rFonts w:eastAsia="Times-Roman"/>
          <w:lang w:val="en-US"/>
        </w:rPr>
        <w:t>Table 1</w:t>
      </w:r>
      <w:r w:rsidRPr="00D6741A">
        <w:rPr>
          <w:rFonts w:eastAsia="Times-Roman"/>
          <w:lang w:val="en-US"/>
        </w:rPr>
        <w:t>, on the basis of their U</w:t>
      </w:r>
      <w:r w:rsidR="007F06AD" w:rsidRPr="00D6741A">
        <w:rPr>
          <w:rFonts w:eastAsia="Times-Roman"/>
          <w:lang w:val="en-US"/>
        </w:rPr>
        <w:t xml:space="preserve"> and </w:t>
      </w:r>
      <w:r w:rsidRPr="00D6741A">
        <w:rPr>
          <w:rFonts w:eastAsia="Times-Roman"/>
          <w:lang w:val="en-US"/>
        </w:rPr>
        <w:t xml:space="preserve">Pu </w:t>
      </w:r>
      <w:r w:rsidR="007F06AD" w:rsidRPr="00D6741A">
        <w:rPr>
          <w:rFonts w:eastAsia="Times-Roman"/>
          <w:lang w:val="en-US"/>
        </w:rPr>
        <w:t xml:space="preserve">isotopic </w:t>
      </w:r>
      <w:r w:rsidRPr="00D6741A">
        <w:rPr>
          <w:rFonts w:eastAsia="Times-Roman"/>
          <w:lang w:val="en-US"/>
        </w:rPr>
        <w:t xml:space="preserve">compositions. The analysis has been carried out in the cases of PWR and BWR reactor/fuel combinations given in </w:t>
      </w:r>
      <w:r w:rsidR="007F06AD" w:rsidRPr="00D6741A">
        <w:rPr>
          <w:rFonts w:eastAsia="Times-Roman"/>
          <w:lang w:val="en-US"/>
        </w:rPr>
        <w:t>Table</w:t>
      </w:r>
      <w:r w:rsidR="0091004E">
        <w:rPr>
          <w:rFonts w:eastAsia="Times-Roman"/>
          <w:lang w:val="en-US"/>
        </w:rPr>
        <w:t xml:space="preserve"> 1</w:t>
      </w:r>
      <w:r w:rsidR="009A387A" w:rsidRPr="00D6741A">
        <w:rPr>
          <w:rFonts w:eastAsia="Times-Roman"/>
          <w:lang w:val="en-US"/>
        </w:rPr>
        <w:t xml:space="preserve">, differentiating </w:t>
      </w:r>
      <w:r w:rsidRPr="00D6741A">
        <w:rPr>
          <w:rFonts w:eastAsia="Times-Roman"/>
          <w:lang w:val="en-US"/>
        </w:rPr>
        <w:t xml:space="preserve">well: (1) </w:t>
      </w:r>
      <w:r w:rsidR="007F06AD" w:rsidRPr="00D6741A">
        <w:rPr>
          <w:rFonts w:eastAsia="Times-Roman"/>
          <w:lang w:val="en-US"/>
        </w:rPr>
        <w:t>spent fu</w:t>
      </w:r>
      <w:r w:rsidR="009A387A" w:rsidRPr="00D6741A">
        <w:rPr>
          <w:rFonts w:eastAsia="Times-Roman"/>
          <w:lang w:val="en-US"/>
        </w:rPr>
        <w:t>els from different reactor types</w:t>
      </w:r>
      <w:r w:rsidR="007F06AD" w:rsidRPr="00D6741A">
        <w:rPr>
          <w:rFonts w:eastAsia="Times-Roman"/>
          <w:lang w:val="en-US"/>
        </w:rPr>
        <w:t xml:space="preserve"> (PWR and BWR), (2) </w:t>
      </w:r>
      <w:r w:rsidRPr="00D6741A">
        <w:rPr>
          <w:rFonts w:eastAsia="Times-Roman"/>
          <w:lang w:val="en-US"/>
        </w:rPr>
        <w:t xml:space="preserve">spent fuels of different </w:t>
      </w:r>
      <w:r w:rsidRPr="00D6741A">
        <w:rPr>
          <w:rFonts w:eastAsia="Times-Roman"/>
          <w:vertAlign w:val="superscript"/>
          <w:lang w:val="en-US"/>
        </w:rPr>
        <w:t>235</w:t>
      </w:r>
      <w:r w:rsidRPr="00D6741A">
        <w:rPr>
          <w:rFonts w:eastAsia="Times-Roman"/>
          <w:lang w:val="en-US"/>
        </w:rPr>
        <w:t>U enrichmen</w:t>
      </w:r>
      <w:r w:rsidR="007F06AD" w:rsidRPr="00D6741A">
        <w:rPr>
          <w:rFonts w:eastAsia="Times-Roman"/>
          <w:lang w:val="en-US"/>
        </w:rPr>
        <w:t>ts from the same reactor; and (3</w:t>
      </w:r>
      <w:r w:rsidRPr="00D6741A">
        <w:rPr>
          <w:rFonts w:eastAsia="Times-Roman"/>
          <w:lang w:val="en-US"/>
        </w:rPr>
        <w:t xml:space="preserve">) spent fuels of similar </w:t>
      </w:r>
      <w:r w:rsidRPr="00D6741A">
        <w:rPr>
          <w:rFonts w:eastAsia="Times-Roman"/>
          <w:vertAlign w:val="superscript"/>
          <w:lang w:val="en-US"/>
        </w:rPr>
        <w:t>235</w:t>
      </w:r>
      <w:r w:rsidRPr="00D6741A">
        <w:rPr>
          <w:rFonts w:eastAsia="Times-Roman"/>
          <w:lang w:val="en-US"/>
        </w:rPr>
        <w:t xml:space="preserve">U enrichments from different reactors. </w:t>
      </w:r>
      <w:r w:rsidR="00D675BD" w:rsidRPr="00D6741A">
        <w:rPr>
          <w:rFonts w:eastAsia="Times-Roman"/>
          <w:lang w:val="en-US"/>
        </w:rPr>
        <w:t>Hence,</w:t>
      </w:r>
      <w:r w:rsidRPr="00D6741A">
        <w:rPr>
          <w:rFonts w:eastAsia="Times-Roman"/>
          <w:lang w:val="en-US"/>
        </w:rPr>
        <w:t xml:space="preserve"> the 3D plot on </w:t>
      </w:r>
      <w:r w:rsidR="00D675BD" w:rsidRPr="00D6741A">
        <w:rPr>
          <w:rFonts w:eastAsia="Times-Roman"/>
          <w:lang w:val="en-US"/>
        </w:rPr>
        <w:t>the</w:t>
      </w:r>
      <w:r w:rsidRPr="00D6741A">
        <w:rPr>
          <w:rFonts w:eastAsia="Times-Roman"/>
          <w:lang w:val="en-US"/>
        </w:rPr>
        <w:t xml:space="preserve"> mixing of PWR and BWR spent fuels from the SFCOMPO data </w:t>
      </w:r>
      <w:r w:rsidR="009939D2" w:rsidRPr="00D6741A">
        <w:rPr>
          <w:rFonts w:eastAsia="Times-Roman"/>
          <w:lang w:val="en-US"/>
        </w:rPr>
        <w:t>bank</w:t>
      </w:r>
      <w:r w:rsidRPr="00D6741A">
        <w:rPr>
          <w:rFonts w:eastAsia="Times-Roman"/>
          <w:lang w:val="en-US"/>
        </w:rPr>
        <w:t xml:space="preserve"> shows a good discrimination between the fuels (</w:t>
      </w:r>
      <w:r w:rsidR="005C143D" w:rsidRPr="00D6741A">
        <w:rPr>
          <w:rFonts w:eastAsia="Times-Roman"/>
          <w:lang w:val="en-US"/>
        </w:rPr>
        <w:t>Fig.</w:t>
      </w:r>
      <w:r w:rsidR="00D675BD" w:rsidRPr="00D6741A">
        <w:rPr>
          <w:rFonts w:eastAsia="Times-Roman"/>
          <w:lang w:val="en-US"/>
        </w:rPr>
        <w:t xml:space="preserve"> 3a</w:t>
      </w:r>
      <w:r w:rsidRPr="00D6741A">
        <w:rPr>
          <w:rFonts w:eastAsia="Times-Roman"/>
          <w:lang w:val="en-US"/>
        </w:rPr>
        <w:t>).</w:t>
      </w:r>
      <w:r w:rsidR="007F06AD" w:rsidRPr="00D6741A">
        <w:rPr>
          <w:rFonts w:eastAsia="Times-Roman"/>
          <w:lang w:val="en-US"/>
        </w:rPr>
        <w:t xml:space="preserve"> </w:t>
      </w:r>
      <w:r w:rsidR="009939D2" w:rsidRPr="00D6741A">
        <w:rPr>
          <w:rFonts w:eastAsia="Times-Roman"/>
          <w:lang w:val="en-US"/>
        </w:rPr>
        <w:t>Similarly, the sensitivity analysis carried out on the spent fuels from the SFCOM</w:t>
      </w:r>
      <w:r w:rsidR="0091004E">
        <w:rPr>
          <w:rFonts w:eastAsia="Times-Roman"/>
          <w:lang w:val="en-US"/>
        </w:rPr>
        <w:t>PO data bank (Table 1</w:t>
      </w:r>
      <w:r w:rsidR="009939D2" w:rsidRPr="00D6741A">
        <w:rPr>
          <w:rFonts w:eastAsia="Times-Roman"/>
          <w:lang w:val="en-US"/>
        </w:rPr>
        <w:t xml:space="preserve">), on the basis of their Pu compositions has yielded a 3D plot on a mixing of the PWR and BWR spent fuels from the SFCOMPO data bank, showing a good discrimination between the fuels (Fig. 3b). </w:t>
      </w:r>
      <w:r w:rsidR="007F06AD" w:rsidRPr="00D6741A">
        <w:rPr>
          <w:rFonts w:eastAsia="Times-Roman"/>
          <w:lang w:val="en-US"/>
        </w:rPr>
        <w:t xml:space="preserve">The analysis </w:t>
      </w:r>
      <w:r w:rsidR="009A387A" w:rsidRPr="00D6741A">
        <w:rPr>
          <w:rFonts w:eastAsia="Times-Roman"/>
          <w:lang w:val="en-US"/>
        </w:rPr>
        <w:t xml:space="preserve">again has differentiated well: (1) spent fuels from the different reactor types (PWR and BWR), (2) spent fuels of different </w:t>
      </w:r>
      <w:r w:rsidR="009A387A" w:rsidRPr="00D6741A">
        <w:rPr>
          <w:rFonts w:eastAsia="Times-Roman"/>
          <w:vertAlign w:val="superscript"/>
          <w:lang w:val="en-US"/>
        </w:rPr>
        <w:t>235</w:t>
      </w:r>
      <w:r w:rsidR="009A387A" w:rsidRPr="00D6741A">
        <w:rPr>
          <w:rFonts w:eastAsia="Times-Roman"/>
          <w:lang w:val="en-US"/>
        </w:rPr>
        <w:t xml:space="preserve">U enrichments from the same reactor; and (3) spent fuels of similar </w:t>
      </w:r>
      <w:r w:rsidR="009A387A" w:rsidRPr="00D6741A">
        <w:rPr>
          <w:rFonts w:eastAsia="Times-Roman"/>
          <w:vertAlign w:val="superscript"/>
          <w:lang w:val="en-US"/>
        </w:rPr>
        <w:t>235</w:t>
      </w:r>
      <w:r w:rsidR="009A387A" w:rsidRPr="00D6741A">
        <w:rPr>
          <w:rFonts w:eastAsia="Times-Roman"/>
          <w:lang w:val="en-US"/>
        </w:rPr>
        <w:t>U enrichments from different reactors.</w:t>
      </w:r>
    </w:p>
    <w:p w:rsidR="009A387A" w:rsidRPr="00D6741A" w:rsidRDefault="009A387A" w:rsidP="009A387A">
      <w:pPr>
        <w:autoSpaceDE w:val="0"/>
        <w:autoSpaceDN w:val="0"/>
        <w:adjustRightInd w:val="0"/>
        <w:spacing w:line="360" w:lineRule="auto"/>
        <w:ind w:firstLine="316"/>
        <w:jc w:val="both"/>
        <w:rPr>
          <w:rFonts w:eastAsia="Times-Roman"/>
          <w:lang w:val="en-US"/>
        </w:rPr>
      </w:pPr>
    </w:p>
    <w:p w:rsidR="009A387A" w:rsidRPr="00D6741A" w:rsidRDefault="009A387A" w:rsidP="009A387A">
      <w:pPr>
        <w:widowControl w:val="0"/>
        <w:autoSpaceDE w:val="0"/>
        <w:autoSpaceDN w:val="0"/>
        <w:adjustRightInd w:val="0"/>
        <w:spacing w:line="201" w:lineRule="atLeast"/>
        <w:ind w:firstLine="134"/>
        <w:jc w:val="center"/>
        <w:rPr>
          <w:lang w:val="en-GB"/>
        </w:rPr>
      </w:pPr>
      <w:r w:rsidRPr="00D6741A">
        <w:rPr>
          <w:noProof/>
        </w:rPr>
        <w:drawing>
          <wp:inline distT="0" distB="0" distL="0" distR="0">
            <wp:extent cx="2628000" cy="2484120"/>
            <wp:effectExtent l="19050" t="19050" r="19950" b="11430"/>
            <wp:docPr id="12" name="Εικόνα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2628000" cy="2484120"/>
                    </a:xfrm>
                    <a:prstGeom prst="rect">
                      <a:avLst/>
                    </a:prstGeom>
                    <a:noFill/>
                    <a:ln w="9525">
                      <a:solidFill>
                        <a:schemeClr val="tx1"/>
                      </a:solidFill>
                      <a:miter lim="800000"/>
                      <a:headEnd/>
                      <a:tailEnd/>
                    </a:ln>
                  </pic:spPr>
                </pic:pic>
              </a:graphicData>
            </a:graphic>
          </wp:inline>
        </w:drawing>
      </w:r>
      <w:r w:rsidRPr="00D6741A">
        <w:rPr>
          <w:noProof/>
        </w:rPr>
        <w:drawing>
          <wp:inline distT="0" distB="0" distL="0" distR="0">
            <wp:extent cx="2628000" cy="2484120"/>
            <wp:effectExtent l="19050" t="19050" r="19950" b="11430"/>
            <wp:docPr id="14" name="Εικόνα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628000" cy="2484120"/>
                    </a:xfrm>
                    <a:prstGeom prst="rect">
                      <a:avLst/>
                    </a:prstGeom>
                    <a:noFill/>
                    <a:ln w="9525">
                      <a:solidFill>
                        <a:schemeClr val="tx1"/>
                      </a:solidFill>
                      <a:miter lim="800000"/>
                      <a:headEnd/>
                      <a:tailEnd/>
                    </a:ln>
                  </pic:spPr>
                </pic:pic>
              </a:graphicData>
            </a:graphic>
          </wp:inline>
        </w:drawing>
      </w:r>
    </w:p>
    <w:p w:rsidR="009A387A" w:rsidRPr="00D6741A" w:rsidRDefault="009A387A" w:rsidP="006F2B76">
      <w:pPr>
        <w:pStyle w:val="a7"/>
        <w:numPr>
          <w:ilvl w:val="0"/>
          <w:numId w:val="5"/>
        </w:numPr>
        <w:autoSpaceDE w:val="0"/>
        <w:autoSpaceDN w:val="0"/>
        <w:adjustRightInd w:val="0"/>
        <w:jc w:val="both"/>
        <w:rPr>
          <w:rFonts w:eastAsia="Times-Roman"/>
          <w:lang w:val="en-US"/>
        </w:rPr>
      </w:pPr>
      <w:r w:rsidRPr="00D6741A">
        <w:rPr>
          <w:rFonts w:eastAsia="Times-Roman"/>
          <w:lang w:val="en-US"/>
        </w:rPr>
        <w:t xml:space="preserve">                                                                     (b)</w:t>
      </w:r>
    </w:p>
    <w:p w:rsidR="00891C25" w:rsidRPr="00D6741A" w:rsidRDefault="005C143D" w:rsidP="006F2B76">
      <w:pPr>
        <w:widowControl w:val="0"/>
        <w:autoSpaceDE w:val="0"/>
        <w:autoSpaceDN w:val="0"/>
        <w:adjustRightInd w:val="0"/>
        <w:jc w:val="center"/>
        <w:rPr>
          <w:rFonts w:eastAsia="Times-Roman"/>
          <w:i/>
          <w:lang w:val="en-US"/>
        </w:rPr>
      </w:pPr>
      <w:r w:rsidRPr="00D6741A">
        <w:rPr>
          <w:rFonts w:eastAsia="Times-Roman"/>
          <w:i/>
          <w:lang w:val="en-US"/>
        </w:rPr>
        <w:t>FIG. 3</w:t>
      </w:r>
      <w:r w:rsidR="009A387A" w:rsidRPr="00D6741A">
        <w:rPr>
          <w:rFonts w:eastAsia="Times-Roman"/>
          <w:i/>
          <w:lang w:val="en-US"/>
        </w:rPr>
        <w:t>. Spent fuel PWR and BWR cases clustered on the basis of U and Pu (a) and Pu (b) isotopic compositions</w:t>
      </w:r>
    </w:p>
    <w:p w:rsidR="009A387A" w:rsidRPr="00D6741A" w:rsidRDefault="009A387A" w:rsidP="006F2B76">
      <w:pPr>
        <w:widowControl w:val="0"/>
        <w:autoSpaceDE w:val="0"/>
        <w:autoSpaceDN w:val="0"/>
        <w:adjustRightInd w:val="0"/>
        <w:jc w:val="center"/>
        <w:rPr>
          <w:rFonts w:eastAsia="Times-Roman"/>
          <w:lang w:val="en-US"/>
        </w:rPr>
      </w:pPr>
    </w:p>
    <w:p w:rsidR="009A387A" w:rsidRPr="00D6741A" w:rsidRDefault="005C143D" w:rsidP="006F2B76">
      <w:pPr>
        <w:pStyle w:val="a7"/>
        <w:numPr>
          <w:ilvl w:val="0"/>
          <w:numId w:val="8"/>
        </w:numPr>
        <w:autoSpaceDE w:val="0"/>
        <w:autoSpaceDN w:val="0"/>
        <w:adjustRightInd w:val="0"/>
        <w:ind w:hanging="426"/>
        <w:jc w:val="both"/>
        <w:rPr>
          <w:rFonts w:eastAsiaTheme="minorHAnsi"/>
          <w:b/>
          <w:lang w:val="en-US" w:eastAsia="en-US"/>
        </w:rPr>
      </w:pPr>
      <w:r w:rsidRPr="00D6741A">
        <w:rPr>
          <w:rFonts w:eastAsiaTheme="minorHAnsi"/>
          <w:b/>
          <w:lang w:val="en-US" w:eastAsia="en-US"/>
        </w:rPr>
        <w:t>Conclusions</w:t>
      </w:r>
    </w:p>
    <w:p w:rsidR="00891C25" w:rsidRPr="00D6741A" w:rsidRDefault="009A387A" w:rsidP="005C143D">
      <w:pPr>
        <w:autoSpaceDE w:val="0"/>
        <w:autoSpaceDN w:val="0"/>
        <w:adjustRightInd w:val="0"/>
        <w:jc w:val="both"/>
        <w:rPr>
          <w:rFonts w:eastAsiaTheme="minorHAnsi"/>
          <w:lang w:val="en-US" w:eastAsia="en-US"/>
        </w:rPr>
      </w:pPr>
      <w:r w:rsidRPr="00D6741A">
        <w:rPr>
          <w:rFonts w:eastAsiaTheme="minorHAnsi"/>
          <w:lang w:val="en-US" w:eastAsia="en-US"/>
        </w:rPr>
        <w:t xml:space="preserve">The isotopic fingerprinting method was sensitive enough to resolve spent fuels from: different reactor types, the same reactor but with different charge composition and of the same charge composition but from different reactors. This is demonstrated for simulated isotopic compositions </w:t>
      </w:r>
      <w:r w:rsidR="00D62258" w:rsidRPr="00D6741A">
        <w:rPr>
          <w:rFonts w:eastAsiaTheme="minorHAnsi"/>
          <w:lang w:val="en-US" w:eastAsia="en-US"/>
        </w:rPr>
        <w:t xml:space="preserve">of conceptual fuels </w:t>
      </w:r>
      <w:r w:rsidRPr="00D6741A">
        <w:rPr>
          <w:rFonts w:eastAsiaTheme="minorHAnsi"/>
          <w:lang w:val="en-US" w:eastAsia="en-US"/>
        </w:rPr>
        <w:t xml:space="preserve">and also </w:t>
      </w:r>
      <w:r w:rsidR="00D62258" w:rsidRPr="00D6741A">
        <w:rPr>
          <w:rFonts w:eastAsiaTheme="minorHAnsi"/>
          <w:lang w:val="en-US" w:eastAsia="en-US"/>
        </w:rPr>
        <w:t xml:space="preserve">isotopic compositions from the Post-Irradiation Examination of real spent fuels. </w:t>
      </w:r>
      <w:r w:rsidRPr="00D6741A">
        <w:rPr>
          <w:rFonts w:eastAsiaTheme="minorHAnsi"/>
          <w:lang w:val="en-US" w:eastAsia="en-US"/>
        </w:rPr>
        <w:t xml:space="preserve">The simulation of spent fuel composition when </w:t>
      </w:r>
      <w:r w:rsidRPr="00D6741A">
        <w:rPr>
          <w:vertAlign w:val="superscript"/>
          <w:lang w:val="fr-FR"/>
        </w:rPr>
        <w:t>236</w:t>
      </w:r>
      <w:r w:rsidRPr="00D6741A">
        <w:rPr>
          <w:lang w:val="fr-FR"/>
        </w:rPr>
        <w:t>U</w:t>
      </w:r>
      <w:r w:rsidRPr="00D6741A">
        <w:rPr>
          <w:rFonts w:eastAsiaTheme="minorHAnsi"/>
          <w:lang w:val="en-US" w:eastAsia="en-US"/>
        </w:rPr>
        <w:t xml:space="preserve"> is considered in fresh fuel </w:t>
      </w:r>
      <w:r w:rsidR="00CC59A0" w:rsidRPr="00D6741A">
        <w:rPr>
          <w:rFonts w:eastAsia="Times-Roman"/>
          <w:lang w:val="en-US"/>
        </w:rPr>
        <w:t xml:space="preserve">has resulted in the conclusion that the inclusion of </w:t>
      </w:r>
      <w:r w:rsidR="00CC59A0" w:rsidRPr="00D6741A">
        <w:rPr>
          <w:rFonts w:eastAsia="Times-Roman"/>
          <w:vertAlign w:val="superscript"/>
          <w:lang w:val="en-US"/>
        </w:rPr>
        <w:t>236</w:t>
      </w:r>
      <w:r w:rsidR="00CC59A0" w:rsidRPr="00D6741A">
        <w:rPr>
          <w:rFonts w:eastAsia="Times-Roman"/>
          <w:lang w:val="en-US"/>
        </w:rPr>
        <w:t>U does not affect the clustering.</w:t>
      </w:r>
      <w:r w:rsidR="00CC59A0" w:rsidRPr="00D6741A">
        <w:rPr>
          <w:rFonts w:eastAsiaTheme="minorHAnsi"/>
          <w:lang w:val="en-US" w:eastAsia="en-US"/>
        </w:rPr>
        <w:t xml:space="preserve"> Spent fuels have</w:t>
      </w:r>
      <w:r w:rsidR="00D62258" w:rsidRPr="00D6741A">
        <w:rPr>
          <w:rFonts w:eastAsiaTheme="minorHAnsi"/>
          <w:lang w:val="en-US" w:eastAsia="en-US"/>
        </w:rPr>
        <w:t xml:space="preserve"> been resolved on the basis of U and Pu or only Pu isotopic composition.</w:t>
      </w:r>
    </w:p>
    <w:p w:rsidR="00D62258" w:rsidRPr="00D6741A" w:rsidRDefault="00D62258" w:rsidP="005C143D">
      <w:pPr>
        <w:autoSpaceDE w:val="0"/>
        <w:autoSpaceDN w:val="0"/>
        <w:adjustRightInd w:val="0"/>
        <w:ind w:firstLine="720"/>
        <w:jc w:val="both"/>
        <w:rPr>
          <w:rFonts w:eastAsiaTheme="minorHAnsi"/>
          <w:lang w:val="en-US" w:eastAsia="en-US"/>
        </w:rPr>
      </w:pPr>
    </w:p>
    <w:p w:rsidR="005B45F2" w:rsidRPr="00D6741A" w:rsidRDefault="005B45F2" w:rsidP="005C143D">
      <w:pPr>
        <w:pStyle w:val="2"/>
        <w:spacing w:before="0" w:after="0"/>
        <w:rPr>
          <w:rFonts w:ascii="Times New Roman" w:hAnsi="Times New Roman" w:cs="Times New Roman"/>
          <w:i w:val="0"/>
          <w:sz w:val="24"/>
          <w:szCs w:val="24"/>
          <w:lang w:val="en-GB"/>
        </w:rPr>
      </w:pPr>
      <w:r w:rsidRPr="00D6741A">
        <w:rPr>
          <w:rFonts w:ascii="Times New Roman" w:hAnsi="Times New Roman" w:cs="Times New Roman"/>
          <w:i w:val="0"/>
          <w:sz w:val="24"/>
          <w:szCs w:val="24"/>
          <w:lang w:val="en-GB"/>
        </w:rPr>
        <w:t>Acknowledgements</w:t>
      </w:r>
    </w:p>
    <w:p w:rsidR="005B45F2" w:rsidRPr="00D6741A" w:rsidRDefault="005B45F2" w:rsidP="006F2B76">
      <w:pPr>
        <w:pStyle w:val="a8"/>
        <w:spacing w:after="0"/>
        <w:ind w:left="0"/>
        <w:jc w:val="both"/>
        <w:rPr>
          <w:noProof/>
          <w:lang w:val="en-GB"/>
        </w:rPr>
      </w:pPr>
      <w:r w:rsidRPr="00D6741A">
        <w:rPr>
          <w:lang w:val="en-US"/>
        </w:rPr>
        <w:t xml:space="preserve">The International Atomic Energy Agency is gratefully recognized for supporting financially this work </w:t>
      </w:r>
      <w:r w:rsidRPr="00D6741A">
        <w:rPr>
          <w:noProof/>
          <w:lang w:val="en-GB"/>
        </w:rPr>
        <w:t>under a CRP contract.</w:t>
      </w:r>
    </w:p>
    <w:p w:rsidR="00D62258" w:rsidRPr="00D6741A" w:rsidRDefault="00D62258" w:rsidP="00D62258">
      <w:pPr>
        <w:autoSpaceDE w:val="0"/>
        <w:autoSpaceDN w:val="0"/>
        <w:adjustRightInd w:val="0"/>
        <w:ind w:firstLine="720"/>
        <w:jc w:val="both"/>
        <w:rPr>
          <w:rFonts w:eastAsiaTheme="minorHAnsi"/>
          <w:lang w:val="en-GB" w:eastAsia="en-US"/>
        </w:rPr>
      </w:pPr>
    </w:p>
    <w:p w:rsidR="00706AFD" w:rsidRPr="00D6741A" w:rsidRDefault="006F2C95" w:rsidP="00706AFD">
      <w:pPr>
        <w:autoSpaceDE w:val="0"/>
        <w:autoSpaceDN w:val="0"/>
        <w:adjustRightInd w:val="0"/>
        <w:ind w:left="66"/>
        <w:jc w:val="center"/>
        <w:rPr>
          <w:lang w:val="en-US"/>
        </w:rPr>
      </w:pPr>
      <w:r w:rsidRPr="00D6741A">
        <w:rPr>
          <w:b/>
          <w:lang w:val="en-GB"/>
        </w:rPr>
        <w:t>REFERENCES</w:t>
      </w:r>
    </w:p>
    <w:p w:rsidR="00706AFD" w:rsidRPr="00D6741A" w:rsidRDefault="00706AFD" w:rsidP="00F17A56">
      <w:pPr>
        <w:pStyle w:val="a7"/>
        <w:numPr>
          <w:ilvl w:val="0"/>
          <w:numId w:val="9"/>
        </w:numPr>
        <w:autoSpaceDE w:val="0"/>
        <w:autoSpaceDN w:val="0"/>
        <w:adjustRightInd w:val="0"/>
        <w:ind w:left="567" w:hanging="567"/>
        <w:jc w:val="both"/>
        <w:rPr>
          <w:lang w:val="en-US"/>
        </w:rPr>
      </w:pPr>
      <w:r w:rsidRPr="00D6741A">
        <w:rPr>
          <w:caps/>
          <w:lang w:val="en-US"/>
        </w:rPr>
        <w:t>Nicolaou</w:t>
      </w:r>
      <w:r w:rsidRPr="00D6741A">
        <w:rPr>
          <w:lang w:val="en-US"/>
        </w:rPr>
        <w:t xml:space="preserve">, G., </w:t>
      </w:r>
      <w:r w:rsidRPr="00D6741A">
        <w:rPr>
          <w:color w:val="000000"/>
          <w:lang w:val="en-US"/>
        </w:rPr>
        <w:t>Determination of the provenance of unknown irradiated nuclear fuel,</w:t>
      </w:r>
      <w:r w:rsidRPr="00D6741A">
        <w:rPr>
          <w:lang w:val="en-US"/>
        </w:rPr>
        <w:t xml:space="preserve"> J. Env. Radioact. </w:t>
      </w:r>
      <w:r w:rsidRPr="00D6741A">
        <w:rPr>
          <w:b/>
          <w:lang w:val="en-US"/>
        </w:rPr>
        <w:t>86</w:t>
      </w:r>
      <w:r w:rsidRPr="00D6741A">
        <w:rPr>
          <w:lang w:val="en-US"/>
        </w:rPr>
        <w:t xml:space="preserve"> (2006) 313.   </w:t>
      </w:r>
    </w:p>
    <w:p w:rsidR="00706AFD" w:rsidRPr="00D6741A" w:rsidRDefault="00706AFD" w:rsidP="00F17A56">
      <w:pPr>
        <w:pStyle w:val="a7"/>
        <w:numPr>
          <w:ilvl w:val="0"/>
          <w:numId w:val="9"/>
        </w:numPr>
        <w:autoSpaceDE w:val="0"/>
        <w:autoSpaceDN w:val="0"/>
        <w:adjustRightInd w:val="0"/>
        <w:ind w:left="567" w:hanging="567"/>
        <w:jc w:val="both"/>
        <w:rPr>
          <w:lang w:val="en-US"/>
        </w:rPr>
      </w:pPr>
      <w:r w:rsidRPr="00D6741A">
        <w:rPr>
          <w:caps/>
          <w:lang w:val="en-US"/>
        </w:rPr>
        <w:t>Nicolaou</w:t>
      </w:r>
      <w:r w:rsidRPr="00D6741A">
        <w:rPr>
          <w:lang w:val="en-US"/>
        </w:rPr>
        <w:t xml:space="preserve">, G., Provenance of unknown plutonium material. J. Env. Radioact. </w:t>
      </w:r>
      <w:r w:rsidRPr="00D6741A">
        <w:rPr>
          <w:b/>
          <w:lang w:val="en-US"/>
        </w:rPr>
        <w:t>99</w:t>
      </w:r>
      <w:r w:rsidRPr="00D6741A">
        <w:rPr>
          <w:lang w:val="en-US"/>
        </w:rPr>
        <w:t xml:space="preserve"> (2008) 1708. </w:t>
      </w:r>
    </w:p>
    <w:p w:rsidR="00706AFD" w:rsidRPr="00D6741A" w:rsidRDefault="00706AFD" w:rsidP="00F17A56">
      <w:pPr>
        <w:pStyle w:val="a7"/>
        <w:numPr>
          <w:ilvl w:val="0"/>
          <w:numId w:val="9"/>
        </w:numPr>
        <w:autoSpaceDE w:val="0"/>
        <w:autoSpaceDN w:val="0"/>
        <w:adjustRightInd w:val="0"/>
        <w:ind w:left="567" w:hanging="567"/>
        <w:jc w:val="both"/>
        <w:rPr>
          <w:lang w:val="en-US"/>
        </w:rPr>
      </w:pPr>
      <w:r w:rsidRPr="00D6741A">
        <w:rPr>
          <w:lang w:val="en-US"/>
        </w:rPr>
        <w:t xml:space="preserve">Smith, D.K., et al., Documentation of a model action plan to deter illicit nuclear trafficking, J. Radioanal. Nucl. Chem. </w:t>
      </w:r>
      <w:r w:rsidRPr="00D6741A">
        <w:rPr>
          <w:b/>
          <w:lang w:val="en-US"/>
        </w:rPr>
        <w:t>276</w:t>
      </w:r>
      <w:r w:rsidRPr="00D6741A">
        <w:rPr>
          <w:b/>
          <w:bCs/>
          <w:color w:val="000000"/>
          <w:lang w:val="en-US"/>
        </w:rPr>
        <w:t xml:space="preserve"> </w:t>
      </w:r>
      <w:r w:rsidRPr="00D6741A">
        <w:rPr>
          <w:bCs/>
          <w:color w:val="000000"/>
          <w:lang w:val="en-US"/>
        </w:rPr>
        <w:t>(</w:t>
      </w:r>
      <w:r w:rsidRPr="00D6741A">
        <w:rPr>
          <w:lang w:val="en-US"/>
        </w:rPr>
        <w:t>2008) 415.</w:t>
      </w:r>
    </w:p>
    <w:p w:rsidR="00706AFD" w:rsidRPr="00D6741A" w:rsidRDefault="00706AFD" w:rsidP="00F17A56">
      <w:pPr>
        <w:pStyle w:val="a7"/>
        <w:numPr>
          <w:ilvl w:val="0"/>
          <w:numId w:val="9"/>
        </w:numPr>
        <w:autoSpaceDE w:val="0"/>
        <w:autoSpaceDN w:val="0"/>
        <w:adjustRightInd w:val="0"/>
        <w:ind w:left="567" w:hanging="567"/>
        <w:jc w:val="both"/>
        <w:rPr>
          <w:lang w:val="en-US"/>
        </w:rPr>
      </w:pPr>
      <w:r w:rsidRPr="00D6741A">
        <w:rPr>
          <w:caps/>
          <w:lang w:val="en-US"/>
        </w:rPr>
        <w:t>Robel</w:t>
      </w:r>
      <w:r w:rsidRPr="00D6741A">
        <w:rPr>
          <w:lang w:val="en-US"/>
        </w:rPr>
        <w:t xml:space="preserve">, M., </w:t>
      </w:r>
      <w:r w:rsidRPr="00D6741A">
        <w:rPr>
          <w:rStyle w:val="a6"/>
          <w:b w:val="0"/>
          <w:caps/>
          <w:lang w:val="en-US"/>
        </w:rPr>
        <w:t>Kristo</w:t>
      </w:r>
      <w:r w:rsidRPr="00D6741A">
        <w:rPr>
          <w:rStyle w:val="a6"/>
          <w:b w:val="0"/>
          <w:lang w:val="en-US"/>
        </w:rPr>
        <w:t>,</w:t>
      </w:r>
      <w:r w:rsidRPr="00D6741A">
        <w:rPr>
          <w:b/>
          <w:lang w:val="en-US"/>
        </w:rPr>
        <w:t xml:space="preserve"> </w:t>
      </w:r>
      <w:r w:rsidRPr="00D6741A">
        <w:rPr>
          <w:rStyle w:val="a6"/>
          <w:b w:val="0"/>
          <w:lang w:val="en-US"/>
        </w:rPr>
        <w:t>M.J.,</w:t>
      </w:r>
      <w:r w:rsidRPr="00D6741A">
        <w:rPr>
          <w:rStyle w:val="a6"/>
          <w:lang w:val="en-US"/>
        </w:rPr>
        <w:t xml:space="preserve"> </w:t>
      </w:r>
      <w:r w:rsidRPr="00D6741A">
        <w:rPr>
          <w:lang w:val="en-US"/>
        </w:rPr>
        <w:t xml:space="preserve">Discrimination of source reactor type by multivariate statistical analysis of uranium and plutonium isotopic concentrations in unknown irradiated nuclear fuel material, J. Env. Radioact. </w:t>
      </w:r>
      <w:r w:rsidRPr="00D6741A">
        <w:rPr>
          <w:rStyle w:val="a6"/>
          <w:lang w:val="en-US"/>
        </w:rPr>
        <w:t>99</w:t>
      </w:r>
      <w:r w:rsidRPr="00D6741A">
        <w:rPr>
          <w:rStyle w:val="a6"/>
          <w:b w:val="0"/>
          <w:lang w:val="en-US"/>
        </w:rPr>
        <w:t xml:space="preserve"> (2008) </w:t>
      </w:r>
      <w:r w:rsidRPr="00D6741A">
        <w:rPr>
          <w:lang w:val="en-US"/>
        </w:rPr>
        <w:t>1789.</w:t>
      </w:r>
    </w:p>
    <w:p w:rsidR="009939D2" w:rsidRPr="00D6741A" w:rsidRDefault="00706AFD" w:rsidP="00F17A56">
      <w:pPr>
        <w:pStyle w:val="a7"/>
        <w:numPr>
          <w:ilvl w:val="0"/>
          <w:numId w:val="9"/>
        </w:numPr>
        <w:autoSpaceDE w:val="0"/>
        <w:autoSpaceDN w:val="0"/>
        <w:adjustRightInd w:val="0"/>
        <w:ind w:left="567" w:hanging="567"/>
        <w:jc w:val="both"/>
        <w:rPr>
          <w:lang w:val="en-US"/>
        </w:rPr>
      </w:pPr>
      <w:r w:rsidRPr="00D6741A">
        <w:rPr>
          <w:caps/>
          <w:lang w:val="en-US"/>
        </w:rPr>
        <w:t>Kristo, M. J., Tumey, S. J.,</w:t>
      </w:r>
      <w:r w:rsidRPr="00D6741A">
        <w:rPr>
          <w:lang w:val="en-US"/>
        </w:rPr>
        <w:t xml:space="preserve"> </w:t>
      </w:r>
      <w:r w:rsidR="004958C4" w:rsidRPr="00D6741A">
        <w:rPr>
          <w:lang w:val="en-US"/>
        </w:rPr>
        <w:t xml:space="preserve">The state of nuclear forensics, </w:t>
      </w:r>
      <w:r w:rsidRPr="00D6741A">
        <w:rPr>
          <w:lang w:val="en-US"/>
        </w:rPr>
        <w:t xml:space="preserve"> Nucl. Instr</w:t>
      </w:r>
      <w:r w:rsidR="004958C4" w:rsidRPr="00D6741A">
        <w:rPr>
          <w:lang w:val="en-US"/>
        </w:rPr>
        <w:t xml:space="preserve">. Meth. Phys. Res. </w:t>
      </w:r>
      <w:r w:rsidR="004958C4" w:rsidRPr="00D6741A">
        <w:rPr>
          <w:b/>
          <w:lang w:val="en-US"/>
        </w:rPr>
        <w:t>294</w:t>
      </w:r>
      <w:r w:rsidR="004958C4" w:rsidRPr="00D6741A">
        <w:rPr>
          <w:lang w:val="en-US"/>
        </w:rPr>
        <w:t xml:space="preserve"> (2013) 656.</w:t>
      </w:r>
    </w:p>
    <w:p w:rsidR="009939D2" w:rsidRPr="00D6741A" w:rsidRDefault="00706AFD" w:rsidP="00F17A56">
      <w:pPr>
        <w:pStyle w:val="a7"/>
        <w:numPr>
          <w:ilvl w:val="0"/>
          <w:numId w:val="9"/>
        </w:numPr>
        <w:autoSpaceDE w:val="0"/>
        <w:autoSpaceDN w:val="0"/>
        <w:adjustRightInd w:val="0"/>
        <w:ind w:left="567" w:hanging="567"/>
        <w:jc w:val="both"/>
        <w:rPr>
          <w:lang w:val="en-US"/>
        </w:rPr>
      </w:pPr>
      <w:r w:rsidRPr="00D6741A">
        <w:rPr>
          <w:caps/>
          <w:lang w:val="en-US"/>
        </w:rPr>
        <w:t>Fedchenko</w:t>
      </w:r>
      <w:r w:rsidRPr="00D6741A">
        <w:rPr>
          <w:lang w:val="en-US"/>
        </w:rPr>
        <w:t xml:space="preserve">, V., </w:t>
      </w:r>
      <w:r w:rsidRPr="00D6741A">
        <w:rPr>
          <w:rStyle w:val="doctitle"/>
          <w:lang w:val="en-US"/>
        </w:rPr>
        <w:t>The Role of Nuclear Forensics in Nuclear Security</w:t>
      </w:r>
      <w:r w:rsidR="004958C4" w:rsidRPr="00D6741A">
        <w:rPr>
          <w:rStyle w:val="doctitle"/>
          <w:lang w:val="en-US"/>
        </w:rPr>
        <w:t>,</w:t>
      </w:r>
      <w:r w:rsidRPr="00D6741A">
        <w:rPr>
          <w:rStyle w:val="doctitle"/>
          <w:lang w:val="en-US"/>
        </w:rPr>
        <w:t xml:space="preserve">  </w:t>
      </w:r>
      <w:r w:rsidRPr="00D6741A">
        <w:rPr>
          <w:lang w:val="en-US"/>
        </w:rPr>
        <w:t xml:space="preserve">Strategic Analysis </w:t>
      </w:r>
      <w:r w:rsidRPr="00D6741A">
        <w:rPr>
          <w:b/>
          <w:lang w:val="en-US"/>
        </w:rPr>
        <w:t>38</w:t>
      </w:r>
      <w:r w:rsidR="004958C4" w:rsidRPr="00D6741A">
        <w:rPr>
          <w:lang w:val="en-US"/>
        </w:rPr>
        <w:t xml:space="preserve"> (2014) 230</w:t>
      </w:r>
      <w:r w:rsidRPr="00D6741A">
        <w:rPr>
          <w:lang w:val="en-US"/>
        </w:rPr>
        <w:t>.</w:t>
      </w:r>
      <w:r w:rsidR="009939D2" w:rsidRPr="00D6741A">
        <w:rPr>
          <w:lang w:val="en-US"/>
        </w:rPr>
        <w:t xml:space="preserve"> </w:t>
      </w:r>
    </w:p>
    <w:p w:rsidR="009939D2" w:rsidRPr="00D6741A" w:rsidRDefault="009939D2" w:rsidP="00F17A56">
      <w:pPr>
        <w:pStyle w:val="a7"/>
        <w:numPr>
          <w:ilvl w:val="0"/>
          <w:numId w:val="9"/>
        </w:numPr>
        <w:autoSpaceDE w:val="0"/>
        <w:autoSpaceDN w:val="0"/>
        <w:adjustRightInd w:val="0"/>
        <w:ind w:left="567" w:hanging="567"/>
        <w:jc w:val="both"/>
        <w:rPr>
          <w:bCs/>
          <w:lang w:val="en-US"/>
        </w:rPr>
      </w:pPr>
      <w:r w:rsidRPr="00D6741A">
        <w:rPr>
          <w:caps/>
          <w:lang w:val="en-GB"/>
        </w:rPr>
        <w:t>Croff</w:t>
      </w:r>
      <w:r w:rsidRPr="00D6741A">
        <w:rPr>
          <w:lang w:val="en-GB"/>
        </w:rPr>
        <w:t xml:space="preserve">, A. G., ORIGEN2: A versatile computer code for calculating the nuclide compositions and characteristics of nuclear materials, Nucl. Technol. </w:t>
      </w:r>
      <w:r w:rsidRPr="00D6741A">
        <w:rPr>
          <w:b/>
          <w:lang w:val="en-GB"/>
        </w:rPr>
        <w:t>62</w:t>
      </w:r>
      <w:r w:rsidRPr="00D6741A">
        <w:rPr>
          <w:lang w:val="en-GB"/>
        </w:rPr>
        <w:t xml:space="preserve"> (1983) 335.</w:t>
      </w:r>
    </w:p>
    <w:p w:rsidR="00D71D11" w:rsidRPr="008D2418" w:rsidRDefault="00D71D11" w:rsidP="00D62258">
      <w:pPr>
        <w:widowControl w:val="0"/>
        <w:autoSpaceDE w:val="0"/>
        <w:autoSpaceDN w:val="0"/>
        <w:adjustRightInd w:val="0"/>
        <w:spacing w:line="201" w:lineRule="atLeast"/>
        <w:rPr>
          <w:lang w:val="en-GB"/>
        </w:rPr>
      </w:pPr>
    </w:p>
    <w:sectPr w:rsidR="00D71D11" w:rsidRPr="008D2418" w:rsidSect="005C143D">
      <w:headerReference w:type="default" r:id="rId14"/>
      <w:footerReference w:type="even" r:id="rId15"/>
      <w:footerReference w:type="default" r:id="rId16"/>
      <w:pgSz w:w="11907" w:h="16840" w:code="9"/>
      <w:pgMar w:top="1134" w:right="1418" w:bottom="1531"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EE" w:rsidRDefault="003C3AEE" w:rsidP="00D80BDD">
      <w:r>
        <w:separator/>
      </w:r>
    </w:p>
  </w:endnote>
  <w:endnote w:type="continuationSeparator" w:id="0">
    <w:p w:rsidR="003C3AEE" w:rsidRDefault="003C3AEE" w:rsidP="00D80B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Times-Roman">
    <w:altName w:val="Arial Unicode MS"/>
    <w:charset w:val="80"/>
    <w:family w:val="roman"/>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427198"/>
      <w:docPartObj>
        <w:docPartGallery w:val="Page Numbers (Bottom of Page)"/>
        <w:docPartUnique/>
      </w:docPartObj>
    </w:sdtPr>
    <w:sdtContent>
      <w:p w:rsidR="005C143D" w:rsidRDefault="005C143D" w:rsidP="005C143D">
        <w:pPr>
          <w:pStyle w:val="ab"/>
        </w:pPr>
        <w:fldSimple w:instr=" PAGE   \* MERGEFORMAT ">
          <w:r w:rsidR="00BC2910">
            <w:rPr>
              <w:noProof/>
            </w:rPr>
            <w:t>4</w:t>
          </w:r>
        </w:fldSimple>
      </w:p>
    </w:sdtContent>
  </w:sdt>
  <w:p w:rsidR="005C143D" w:rsidRDefault="005C143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427194"/>
      <w:docPartObj>
        <w:docPartGallery w:val="Page Numbers (Bottom of Page)"/>
        <w:docPartUnique/>
      </w:docPartObj>
    </w:sdtPr>
    <w:sdtContent>
      <w:p w:rsidR="005C143D" w:rsidRDefault="005C143D">
        <w:pPr>
          <w:pStyle w:val="ab"/>
          <w:jc w:val="right"/>
        </w:pPr>
        <w:fldSimple w:instr=" PAGE   \* MERGEFORMAT ">
          <w:r w:rsidR="00BC2910">
            <w:rPr>
              <w:noProof/>
            </w:rPr>
            <w:t>3</w:t>
          </w:r>
        </w:fldSimple>
      </w:p>
    </w:sdtContent>
  </w:sdt>
  <w:p w:rsidR="00D80BDD" w:rsidRDefault="00D80B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EE" w:rsidRDefault="003C3AEE" w:rsidP="00D80BDD">
      <w:r>
        <w:separator/>
      </w:r>
    </w:p>
  </w:footnote>
  <w:footnote w:type="continuationSeparator" w:id="0">
    <w:p w:rsidR="003C3AEE" w:rsidRDefault="003C3AEE" w:rsidP="00D80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3D" w:rsidRDefault="005C143D">
    <w:pPr>
      <w:pStyle w:val="aa"/>
      <w:jc w:val="right"/>
    </w:pPr>
  </w:p>
  <w:p w:rsidR="005C143D" w:rsidRDefault="005C14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196"/>
    <w:multiLevelType w:val="hybridMultilevel"/>
    <w:tmpl w:val="E74E53A0"/>
    <w:lvl w:ilvl="0" w:tplc="425C552C">
      <w:start w:val="1"/>
      <w:numFmt w:val="lowerLetter"/>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nsid w:val="12991FB3"/>
    <w:multiLevelType w:val="hybridMultilevel"/>
    <w:tmpl w:val="8DBA95E2"/>
    <w:lvl w:ilvl="0" w:tplc="0408000F">
      <w:start w:val="1"/>
      <w:numFmt w:val="decimal"/>
      <w:lvlText w:val="%1."/>
      <w:lvlJc w:val="left"/>
      <w:pPr>
        <w:tabs>
          <w:tab w:val="num" w:pos="2160"/>
        </w:tabs>
        <w:ind w:left="2160" w:hanging="360"/>
      </w:pPr>
    </w:lvl>
    <w:lvl w:ilvl="1" w:tplc="04080019">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2">
    <w:nsid w:val="180E7D6A"/>
    <w:multiLevelType w:val="hybridMultilevel"/>
    <w:tmpl w:val="10DE579C"/>
    <w:lvl w:ilvl="0" w:tplc="32F43F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1F61B1"/>
    <w:multiLevelType w:val="hybridMultilevel"/>
    <w:tmpl w:val="FD14894E"/>
    <w:lvl w:ilvl="0" w:tplc="72AC90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E976754"/>
    <w:multiLevelType w:val="hybridMultilevel"/>
    <w:tmpl w:val="1C286964"/>
    <w:lvl w:ilvl="0" w:tplc="B658C542">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
    <w:nsid w:val="633A61B7"/>
    <w:multiLevelType w:val="hybridMultilevel"/>
    <w:tmpl w:val="A3F0DD96"/>
    <w:lvl w:ilvl="0" w:tplc="0408000F">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
    <w:nsid w:val="74EB30E6"/>
    <w:multiLevelType w:val="hybridMultilevel"/>
    <w:tmpl w:val="33547D64"/>
    <w:lvl w:ilvl="0" w:tplc="8102A06E">
      <w:start w:val="1"/>
      <w:numFmt w:val="lowerLetter"/>
      <w:lvlText w:val="(%1)"/>
      <w:lvlJc w:val="left"/>
      <w:pPr>
        <w:ind w:left="2476" w:hanging="360"/>
      </w:pPr>
      <w:rPr>
        <w:rFonts w:hint="default"/>
      </w:rPr>
    </w:lvl>
    <w:lvl w:ilvl="1" w:tplc="04080019" w:tentative="1">
      <w:start w:val="1"/>
      <w:numFmt w:val="lowerLetter"/>
      <w:lvlText w:val="%2."/>
      <w:lvlJc w:val="left"/>
      <w:pPr>
        <w:ind w:left="3196" w:hanging="360"/>
      </w:pPr>
    </w:lvl>
    <w:lvl w:ilvl="2" w:tplc="0408001B" w:tentative="1">
      <w:start w:val="1"/>
      <w:numFmt w:val="lowerRoman"/>
      <w:lvlText w:val="%3."/>
      <w:lvlJc w:val="right"/>
      <w:pPr>
        <w:ind w:left="3916" w:hanging="180"/>
      </w:pPr>
    </w:lvl>
    <w:lvl w:ilvl="3" w:tplc="0408000F" w:tentative="1">
      <w:start w:val="1"/>
      <w:numFmt w:val="decimal"/>
      <w:lvlText w:val="%4."/>
      <w:lvlJc w:val="left"/>
      <w:pPr>
        <w:ind w:left="4636" w:hanging="360"/>
      </w:pPr>
    </w:lvl>
    <w:lvl w:ilvl="4" w:tplc="04080019" w:tentative="1">
      <w:start w:val="1"/>
      <w:numFmt w:val="lowerLetter"/>
      <w:lvlText w:val="%5."/>
      <w:lvlJc w:val="left"/>
      <w:pPr>
        <w:ind w:left="5356" w:hanging="360"/>
      </w:pPr>
    </w:lvl>
    <w:lvl w:ilvl="5" w:tplc="0408001B" w:tentative="1">
      <w:start w:val="1"/>
      <w:numFmt w:val="lowerRoman"/>
      <w:lvlText w:val="%6."/>
      <w:lvlJc w:val="right"/>
      <w:pPr>
        <w:ind w:left="6076" w:hanging="180"/>
      </w:pPr>
    </w:lvl>
    <w:lvl w:ilvl="6" w:tplc="0408000F" w:tentative="1">
      <w:start w:val="1"/>
      <w:numFmt w:val="decimal"/>
      <w:lvlText w:val="%7."/>
      <w:lvlJc w:val="left"/>
      <w:pPr>
        <w:ind w:left="6796" w:hanging="360"/>
      </w:pPr>
    </w:lvl>
    <w:lvl w:ilvl="7" w:tplc="04080019" w:tentative="1">
      <w:start w:val="1"/>
      <w:numFmt w:val="lowerLetter"/>
      <w:lvlText w:val="%8."/>
      <w:lvlJc w:val="left"/>
      <w:pPr>
        <w:ind w:left="7516" w:hanging="360"/>
      </w:pPr>
    </w:lvl>
    <w:lvl w:ilvl="8" w:tplc="0408001B" w:tentative="1">
      <w:start w:val="1"/>
      <w:numFmt w:val="lowerRoman"/>
      <w:lvlText w:val="%9."/>
      <w:lvlJc w:val="right"/>
      <w:pPr>
        <w:ind w:left="8236" w:hanging="180"/>
      </w:pPr>
    </w:lvl>
  </w:abstractNum>
  <w:abstractNum w:abstractNumId="7">
    <w:nsid w:val="79BF714F"/>
    <w:multiLevelType w:val="hybridMultilevel"/>
    <w:tmpl w:val="9B1023CA"/>
    <w:lvl w:ilvl="0" w:tplc="253E2382">
      <w:start w:val="1"/>
      <w:numFmt w:val="lowerLetter"/>
      <w:lvlText w:val="(%1)"/>
      <w:lvlJc w:val="left"/>
      <w:pPr>
        <w:ind w:left="2685" w:hanging="360"/>
      </w:pPr>
      <w:rPr>
        <w:rFonts w:hint="default"/>
      </w:rPr>
    </w:lvl>
    <w:lvl w:ilvl="1" w:tplc="04080019" w:tentative="1">
      <w:start w:val="1"/>
      <w:numFmt w:val="lowerLetter"/>
      <w:lvlText w:val="%2."/>
      <w:lvlJc w:val="left"/>
      <w:pPr>
        <w:ind w:left="3405" w:hanging="360"/>
      </w:pPr>
    </w:lvl>
    <w:lvl w:ilvl="2" w:tplc="0408001B" w:tentative="1">
      <w:start w:val="1"/>
      <w:numFmt w:val="lowerRoman"/>
      <w:lvlText w:val="%3."/>
      <w:lvlJc w:val="right"/>
      <w:pPr>
        <w:ind w:left="4125" w:hanging="180"/>
      </w:pPr>
    </w:lvl>
    <w:lvl w:ilvl="3" w:tplc="0408000F" w:tentative="1">
      <w:start w:val="1"/>
      <w:numFmt w:val="decimal"/>
      <w:lvlText w:val="%4."/>
      <w:lvlJc w:val="left"/>
      <w:pPr>
        <w:ind w:left="4845" w:hanging="360"/>
      </w:pPr>
    </w:lvl>
    <w:lvl w:ilvl="4" w:tplc="04080019" w:tentative="1">
      <w:start w:val="1"/>
      <w:numFmt w:val="lowerLetter"/>
      <w:lvlText w:val="%5."/>
      <w:lvlJc w:val="left"/>
      <w:pPr>
        <w:ind w:left="5565" w:hanging="360"/>
      </w:pPr>
    </w:lvl>
    <w:lvl w:ilvl="5" w:tplc="0408001B" w:tentative="1">
      <w:start w:val="1"/>
      <w:numFmt w:val="lowerRoman"/>
      <w:lvlText w:val="%6."/>
      <w:lvlJc w:val="right"/>
      <w:pPr>
        <w:ind w:left="6285" w:hanging="180"/>
      </w:pPr>
    </w:lvl>
    <w:lvl w:ilvl="6" w:tplc="0408000F" w:tentative="1">
      <w:start w:val="1"/>
      <w:numFmt w:val="decimal"/>
      <w:lvlText w:val="%7."/>
      <w:lvlJc w:val="left"/>
      <w:pPr>
        <w:ind w:left="7005" w:hanging="360"/>
      </w:pPr>
    </w:lvl>
    <w:lvl w:ilvl="7" w:tplc="04080019" w:tentative="1">
      <w:start w:val="1"/>
      <w:numFmt w:val="lowerLetter"/>
      <w:lvlText w:val="%8."/>
      <w:lvlJc w:val="left"/>
      <w:pPr>
        <w:ind w:left="7725" w:hanging="360"/>
      </w:pPr>
    </w:lvl>
    <w:lvl w:ilvl="8" w:tplc="0408001B" w:tentative="1">
      <w:start w:val="1"/>
      <w:numFmt w:val="lowerRoman"/>
      <w:lvlText w:val="%9."/>
      <w:lvlJc w:val="right"/>
      <w:pPr>
        <w:ind w:left="8445" w:hanging="180"/>
      </w:pPr>
    </w:lvl>
  </w:abstractNum>
  <w:abstractNum w:abstractNumId="8">
    <w:nsid w:val="7C9A6F65"/>
    <w:multiLevelType w:val="hybridMultilevel"/>
    <w:tmpl w:val="A00A21FA"/>
    <w:lvl w:ilvl="0" w:tplc="B03C9208">
      <w:start w:val="1"/>
      <w:numFmt w:val="lowerLetter"/>
      <w:lvlText w:val="(%1)"/>
      <w:lvlJc w:val="left"/>
      <w:pPr>
        <w:ind w:left="2656" w:hanging="360"/>
      </w:pPr>
      <w:rPr>
        <w:rFonts w:hint="default"/>
      </w:rPr>
    </w:lvl>
    <w:lvl w:ilvl="1" w:tplc="04080019" w:tentative="1">
      <w:start w:val="1"/>
      <w:numFmt w:val="lowerLetter"/>
      <w:lvlText w:val="%2."/>
      <w:lvlJc w:val="left"/>
      <w:pPr>
        <w:ind w:left="3376" w:hanging="360"/>
      </w:pPr>
    </w:lvl>
    <w:lvl w:ilvl="2" w:tplc="0408001B" w:tentative="1">
      <w:start w:val="1"/>
      <w:numFmt w:val="lowerRoman"/>
      <w:lvlText w:val="%3."/>
      <w:lvlJc w:val="right"/>
      <w:pPr>
        <w:ind w:left="4096" w:hanging="180"/>
      </w:pPr>
    </w:lvl>
    <w:lvl w:ilvl="3" w:tplc="0408000F" w:tentative="1">
      <w:start w:val="1"/>
      <w:numFmt w:val="decimal"/>
      <w:lvlText w:val="%4."/>
      <w:lvlJc w:val="left"/>
      <w:pPr>
        <w:ind w:left="4816" w:hanging="360"/>
      </w:pPr>
    </w:lvl>
    <w:lvl w:ilvl="4" w:tplc="04080019" w:tentative="1">
      <w:start w:val="1"/>
      <w:numFmt w:val="lowerLetter"/>
      <w:lvlText w:val="%5."/>
      <w:lvlJc w:val="left"/>
      <w:pPr>
        <w:ind w:left="5536" w:hanging="360"/>
      </w:pPr>
    </w:lvl>
    <w:lvl w:ilvl="5" w:tplc="0408001B" w:tentative="1">
      <w:start w:val="1"/>
      <w:numFmt w:val="lowerRoman"/>
      <w:lvlText w:val="%6."/>
      <w:lvlJc w:val="right"/>
      <w:pPr>
        <w:ind w:left="6256" w:hanging="180"/>
      </w:pPr>
    </w:lvl>
    <w:lvl w:ilvl="6" w:tplc="0408000F" w:tentative="1">
      <w:start w:val="1"/>
      <w:numFmt w:val="decimal"/>
      <w:lvlText w:val="%7."/>
      <w:lvlJc w:val="left"/>
      <w:pPr>
        <w:ind w:left="6976" w:hanging="360"/>
      </w:pPr>
    </w:lvl>
    <w:lvl w:ilvl="7" w:tplc="04080019" w:tentative="1">
      <w:start w:val="1"/>
      <w:numFmt w:val="lowerLetter"/>
      <w:lvlText w:val="%8."/>
      <w:lvlJc w:val="left"/>
      <w:pPr>
        <w:ind w:left="7696" w:hanging="360"/>
      </w:pPr>
    </w:lvl>
    <w:lvl w:ilvl="8" w:tplc="0408001B" w:tentative="1">
      <w:start w:val="1"/>
      <w:numFmt w:val="lowerRoman"/>
      <w:lvlText w:val="%9."/>
      <w:lvlJc w:val="right"/>
      <w:pPr>
        <w:ind w:left="8416" w:hanging="180"/>
      </w:pPr>
    </w:lvl>
  </w:abstractNum>
  <w:num w:numId="1">
    <w:abstractNumId w:val="1"/>
  </w:num>
  <w:num w:numId="2">
    <w:abstractNumId w:val="0"/>
  </w:num>
  <w:num w:numId="3">
    <w:abstractNumId w:val="7"/>
  </w:num>
  <w:num w:numId="4">
    <w:abstractNumId w:val="8"/>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rsids>
    <w:rsidRoot w:val="00D041C5"/>
    <w:rsid w:val="000571DA"/>
    <w:rsid w:val="00087BC3"/>
    <w:rsid w:val="000941DF"/>
    <w:rsid w:val="0009742F"/>
    <w:rsid w:val="00203EE0"/>
    <w:rsid w:val="00270035"/>
    <w:rsid w:val="00271B70"/>
    <w:rsid w:val="002D4A42"/>
    <w:rsid w:val="002F3D84"/>
    <w:rsid w:val="00322704"/>
    <w:rsid w:val="00351678"/>
    <w:rsid w:val="003C3AEE"/>
    <w:rsid w:val="003D7B8A"/>
    <w:rsid w:val="004465E8"/>
    <w:rsid w:val="004958C4"/>
    <w:rsid w:val="004B4B94"/>
    <w:rsid w:val="004B5122"/>
    <w:rsid w:val="004C771B"/>
    <w:rsid w:val="004D5824"/>
    <w:rsid w:val="005168E7"/>
    <w:rsid w:val="005376BD"/>
    <w:rsid w:val="005B45F2"/>
    <w:rsid w:val="005C143D"/>
    <w:rsid w:val="006A1496"/>
    <w:rsid w:val="006F2B76"/>
    <w:rsid w:val="006F2C95"/>
    <w:rsid w:val="00706AFD"/>
    <w:rsid w:val="007820F8"/>
    <w:rsid w:val="00787906"/>
    <w:rsid w:val="00793B2D"/>
    <w:rsid w:val="007A3B64"/>
    <w:rsid w:val="007C27F4"/>
    <w:rsid w:val="007F06AD"/>
    <w:rsid w:val="00804F58"/>
    <w:rsid w:val="00815F5E"/>
    <w:rsid w:val="00867510"/>
    <w:rsid w:val="00891C25"/>
    <w:rsid w:val="008A173C"/>
    <w:rsid w:val="008C4522"/>
    <w:rsid w:val="008C4A01"/>
    <w:rsid w:val="008D2418"/>
    <w:rsid w:val="0091004E"/>
    <w:rsid w:val="0094337D"/>
    <w:rsid w:val="009939D2"/>
    <w:rsid w:val="009A2511"/>
    <w:rsid w:val="009A387A"/>
    <w:rsid w:val="009C2689"/>
    <w:rsid w:val="009C34FA"/>
    <w:rsid w:val="009C6331"/>
    <w:rsid w:val="00A33905"/>
    <w:rsid w:val="00A45968"/>
    <w:rsid w:val="00A6730E"/>
    <w:rsid w:val="00B15F4A"/>
    <w:rsid w:val="00B274A0"/>
    <w:rsid w:val="00B43881"/>
    <w:rsid w:val="00B53C2A"/>
    <w:rsid w:val="00B55094"/>
    <w:rsid w:val="00B844F9"/>
    <w:rsid w:val="00BB2C82"/>
    <w:rsid w:val="00BC2910"/>
    <w:rsid w:val="00C16F00"/>
    <w:rsid w:val="00C36EC9"/>
    <w:rsid w:val="00C52B53"/>
    <w:rsid w:val="00CC59A0"/>
    <w:rsid w:val="00D041C5"/>
    <w:rsid w:val="00D21B4B"/>
    <w:rsid w:val="00D62258"/>
    <w:rsid w:val="00D6741A"/>
    <w:rsid w:val="00D675BD"/>
    <w:rsid w:val="00D71D11"/>
    <w:rsid w:val="00D74A6E"/>
    <w:rsid w:val="00D80BDD"/>
    <w:rsid w:val="00D847C3"/>
    <w:rsid w:val="00DC6C32"/>
    <w:rsid w:val="00E14FC9"/>
    <w:rsid w:val="00E646B3"/>
    <w:rsid w:val="00E8307C"/>
    <w:rsid w:val="00EB6589"/>
    <w:rsid w:val="00EB761C"/>
    <w:rsid w:val="00F123F4"/>
    <w:rsid w:val="00F17A56"/>
    <w:rsid w:val="00F223AB"/>
    <w:rsid w:val="00F842E2"/>
    <w:rsid w:val="00F92B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689"/>
    <w:rPr>
      <w:sz w:val="24"/>
      <w:szCs w:val="24"/>
    </w:rPr>
  </w:style>
  <w:style w:type="paragraph" w:styleId="2">
    <w:name w:val="heading 2"/>
    <w:basedOn w:val="a"/>
    <w:next w:val="a"/>
    <w:link w:val="2Char"/>
    <w:qFormat/>
    <w:rsid w:val="007A3B64"/>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7A3B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rsid w:val="00B53C2A"/>
    <w:pPr>
      <w:spacing w:line="360" w:lineRule="auto"/>
      <w:jc w:val="center"/>
    </w:pPr>
    <w:rPr>
      <w:szCs w:val="20"/>
      <w:lang w:val="en-US"/>
    </w:rPr>
  </w:style>
  <w:style w:type="character" w:customStyle="1" w:styleId="3Char0">
    <w:name w:val="Σώμα κείμενου 3 Char"/>
    <w:basedOn w:val="a0"/>
    <w:link w:val="30"/>
    <w:rsid w:val="00B53C2A"/>
    <w:rPr>
      <w:sz w:val="24"/>
      <w:lang w:val="en-US" w:eastAsia="el-GR" w:bidi="ar-SA"/>
    </w:rPr>
  </w:style>
  <w:style w:type="paragraph" w:styleId="20">
    <w:name w:val="Body Text 2"/>
    <w:basedOn w:val="a"/>
    <w:rsid w:val="00B53C2A"/>
    <w:pPr>
      <w:spacing w:after="120" w:line="480" w:lineRule="auto"/>
    </w:pPr>
  </w:style>
  <w:style w:type="paragraph" w:styleId="a3">
    <w:name w:val="Body Text"/>
    <w:basedOn w:val="a"/>
    <w:link w:val="Char"/>
    <w:rsid w:val="00B53C2A"/>
    <w:pPr>
      <w:spacing w:after="120"/>
    </w:pPr>
    <w:rPr>
      <w:lang w:val="en-GB"/>
    </w:rPr>
  </w:style>
  <w:style w:type="paragraph" w:customStyle="1" w:styleId="IAEAAuthors">
    <w:name w:val="IAEA Authors"/>
    <w:basedOn w:val="a3"/>
    <w:next w:val="a3"/>
    <w:rsid w:val="00F842E2"/>
    <w:pPr>
      <w:overflowPunct w:val="0"/>
      <w:autoSpaceDE w:val="0"/>
      <w:autoSpaceDN w:val="0"/>
      <w:adjustRightInd w:val="0"/>
      <w:spacing w:after="240"/>
      <w:jc w:val="both"/>
      <w:textAlignment w:val="baseline"/>
    </w:pPr>
    <w:rPr>
      <w:b/>
      <w:noProof/>
      <w:szCs w:val="20"/>
      <w:lang w:eastAsia="en-US"/>
    </w:rPr>
  </w:style>
  <w:style w:type="paragraph" w:styleId="a4">
    <w:name w:val="Balloon Text"/>
    <w:basedOn w:val="a"/>
    <w:link w:val="Char0"/>
    <w:rsid w:val="00B844F9"/>
    <w:rPr>
      <w:rFonts w:ascii="Tahoma" w:hAnsi="Tahoma" w:cs="Tahoma"/>
      <w:sz w:val="16"/>
      <w:szCs w:val="16"/>
    </w:rPr>
  </w:style>
  <w:style w:type="character" w:customStyle="1" w:styleId="Char0">
    <w:name w:val="Κείμενο πλαισίου Char"/>
    <w:basedOn w:val="a0"/>
    <w:link w:val="a4"/>
    <w:rsid w:val="00B844F9"/>
    <w:rPr>
      <w:rFonts w:ascii="Tahoma" w:hAnsi="Tahoma" w:cs="Tahoma"/>
      <w:sz w:val="16"/>
      <w:szCs w:val="16"/>
    </w:rPr>
  </w:style>
  <w:style w:type="character" w:customStyle="1" w:styleId="2Char">
    <w:name w:val="Επικεφαλίδα 2 Char"/>
    <w:basedOn w:val="a0"/>
    <w:link w:val="2"/>
    <w:rsid w:val="007A3B64"/>
    <w:rPr>
      <w:rFonts w:ascii="Arial" w:hAnsi="Arial" w:cs="Arial"/>
      <w:b/>
      <w:bCs/>
      <w:i/>
      <w:iCs/>
      <w:sz w:val="28"/>
      <w:szCs w:val="28"/>
    </w:rPr>
  </w:style>
  <w:style w:type="character" w:customStyle="1" w:styleId="3Char">
    <w:name w:val="Επικεφαλίδα 3 Char"/>
    <w:basedOn w:val="a0"/>
    <w:link w:val="3"/>
    <w:rsid w:val="007A3B64"/>
    <w:rPr>
      <w:rFonts w:ascii="Arial" w:hAnsi="Arial" w:cs="Arial"/>
      <w:b/>
      <w:bCs/>
      <w:sz w:val="26"/>
      <w:szCs w:val="26"/>
    </w:rPr>
  </w:style>
  <w:style w:type="character" w:customStyle="1" w:styleId="Char">
    <w:name w:val="Σώμα κειμένου Char"/>
    <w:basedOn w:val="a0"/>
    <w:link w:val="a3"/>
    <w:rsid w:val="007A3B64"/>
    <w:rPr>
      <w:sz w:val="24"/>
      <w:szCs w:val="24"/>
      <w:lang w:val="en-GB"/>
    </w:rPr>
  </w:style>
  <w:style w:type="character" w:styleId="a5">
    <w:name w:val="Emphasis"/>
    <w:basedOn w:val="a0"/>
    <w:uiPriority w:val="20"/>
    <w:qFormat/>
    <w:rsid w:val="00EB761C"/>
    <w:rPr>
      <w:i/>
      <w:iCs/>
    </w:rPr>
  </w:style>
  <w:style w:type="character" w:customStyle="1" w:styleId="bold">
    <w:name w:val="bold"/>
    <w:basedOn w:val="a0"/>
    <w:rsid w:val="00B15F4A"/>
  </w:style>
  <w:style w:type="character" w:styleId="a6">
    <w:name w:val="Strong"/>
    <w:basedOn w:val="a0"/>
    <w:uiPriority w:val="22"/>
    <w:qFormat/>
    <w:rsid w:val="009A2511"/>
    <w:rPr>
      <w:b/>
      <w:bCs/>
    </w:rPr>
  </w:style>
  <w:style w:type="character" w:customStyle="1" w:styleId="doctitle">
    <w:name w:val="doctitle"/>
    <w:basedOn w:val="a0"/>
    <w:rsid w:val="009A2511"/>
  </w:style>
  <w:style w:type="paragraph" w:styleId="a7">
    <w:name w:val="List Paragraph"/>
    <w:basedOn w:val="a"/>
    <w:uiPriority w:val="34"/>
    <w:qFormat/>
    <w:rsid w:val="00793B2D"/>
    <w:pPr>
      <w:ind w:left="720"/>
      <w:contextualSpacing/>
    </w:pPr>
  </w:style>
  <w:style w:type="paragraph" w:styleId="a8">
    <w:name w:val="Body Text Indent"/>
    <w:basedOn w:val="a"/>
    <w:link w:val="Char1"/>
    <w:rsid w:val="005B45F2"/>
    <w:pPr>
      <w:spacing w:after="120"/>
      <w:ind w:left="283"/>
    </w:pPr>
  </w:style>
  <w:style w:type="character" w:customStyle="1" w:styleId="Char1">
    <w:name w:val="Σώμα κείμενου με εσοχή Char"/>
    <w:basedOn w:val="a0"/>
    <w:link w:val="a8"/>
    <w:rsid w:val="005B45F2"/>
    <w:rPr>
      <w:sz w:val="24"/>
      <w:szCs w:val="24"/>
    </w:rPr>
  </w:style>
  <w:style w:type="character" w:styleId="a9">
    <w:name w:val="line number"/>
    <w:basedOn w:val="a0"/>
    <w:rsid w:val="00C52B53"/>
  </w:style>
  <w:style w:type="paragraph" w:styleId="aa">
    <w:name w:val="header"/>
    <w:basedOn w:val="a"/>
    <w:link w:val="Char2"/>
    <w:uiPriority w:val="99"/>
    <w:rsid w:val="00D80BDD"/>
    <w:pPr>
      <w:tabs>
        <w:tab w:val="center" w:pos="4153"/>
        <w:tab w:val="right" w:pos="8306"/>
      </w:tabs>
    </w:pPr>
  </w:style>
  <w:style w:type="character" w:customStyle="1" w:styleId="Char2">
    <w:name w:val="Κεφαλίδα Char"/>
    <w:basedOn w:val="a0"/>
    <w:link w:val="aa"/>
    <w:uiPriority w:val="99"/>
    <w:rsid w:val="00D80BDD"/>
    <w:rPr>
      <w:sz w:val="24"/>
      <w:szCs w:val="24"/>
    </w:rPr>
  </w:style>
  <w:style w:type="paragraph" w:styleId="ab">
    <w:name w:val="footer"/>
    <w:basedOn w:val="a"/>
    <w:link w:val="Char3"/>
    <w:uiPriority w:val="99"/>
    <w:rsid w:val="00D80BDD"/>
    <w:pPr>
      <w:tabs>
        <w:tab w:val="center" w:pos="4153"/>
        <w:tab w:val="right" w:pos="8306"/>
      </w:tabs>
    </w:pPr>
  </w:style>
  <w:style w:type="character" w:customStyle="1" w:styleId="Char3">
    <w:name w:val="Υποσέλιδο Char"/>
    <w:basedOn w:val="a0"/>
    <w:link w:val="ab"/>
    <w:uiPriority w:val="99"/>
    <w:rsid w:val="00D80BDD"/>
    <w:rPr>
      <w:sz w:val="24"/>
      <w:szCs w:val="24"/>
    </w:rPr>
  </w:style>
</w:styles>
</file>

<file path=word/webSettings.xml><?xml version="1.0" encoding="utf-8"?>
<w:webSettings xmlns:r="http://schemas.openxmlformats.org/officeDocument/2006/relationships" xmlns:w="http://schemas.openxmlformats.org/wordprocessingml/2006/main">
  <w:divs>
    <w:div w:id="97599852">
      <w:bodyDiv w:val="1"/>
      <w:marLeft w:val="0"/>
      <w:marRight w:val="0"/>
      <w:marTop w:val="0"/>
      <w:marBottom w:val="0"/>
      <w:divBdr>
        <w:top w:val="none" w:sz="0" w:space="0" w:color="auto"/>
        <w:left w:val="none" w:sz="0" w:space="0" w:color="auto"/>
        <w:bottom w:val="none" w:sz="0" w:space="0" w:color="auto"/>
        <w:right w:val="none" w:sz="0" w:space="0" w:color="auto"/>
      </w:divBdr>
    </w:div>
    <w:div w:id="112671965">
      <w:bodyDiv w:val="1"/>
      <w:marLeft w:val="0"/>
      <w:marRight w:val="0"/>
      <w:marTop w:val="0"/>
      <w:marBottom w:val="0"/>
      <w:divBdr>
        <w:top w:val="none" w:sz="0" w:space="0" w:color="auto"/>
        <w:left w:val="none" w:sz="0" w:space="0" w:color="auto"/>
        <w:bottom w:val="none" w:sz="0" w:space="0" w:color="auto"/>
        <w:right w:val="none" w:sz="0" w:space="0" w:color="auto"/>
      </w:divBdr>
    </w:div>
    <w:div w:id="700975148">
      <w:bodyDiv w:val="1"/>
      <w:marLeft w:val="0"/>
      <w:marRight w:val="0"/>
      <w:marTop w:val="0"/>
      <w:marBottom w:val="0"/>
      <w:divBdr>
        <w:top w:val="none" w:sz="0" w:space="0" w:color="auto"/>
        <w:left w:val="none" w:sz="0" w:space="0" w:color="auto"/>
        <w:bottom w:val="none" w:sz="0" w:space="0" w:color="auto"/>
        <w:right w:val="none" w:sz="0" w:space="0" w:color="auto"/>
      </w:divBdr>
    </w:div>
    <w:div w:id="18203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Times-Roman">
    <w:altName w:val="Arial Unicode MS"/>
    <w:charset w:val="80"/>
    <w:family w:val="roman"/>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4350"/>
    <w:rsid w:val="001C6AA5"/>
    <w:rsid w:val="00B943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D4A3BD6A134041BF4FBF93A7114B71">
    <w:name w:val="09D4A3BD6A134041BF4FBF93A7114B71"/>
    <w:rsid w:val="00B943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6B276-5D7A-46FA-8D5B-50300151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4</Pages>
  <Words>1433</Words>
  <Characters>7741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OCR Document</vt:lpstr>
    </vt:vector>
  </TitlesOfParts>
  <Company>I.R.I.S.</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user</cp:lastModifiedBy>
  <cp:revision>22</cp:revision>
  <cp:lastPrinted>2007-01-08T08:39:00Z</cp:lastPrinted>
  <dcterms:created xsi:type="dcterms:W3CDTF">2014-06-02T08:58:00Z</dcterms:created>
  <dcterms:modified xsi:type="dcterms:W3CDTF">2014-06-03T06:09:00Z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