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B01" w:rsidRPr="00B361C9" w:rsidRDefault="00271B01" w:rsidP="008151E8">
      <w:pPr>
        <w:spacing w:line="240" w:lineRule="auto"/>
        <w:rPr>
          <w:rFonts w:cs="Times New Roman"/>
          <w:b/>
          <w:sz w:val="22"/>
        </w:rPr>
      </w:pPr>
      <w:bookmarkStart w:id="0" w:name="_GoBack"/>
      <w:bookmarkEnd w:id="0"/>
      <w:r w:rsidRPr="00B361C9">
        <w:rPr>
          <w:rFonts w:cs="Times New Roman"/>
          <w:b/>
          <w:sz w:val="22"/>
        </w:rPr>
        <w:t>Challenges in Bulk Nuclear Forensics Sample Analysis</w:t>
      </w:r>
    </w:p>
    <w:p w:rsidR="00271B01" w:rsidRPr="00B361C9" w:rsidRDefault="00271B01" w:rsidP="008151E8">
      <w:pPr>
        <w:spacing w:line="240" w:lineRule="auto"/>
        <w:rPr>
          <w:rFonts w:cs="Times New Roman"/>
          <w:b/>
          <w:sz w:val="22"/>
        </w:rPr>
      </w:pPr>
      <w:r w:rsidRPr="00B361C9">
        <w:rPr>
          <w:rFonts w:cs="Times New Roman"/>
          <w:b/>
          <w:sz w:val="22"/>
        </w:rPr>
        <w:t xml:space="preserve">Lisa Colletti, </w:t>
      </w:r>
      <w:r w:rsidR="00FB551B" w:rsidRPr="00B361C9">
        <w:rPr>
          <w:rFonts w:cs="Times New Roman"/>
          <w:b/>
          <w:sz w:val="22"/>
        </w:rPr>
        <w:t>Laura Ortega</w:t>
      </w:r>
      <w:r w:rsidR="003048A3" w:rsidRPr="00B361C9">
        <w:rPr>
          <w:rFonts w:cs="Times New Roman"/>
          <w:b/>
          <w:sz w:val="22"/>
        </w:rPr>
        <w:t>, Karen Haynes,</w:t>
      </w:r>
      <w:r w:rsidR="009503C9">
        <w:rPr>
          <w:rFonts w:cs="Times New Roman"/>
          <w:b/>
          <w:sz w:val="22"/>
        </w:rPr>
        <w:t xml:space="preserve"> Peter Mason</w:t>
      </w:r>
      <w:r w:rsidR="00DE7EB9">
        <w:rPr>
          <w:rFonts w:cs="Times New Roman"/>
          <w:b/>
          <w:sz w:val="22"/>
        </w:rPr>
        <w:t>*</w:t>
      </w:r>
      <w:r w:rsidR="009503C9">
        <w:rPr>
          <w:rFonts w:cs="Times New Roman"/>
          <w:b/>
          <w:sz w:val="22"/>
        </w:rPr>
        <w:t>, Richard Essex</w:t>
      </w:r>
      <w:r w:rsidR="00DE7EB9">
        <w:rPr>
          <w:rFonts w:cs="Times New Roman"/>
          <w:b/>
          <w:sz w:val="22"/>
        </w:rPr>
        <w:t>*</w:t>
      </w:r>
      <w:r w:rsidR="009503C9">
        <w:rPr>
          <w:rFonts w:cs="Times New Roman"/>
          <w:b/>
          <w:sz w:val="22"/>
        </w:rPr>
        <w:t>,</w:t>
      </w:r>
      <w:r w:rsidR="004F21E7" w:rsidRPr="00B361C9">
        <w:rPr>
          <w:rFonts w:cs="Times New Roman"/>
          <w:b/>
          <w:sz w:val="22"/>
        </w:rPr>
        <w:t xml:space="preserve"> </w:t>
      </w:r>
      <w:r w:rsidR="006928DB">
        <w:rPr>
          <w:rFonts w:cs="Times New Roman"/>
          <w:b/>
          <w:sz w:val="22"/>
        </w:rPr>
        <w:t xml:space="preserve">Kevin Kuhn, </w:t>
      </w:r>
      <w:r w:rsidRPr="00B361C9">
        <w:rPr>
          <w:rFonts w:cs="Times New Roman"/>
          <w:b/>
          <w:sz w:val="22"/>
        </w:rPr>
        <w:t>Lav Tandon</w:t>
      </w:r>
    </w:p>
    <w:p w:rsidR="00271B01" w:rsidRPr="00B361C9" w:rsidRDefault="00271B01" w:rsidP="008151E8">
      <w:pPr>
        <w:spacing w:line="240" w:lineRule="auto"/>
        <w:contextualSpacing/>
        <w:rPr>
          <w:rFonts w:cs="Times New Roman"/>
          <w:sz w:val="22"/>
        </w:rPr>
      </w:pPr>
      <w:r w:rsidRPr="00B361C9">
        <w:rPr>
          <w:rFonts w:cs="Times New Roman"/>
          <w:sz w:val="22"/>
        </w:rPr>
        <w:t>Los Alamos National Laboratory</w:t>
      </w:r>
    </w:p>
    <w:p w:rsidR="00271B01" w:rsidRPr="00B361C9" w:rsidRDefault="00271B01" w:rsidP="008151E8">
      <w:pPr>
        <w:spacing w:line="240" w:lineRule="auto"/>
        <w:contextualSpacing/>
        <w:rPr>
          <w:rFonts w:cs="Times New Roman"/>
          <w:sz w:val="22"/>
        </w:rPr>
      </w:pPr>
      <w:r w:rsidRPr="00B361C9">
        <w:rPr>
          <w:rFonts w:cs="Times New Roman"/>
          <w:sz w:val="22"/>
        </w:rPr>
        <w:t>Los Alamos, NM 87545</w:t>
      </w:r>
    </w:p>
    <w:p w:rsidR="00271B01" w:rsidRDefault="00271B01" w:rsidP="008151E8">
      <w:pPr>
        <w:spacing w:line="240" w:lineRule="auto"/>
        <w:contextualSpacing/>
        <w:rPr>
          <w:rFonts w:cs="Times New Roman"/>
          <w:sz w:val="22"/>
        </w:rPr>
      </w:pPr>
      <w:r w:rsidRPr="00B361C9">
        <w:rPr>
          <w:rFonts w:cs="Times New Roman"/>
          <w:sz w:val="22"/>
        </w:rPr>
        <w:t>United States of America</w:t>
      </w:r>
    </w:p>
    <w:p w:rsidR="006578DF" w:rsidRDefault="006578DF" w:rsidP="008151E8">
      <w:pPr>
        <w:spacing w:line="240" w:lineRule="auto"/>
        <w:contextualSpacing/>
        <w:rPr>
          <w:rFonts w:cs="Times New Roman"/>
          <w:sz w:val="22"/>
        </w:rPr>
      </w:pPr>
    </w:p>
    <w:p w:rsidR="006578DF" w:rsidRDefault="00DE7EB9" w:rsidP="008151E8">
      <w:pPr>
        <w:spacing w:line="240" w:lineRule="auto"/>
        <w:contextualSpacing/>
        <w:rPr>
          <w:rFonts w:cs="Times New Roman"/>
          <w:sz w:val="22"/>
        </w:rPr>
      </w:pPr>
      <w:r>
        <w:rPr>
          <w:rFonts w:cs="Times New Roman"/>
          <w:sz w:val="22"/>
        </w:rPr>
        <w:t>*</w:t>
      </w:r>
      <w:r w:rsidR="006578DF">
        <w:rPr>
          <w:rFonts w:cs="Times New Roman"/>
          <w:sz w:val="22"/>
        </w:rPr>
        <w:t>New Brunswick Laboratory</w:t>
      </w:r>
    </w:p>
    <w:p w:rsidR="00271B01" w:rsidRDefault="00DE7EB9" w:rsidP="008151E8">
      <w:pPr>
        <w:spacing w:line="240" w:lineRule="auto"/>
        <w:contextualSpacing/>
        <w:rPr>
          <w:rFonts w:cs="Times New Roman"/>
          <w:sz w:val="22"/>
        </w:rPr>
      </w:pPr>
      <w:r w:rsidRPr="00DE7EB9">
        <w:rPr>
          <w:rFonts w:cs="Times New Roman"/>
          <w:sz w:val="22"/>
        </w:rPr>
        <w:t>Argonne, IL 60439-4899</w:t>
      </w:r>
    </w:p>
    <w:p w:rsidR="00DE7EB9" w:rsidRDefault="00DE7EB9" w:rsidP="008151E8">
      <w:pPr>
        <w:spacing w:line="240" w:lineRule="auto"/>
        <w:contextualSpacing/>
        <w:rPr>
          <w:rFonts w:cs="Times New Roman"/>
          <w:sz w:val="22"/>
        </w:rPr>
      </w:pPr>
      <w:r>
        <w:rPr>
          <w:rFonts w:cs="Times New Roman"/>
          <w:sz w:val="22"/>
        </w:rPr>
        <w:t>United States of America</w:t>
      </w:r>
    </w:p>
    <w:p w:rsidR="00DE7EB9" w:rsidRPr="00B361C9" w:rsidRDefault="00DE7EB9" w:rsidP="008151E8">
      <w:pPr>
        <w:spacing w:line="240" w:lineRule="auto"/>
        <w:contextualSpacing/>
        <w:rPr>
          <w:rFonts w:cs="Times New Roman"/>
          <w:sz w:val="22"/>
        </w:rPr>
      </w:pPr>
    </w:p>
    <w:p w:rsidR="00900986" w:rsidRPr="00B361C9" w:rsidRDefault="00271B01" w:rsidP="008151E8">
      <w:pPr>
        <w:spacing w:line="240" w:lineRule="auto"/>
        <w:rPr>
          <w:rFonts w:cs="Times New Roman"/>
          <w:sz w:val="22"/>
        </w:rPr>
      </w:pPr>
      <w:r w:rsidRPr="00B361C9">
        <w:rPr>
          <w:rFonts w:cs="Times New Roman"/>
          <w:b/>
          <w:sz w:val="22"/>
        </w:rPr>
        <w:t xml:space="preserve">Abstract:  </w:t>
      </w:r>
      <w:r w:rsidRPr="00B361C9">
        <w:rPr>
          <w:rFonts w:cs="Times New Roman"/>
          <w:sz w:val="22"/>
        </w:rPr>
        <w:t>Analytical chemistry operations at Los Alamos National Laboratory (LANL) and Lawrence Livermore National Laboratory (LLNL) support technical nuclear forensics by providing chemical and physical measurements of bulk special nuclear material</w:t>
      </w:r>
      <w:r w:rsidR="0096210F" w:rsidRPr="00B361C9">
        <w:rPr>
          <w:rFonts w:cs="Times New Roman"/>
          <w:sz w:val="22"/>
        </w:rPr>
        <w:t xml:space="preserve"> for a consortium of key </w:t>
      </w:r>
      <w:r w:rsidR="001227BC">
        <w:rPr>
          <w:rFonts w:cs="Times New Roman"/>
          <w:sz w:val="22"/>
        </w:rPr>
        <w:t>United States (</w:t>
      </w:r>
      <w:r w:rsidRPr="00B361C9">
        <w:rPr>
          <w:rFonts w:cs="Times New Roman"/>
          <w:sz w:val="22"/>
        </w:rPr>
        <w:t>US</w:t>
      </w:r>
      <w:r w:rsidR="001227BC">
        <w:rPr>
          <w:rFonts w:cs="Times New Roman"/>
          <w:sz w:val="22"/>
        </w:rPr>
        <w:t>)</w:t>
      </w:r>
      <w:r w:rsidRPr="00B361C9">
        <w:rPr>
          <w:rFonts w:cs="Times New Roman"/>
          <w:sz w:val="22"/>
        </w:rPr>
        <w:t xml:space="preserve"> government agencies.  Capabilities to support the nuclear forensic mission continue to evolve from the basic analytical method set developed half a century ago to support reactor operations and US defense programs.  Evolution of analytical chemistry </w:t>
      </w:r>
      <w:r w:rsidR="001E189F" w:rsidRPr="00B361C9">
        <w:rPr>
          <w:rFonts w:cs="Times New Roman"/>
          <w:sz w:val="22"/>
        </w:rPr>
        <w:t>capabilit</w:t>
      </w:r>
      <w:r w:rsidR="001E189F">
        <w:rPr>
          <w:rFonts w:cs="Times New Roman"/>
          <w:sz w:val="22"/>
        </w:rPr>
        <w:t>ies</w:t>
      </w:r>
      <w:r w:rsidR="001E189F" w:rsidRPr="00B361C9">
        <w:rPr>
          <w:rFonts w:cs="Times New Roman"/>
          <w:sz w:val="22"/>
        </w:rPr>
        <w:t xml:space="preserve"> </w:t>
      </w:r>
      <w:r w:rsidRPr="00B361C9">
        <w:rPr>
          <w:rFonts w:cs="Times New Roman"/>
          <w:sz w:val="22"/>
        </w:rPr>
        <w:t xml:space="preserve">includes new certified reference materials </w:t>
      </w:r>
      <w:r w:rsidR="001227BC">
        <w:rPr>
          <w:rFonts w:cs="Times New Roman"/>
          <w:sz w:val="22"/>
        </w:rPr>
        <w:t xml:space="preserve">(CRMs) </w:t>
      </w:r>
      <w:r w:rsidRPr="00B361C9">
        <w:rPr>
          <w:rFonts w:cs="Times New Roman"/>
          <w:sz w:val="22"/>
        </w:rPr>
        <w:t>for quality assurance and quality control to maintain historical measurement surety but with improve</w:t>
      </w:r>
      <w:r w:rsidR="00AE50A7">
        <w:rPr>
          <w:rFonts w:cs="Times New Roman"/>
          <w:sz w:val="22"/>
        </w:rPr>
        <w:t xml:space="preserve">d fidelity and defensibility.  </w:t>
      </w:r>
      <w:r w:rsidRPr="00B361C9">
        <w:rPr>
          <w:rFonts w:cs="Times New Roman"/>
          <w:sz w:val="22"/>
        </w:rPr>
        <w:t>A lack of traceable, matrix-matched standards</w:t>
      </w:r>
      <w:r w:rsidR="00784CD7">
        <w:rPr>
          <w:rFonts w:cs="Times New Roman"/>
          <w:sz w:val="22"/>
        </w:rPr>
        <w:t>,</w:t>
      </w:r>
      <w:r w:rsidRPr="00B361C9">
        <w:rPr>
          <w:rFonts w:cs="Times New Roman"/>
          <w:sz w:val="22"/>
        </w:rPr>
        <w:t xml:space="preserve"> with certified uncertainties representative of modern analytical techniques has been recognized as </w:t>
      </w:r>
      <w:r w:rsidR="001655AE" w:rsidRPr="00B361C9">
        <w:rPr>
          <w:rFonts w:cs="Times New Roman"/>
          <w:sz w:val="22"/>
        </w:rPr>
        <w:t>affecting</w:t>
      </w:r>
      <w:r w:rsidRPr="00B361C9">
        <w:rPr>
          <w:rFonts w:cs="Times New Roman"/>
          <w:sz w:val="22"/>
        </w:rPr>
        <w:t xml:space="preserve"> confidence in the measurement results on important nuclear materials.  Drawing guidance from the National Institutes of Standards and Technology (NIST) and New Brunswick Laboratory (NBL), the US nuclear forensic community is working to define and develop the </w:t>
      </w:r>
      <w:r w:rsidR="00A35A31" w:rsidRPr="00B361C9">
        <w:rPr>
          <w:rFonts w:cs="Times New Roman"/>
          <w:sz w:val="22"/>
        </w:rPr>
        <w:t>well-characterized</w:t>
      </w:r>
      <w:r w:rsidRPr="00B361C9">
        <w:rPr>
          <w:rFonts w:cs="Times New Roman"/>
          <w:sz w:val="22"/>
        </w:rPr>
        <w:t xml:space="preserve"> reference materials necessary to ensure the integrity of critical forensic measurements.  In this </w:t>
      </w:r>
      <w:r w:rsidR="009E516C" w:rsidRPr="00B361C9">
        <w:rPr>
          <w:rFonts w:cs="Times New Roman"/>
          <w:sz w:val="22"/>
        </w:rPr>
        <w:t>paper</w:t>
      </w:r>
      <w:r w:rsidR="004C4AD5">
        <w:rPr>
          <w:rFonts w:cs="Times New Roman"/>
          <w:sz w:val="22"/>
        </w:rPr>
        <w:t>,</w:t>
      </w:r>
      <w:r w:rsidR="009E516C" w:rsidRPr="00B361C9">
        <w:rPr>
          <w:rFonts w:cs="Times New Roman"/>
          <w:sz w:val="22"/>
        </w:rPr>
        <w:t xml:space="preserve"> discuss</w:t>
      </w:r>
      <w:r w:rsidR="004C4AD5">
        <w:rPr>
          <w:rFonts w:cs="Times New Roman"/>
          <w:sz w:val="22"/>
        </w:rPr>
        <w:t>ions will deal with</w:t>
      </w:r>
      <w:r w:rsidR="009E516C" w:rsidRPr="00B361C9">
        <w:rPr>
          <w:rFonts w:cs="Times New Roman"/>
          <w:sz w:val="22"/>
        </w:rPr>
        <w:t xml:space="preserve"> a case for using</w:t>
      </w:r>
      <w:r w:rsidRPr="00B361C9">
        <w:rPr>
          <w:rFonts w:cs="Times New Roman"/>
          <w:sz w:val="22"/>
        </w:rPr>
        <w:t xml:space="preserve"> available pedigreed materials that are commonly used to provide quality assurance on relevant nuclear materials for nuclear forensic </w:t>
      </w:r>
      <w:r w:rsidR="00E66137">
        <w:rPr>
          <w:rFonts w:cs="Times New Roman"/>
          <w:sz w:val="22"/>
        </w:rPr>
        <w:t>CRMs</w:t>
      </w:r>
      <w:r w:rsidRPr="00B361C9">
        <w:rPr>
          <w:rFonts w:cs="Times New Roman"/>
          <w:sz w:val="22"/>
        </w:rPr>
        <w:t xml:space="preserve">. A discussion of challenges associated with transitioning from a </w:t>
      </w:r>
      <w:r w:rsidR="001E189F">
        <w:rPr>
          <w:rFonts w:cs="Times New Roman"/>
          <w:sz w:val="22"/>
        </w:rPr>
        <w:t>production</w:t>
      </w:r>
      <w:r w:rsidR="00E66137">
        <w:rPr>
          <w:rFonts w:cs="Times New Roman"/>
          <w:sz w:val="22"/>
        </w:rPr>
        <w:t>-</w:t>
      </w:r>
      <w:r w:rsidR="001E189F">
        <w:rPr>
          <w:rFonts w:cs="Times New Roman"/>
          <w:sz w:val="22"/>
        </w:rPr>
        <w:t xml:space="preserve">oriented, </w:t>
      </w:r>
      <w:r w:rsidRPr="00B361C9">
        <w:rPr>
          <w:rFonts w:cs="Times New Roman"/>
          <w:sz w:val="22"/>
        </w:rPr>
        <w:t>analytical laboratory to an ISO 17025 accredited laboratory will also be presented.</w:t>
      </w:r>
    </w:p>
    <w:p w:rsidR="0096210F" w:rsidRPr="00B361C9" w:rsidRDefault="0096210F" w:rsidP="008151E8">
      <w:pPr>
        <w:pStyle w:val="ListParagraph"/>
        <w:numPr>
          <w:ilvl w:val="0"/>
          <w:numId w:val="1"/>
        </w:numPr>
        <w:spacing w:line="240" w:lineRule="auto"/>
        <w:rPr>
          <w:rFonts w:cs="Times New Roman"/>
          <w:b/>
          <w:sz w:val="22"/>
        </w:rPr>
      </w:pPr>
      <w:r w:rsidRPr="00B361C9">
        <w:rPr>
          <w:rFonts w:cs="Times New Roman"/>
          <w:b/>
          <w:sz w:val="22"/>
        </w:rPr>
        <w:t>Introduction</w:t>
      </w:r>
    </w:p>
    <w:p w:rsidR="009F573F" w:rsidRDefault="006144BD" w:rsidP="0043224F">
      <w:pPr>
        <w:spacing w:line="240" w:lineRule="auto"/>
        <w:rPr>
          <w:rFonts w:cs="Times New Roman"/>
          <w:sz w:val="22"/>
        </w:rPr>
      </w:pPr>
      <w:r w:rsidRPr="00B361C9">
        <w:rPr>
          <w:rFonts w:cs="Times New Roman"/>
          <w:sz w:val="22"/>
        </w:rPr>
        <w:t>Analytical chemistry operations at Los Alamos National Laboratory (LANL) and Lawrence Livermore National Laboratory (LLNL) provid</w:t>
      </w:r>
      <w:r w:rsidR="00A56875" w:rsidRPr="00B361C9">
        <w:rPr>
          <w:rFonts w:cs="Times New Roman"/>
          <w:sz w:val="22"/>
        </w:rPr>
        <w:t>e</w:t>
      </w:r>
      <w:r w:rsidRPr="00B361C9">
        <w:rPr>
          <w:rFonts w:cs="Times New Roman"/>
          <w:sz w:val="22"/>
        </w:rPr>
        <w:t xml:space="preserve"> chemical and physical measur</w:t>
      </w:r>
      <w:r w:rsidR="00CD2E22">
        <w:rPr>
          <w:rFonts w:cs="Times New Roman"/>
          <w:sz w:val="22"/>
        </w:rPr>
        <w:t xml:space="preserve">ements of </w:t>
      </w:r>
      <w:r w:rsidRPr="00B361C9">
        <w:rPr>
          <w:rFonts w:cs="Times New Roman"/>
          <w:sz w:val="22"/>
        </w:rPr>
        <w:t xml:space="preserve">special nuclear material </w:t>
      </w:r>
      <w:r w:rsidR="00052D14" w:rsidRPr="00B361C9">
        <w:rPr>
          <w:rFonts w:cs="Times New Roman"/>
          <w:sz w:val="22"/>
        </w:rPr>
        <w:t xml:space="preserve">(SNM) </w:t>
      </w:r>
      <w:r w:rsidRPr="00B361C9">
        <w:rPr>
          <w:rFonts w:cs="Times New Roman"/>
          <w:sz w:val="22"/>
        </w:rPr>
        <w:t xml:space="preserve">for a consortium of </w:t>
      </w:r>
      <w:r w:rsidR="00E66137">
        <w:rPr>
          <w:rFonts w:cs="Times New Roman"/>
          <w:sz w:val="22"/>
        </w:rPr>
        <w:t>United States (</w:t>
      </w:r>
      <w:r w:rsidRPr="00B361C9">
        <w:rPr>
          <w:rFonts w:cs="Times New Roman"/>
          <w:sz w:val="22"/>
        </w:rPr>
        <w:t>US</w:t>
      </w:r>
      <w:r w:rsidR="00E66137">
        <w:rPr>
          <w:rFonts w:cs="Times New Roman"/>
          <w:sz w:val="22"/>
        </w:rPr>
        <w:t>)</w:t>
      </w:r>
      <w:r w:rsidRPr="00B361C9">
        <w:rPr>
          <w:rFonts w:cs="Times New Roman"/>
          <w:sz w:val="22"/>
        </w:rPr>
        <w:t xml:space="preserve"> government agencies.  </w:t>
      </w:r>
      <w:r w:rsidR="00E53917">
        <w:rPr>
          <w:rFonts w:cs="Times New Roman"/>
          <w:sz w:val="22"/>
        </w:rPr>
        <w:t>Th</w:t>
      </w:r>
      <w:r w:rsidR="00196FF7">
        <w:rPr>
          <w:rFonts w:cs="Times New Roman"/>
          <w:sz w:val="22"/>
        </w:rPr>
        <w:t>e</w:t>
      </w:r>
      <w:r w:rsidR="00E53917">
        <w:rPr>
          <w:rFonts w:cs="Times New Roman"/>
          <w:sz w:val="22"/>
        </w:rPr>
        <w:t xml:space="preserve"> </w:t>
      </w:r>
      <w:r w:rsidR="00196FF7">
        <w:rPr>
          <w:rFonts w:cs="Times New Roman"/>
          <w:sz w:val="22"/>
        </w:rPr>
        <w:t xml:space="preserve">discussion herein </w:t>
      </w:r>
      <w:r w:rsidR="00E53917">
        <w:rPr>
          <w:rFonts w:cs="Times New Roman"/>
          <w:sz w:val="22"/>
        </w:rPr>
        <w:t>will focus exclusively on LANL c</w:t>
      </w:r>
      <w:r w:rsidRPr="00B361C9">
        <w:rPr>
          <w:rFonts w:cs="Times New Roman"/>
          <w:sz w:val="22"/>
        </w:rPr>
        <w:t>apabilities</w:t>
      </w:r>
      <w:r w:rsidR="00E53917">
        <w:rPr>
          <w:rFonts w:cs="Times New Roman"/>
          <w:sz w:val="22"/>
        </w:rPr>
        <w:t xml:space="preserve">. </w:t>
      </w:r>
      <w:r w:rsidR="009F573F">
        <w:rPr>
          <w:rFonts w:cs="Times New Roman"/>
          <w:sz w:val="22"/>
        </w:rPr>
        <w:t xml:space="preserve"> </w:t>
      </w:r>
      <w:r w:rsidR="0043224F">
        <w:rPr>
          <w:rFonts w:cs="Times New Roman"/>
          <w:sz w:val="22"/>
        </w:rPr>
        <w:t>An</w:t>
      </w:r>
      <w:r w:rsidR="0043224F" w:rsidRPr="0043224F">
        <w:rPr>
          <w:rFonts w:cs="Times New Roman"/>
          <w:sz w:val="22"/>
        </w:rPr>
        <w:t xml:space="preserve">alyses range from assay of the major components down to trace analysis of impurities – </w:t>
      </w:r>
      <w:r w:rsidR="00196FF7">
        <w:rPr>
          <w:rFonts w:cs="Times New Roman"/>
          <w:sz w:val="22"/>
        </w:rPr>
        <w:t xml:space="preserve">a concentration </w:t>
      </w:r>
      <w:r w:rsidR="0043224F" w:rsidRPr="0043224F">
        <w:rPr>
          <w:rFonts w:cs="Times New Roman"/>
          <w:sz w:val="22"/>
        </w:rPr>
        <w:t>span</w:t>
      </w:r>
      <w:r w:rsidR="00196FF7">
        <w:rPr>
          <w:rFonts w:cs="Times New Roman"/>
          <w:sz w:val="22"/>
        </w:rPr>
        <w:t xml:space="preserve"> of</w:t>
      </w:r>
      <w:r w:rsidR="0043224F" w:rsidRPr="0043224F">
        <w:rPr>
          <w:rFonts w:cs="Times New Roman"/>
          <w:sz w:val="22"/>
        </w:rPr>
        <w:t xml:space="preserve"> over seven orders of magnitude </w:t>
      </w:r>
      <w:r w:rsidR="00196FF7" w:rsidRPr="0043224F">
        <w:rPr>
          <w:rFonts w:cs="Times New Roman"/>
          <w:sz w:val="22"/>
        </w:rPr>
        <w:t>–</w:t>
      </w:r>
      <w:r w:rsidR="0043224F" w:rsidRPr="0043224F">
        <w:rPr>
          <w:rFonts w:cs="Times New Roman"/>
          <w:sz w:val="22"/>
        </w:rPr>
        <w:t xml:space="preserve"> and consist of both non-destructive and destructive analyses</w:t>
      </w:r>
      <w:r w:rsidR="0043224F">
        <w:rPr>
          <w:rFonts w:cs="Times New Roman"/>
          <w:sz w:val="22"/>
        </w:rPr>
        <w:t xml:space="preserve">. </w:t>
      </w:r>
      <w:r w:rsidR="00CD2E22">
        <w:rPr>
          <w:rFonts w:cs="Times New Roman"/>
          <w:sz w:val="22"/>
        </w:rPr>
        <w:t xml:space="preserve"> </w:t>
      </w:r>
      <w:r w:rsidR="0043224F">
        <w:rPr>
          <w:rFonts w:cs="Times New Roman"/>
          <w:sz w:val="22"/>
        </w:rPr>
        <w:t xml:space="preserve">LANL </w:t>
      </w:r>
      <w:r w:rsidR="0043224F" w:rsidRPr="0043224F">
        <w:rPr>
          <w:rFonts w:cs="Times New Roman"/>
          <w:sz w:val="22"/>
        </w:rPr>
        <w:t>has the necessary facilities, glove boxes, hoods, analytical instrumentation, and technical expertise for handling and analyzing m</w:t>
      </w:r>
      <w:r w:rsidR="0043224F">
        <w:rPr>
          <w:rFonts w:cs="Times New Roman"/>
          <w:sz w:val="22"/>
        </w:rPr>
        <w:t>icro</w:t>
      </w:r>
      <w:r w:rsidR="0043224F" w:rsidRPr="0043224F">
        <w:rPr>
          <w:rFonts w:cs="Times New Roman"/>
          <w:sz w:val="22"/>
        </w:rPr>
        <w:t>gram to kilogram quantities of special nuclear material safely</w:t>
      </w:r>
      <w:r w:rsidR="00870F9B">
        <w:rPr>
          <w:rFonts w:cs="Times New Roman"/>
          <w:sz w:val="22"/>
        </w:rPr>
        <w:t xml:space="preserve"> [</w:t>
      </w:r>
      <w:r w:rsidR="00AB0945">
        <w:rPr>
          <w:rFonts w:cs="Times New Roman"/>
          <w:sz w:val="22"/>
        </w:rPr>
        <w:t>1, 2</w:t>
      </w:r>
      <w:r w:rsidR="00870F9B">
        <w:rPr>
          <w:rFonts w:cs="Times New Roman"/>
          <w:sz w:val="22"/>
        </w:rPr>
        <w:t>]</w:t>
      </w:r>
      <w:r w:rsidR="0043224F" w:rsidRPr="0043224F">
        <w:rPr>
          <w:rFonts w:cs="Times New Roman"/>
          <w:sz w:val="22"/>
        </w:rPr>
        <w:t>.</w:t>
      </w:r>
      <w:r w:rsidR="0043224F">
        <w:rPr>
          <w:rFonts w:cs="Times New Roman"/>
          <w:sz w:val="22"/>
        </w:rPr>
        <w:t xml:space="preserve"> </w:t>
      </w:r>
      <w:r w:rsidR="0043224F" w:rsidRPr="0043224F">
        <w:rPr>
          <w:rFonts w:cs="Times New Roman"/>
          <w:sz w:val="22"/>
        </w:rPr>
        <w:t xml:space="preserve"> </w:t>
      </w:r>
      <w:r w:rsidR="00E53917">
        <w:rPr>
          <w:rFonts w:cs="Times New Roman"/>
          <w:sz w:val="22"/>
        </w:rPr>
        <w:t>These capabilities</w:t>
      </w:r>
      <w:r w:rsidRPr="00B361C9">
        <w:rPr>
          <w:rFonts w:cs="Times New Roman"/>
          <w:sz w:val="22"/>
        </w:rPr>
        <w:t xml:space="preserve"> evolve</w:t>
      </w:r>
      <w:r w:rsidR="00616134" w:rsidRPr="00B361C9">
        <w:rPr>
          <w:rFonts w:cs="Times New Roman"/>
          <w:sz w:val="22"/>
        </w:rPr>
        <w:t>d</w:t>
      </w:r>
      <w:r w:rsidR="00A56875" w:rsidRPr="00B361C9">
        <w:rPr>
          <w:rFonts w:cs="Times New Roman"/>
          <w:sz w:val="22"/>
        </w:rPr>
        <w:t xml:space="preserve"> from a</w:t>
      </w:r>
      <w:r w:rsidRPr="00B361C9">
        <w:rPr>
          <w:rFonts w:cs="Times New Roman"/>
          <w:sz w:val="22"/>
        </w:rPr>
        <w:t xml:space="preserve"> </w:t>
      </w:r>
      <w:r w:rsidR="00196FF7">
        <w:rPr>
          <w:rFonts w:cs="Times New Roman"/>
          <w:sz w:val="22"/>
        </w:rPr>
        <w:t xml:space="preserve">classical </w:t>
      </w:r>
      <w:r w:rsidRPr="00B361C9">
        <w:rPr>
          <w:rFonts w:cs="Times New Roman"/>
          <w:sz w:val="22"/>
        </w:rPr>
        <w:t>analytical method set developed</w:t>
      </w:r>
      <w:r w:rsidR="00616134" w:rsidRPr="00B361C9">
        <w:rPr>
          <w:rFonts w:cs="Times New Roman"/>
          <w:sz w:val="22"/>
        </w:rPr>
        <w:t xml:space="preserve"> </w:t>
      </w:r>
      <w:r w:rsidR="00196FF7">
        <w:rPr>
          <w:rFonts w:cs="Times New Roman"/>
          <w:sz w:val="22"/>
        </w:rPr>
        <w:t xml:space="preserve">at the onset of actinide research that have been </w:t>
      </w:r>
      <w:r w:rsidR="00616134" w:rsidRPr="00B361C9">
        <w:rPr>
          <w:rFonts w:cs="Times New Roman"/>
          <w:sz w:val="22"/>
        </w:rPr>
        <w:t>refined over the last</w:t>
      </w:r>
      <w:r w:rsidRPr="00B361C9">
        <w:rPr>
          <w:rFonts w:cs="Times New Roman"/>
          <w:sz w:val="22"/>
        </w:rPr>
        <w:t xml:space="preserve"> half a century to support reactor </w:t>
      </w:r>
      <w:r w:rsidR="008A4CA9">
        <w:rPr>
          <w:rFonts w:cs="Times New Roman"/>
          <w:sz w:val="22"/>
        </w:rPr>
        <w:t>fuel development</w:t>
      </w:r>
      <w:r w:rsidRPr="00B361C9">
        <w:rPr>
          <w:rFonts w:cs="Times New Roman"/>
          <w:sz w:val="22"/>
        </w:rPr>
        <w:t xml:space="preserve"> and </w:t>
      </w:r>
      <w:r w:rsidR="00653B1F" w:rsidRPr="00B361C9">
        <w:rPr>
          <w:rFonts w:cs="Times New Roman"/>
          <w:sz w:val="22"/>
        </w:rPr>
        <w:t>US</w:t>
      </w:r>
      <w:r w:rsidRPr="00B361C9">
        <w:rPr>
          <w:rFonts w:cs="Times New Roman"/>
          <w:sz w:val="22"/>
        </w:rPr>
        <w:t xml:space="preserve"> defense programs.</w:t>
      </w:r>
      <w:r w:rsidR="00616134" w:rsidRPr="00B361C9">
        <w:rPr>
          <w:rFonts w:cs="Times New Roman"/>
          <w:sz w:val="22"/>
        </w:rPr>
        <w:t xml:space="preserve">  </w:t>
      </w:r>
      <w:r w:rsidR="001E189F">
        <w:rPr>
          <w:rFonts w:cs="Times New Roman"/>
          <w:sz w:val="22"/>
        </w:rPr>
        <w:t>T</w:t>
      </w:r>
      <w:r w:rsidR="00616134" w:rsidRPr="00B361C9">
        <w:rPr>
          <w:rFonts w:cs="Times New Roman"/>
          <w:sz w:val="22"/>
        </w:rPr>
        <w:t xml:space="preserve">he depth and quality of characterization capabilities have improved </w:t>
      </w:r>
      <w:r w:rsidR="008A4CA9">
        <w:rPr>
          <w:rFonts w:cs="Times New Roman"/>
          <w:sz w:val="22"/>
        </w:rPr>
        <w:t xml:space="preserve">with </w:t>
      </w:r>
      <w:r w:rsidR="00196FF7">
        <w:rPr>
          <w:rFonts w:cs="Times New Roman"/>
          <w:sz w:val="22"/>
        </w:rPr>
        <w:t xml:space="preserve">advances in </w:t>
      </w:r>
      <w:r w:rsidR="00616134" w:rsidRPr="00B361C9">
        <w:rPr>
          <w:rFonts w:cs="Times New Roman"/>
          <w:sz w:val="22"/>
        </w:rPr>
        <w:t>computing</w:t>
      </w:r>
      <w:r w:rsidR="009E516C" w:rsidRPr="00B361C9">
        <w:rPr>
          <w:rFonts w:cs="Times New Roman"/>
          <w:sz w:val="22"/>
        </w:rPr>
        <w:t>,</w:t>
      </w:r>
      <w:r w:rsidR="00616134" w:rsidRPr="00B361C9">
        <w:rPr>
          <w:rFonts w:cs="Times New Roman"/>
          <w:sz w:val="22"/>
        </w:rPr>
        <w:t xml:space="preserve"> analytical instrumentation</w:t>
      </w:r>
      <w:r w:rsidR="009E516C" w:rsidRPr="00B361C9">
        <w:rPr>
          <w:rFonts w:cs="Times New Roman"/>
          <w:sz w:val="22"/>
        </w:rPr>
        <w:t xml:space="preserve">, </w:t>
      </w:r>
      <w:r w:rsidR="00003F92">
        <w:rPr>
          <w:rFonts w:cs="Times New Roman"/>
          <w:sz w:val="22"/>
        </w:rPr>
        <w:t xml:space="preserve">actinide </w:t>
      </w:r>
      <w:r w:rsidR="009E516C" w:rsidRPr="00B361C9">
        <w:rPr>
          <w:rFonts w:cs="Times New Roman"/>
          <w:sz w:val="22"/>
        </w:rPr>
        <w:t>separation science</w:t>
      </w:r>
      <w:r w:rsidR="00196FF7">
        <w:rPr>
          <w:rFonts w:cs="Times New Roman"/>
          <w:sz w:val="22"/>
        </w:rPr>
        <w:t>,</w:t>
      </w:r>
      <w:r w:rsidR="0043224F">
        <w:rPr>
          <w:rFonts w:cs="Times New Roman"/>
          <w:sz w:val="22"/>
        </w:rPr>
        <w:t xml:space="preserve"> and  material</w:t>
      </w:r>
      <w:r w:rsidR="00654343">
        <w:rPr>
          <w:rFonts w:cs="Times New Roman"/>
          <w:sz w:val="22"/>
        </w:rPr>
        <w:t xml:space="preserve"> structure and composition imaging</w:t>
      </w:r>
      <w:r w:rsidR="0043224F">
        <w:rPr>
          <w:rFonts w:cs="Times New Roman"/>
          <w:sz w:val="22"/>
        </w:rPr>
        <w:t xml:space="preserve"> at</w:t>
      </w:r>
      <w:r w:rsidR="0043224F" w:rsidRPr="0043224F">
        <w:rPr>
          <w:rFonts w:cs="Times New Roman"/>
          <w:sz w:val="22"/>
        </w:rPr>
        <w:t xml:space="preserve"> the</w:t>
      </w:r>
      <w:r w:rsidR="0043224F">
        <w:rPr>
          <w:rFonts w:cs="Times New Roman"/>
          <w:sz w:val="22"/>
        </w:rPr>
        <w:t xml:space="preserve"> </w:t>
      </w:r>
      <w:r w:rsidR="0043224F" w:rsidRPr="0043224F">
        <w:rPr>
          <w:rFonts w:cs="Times New Roman"/>
          <w:sz w:val="22"/>
        </w:rPr>
        <w:t>microscopic level</w:t>
      </w:r>
      <w:r w:rsidR="001E319E">
        <w:rPr>
          <w:rFonts w:cs="Times New Roman"/>
          <w:sz w:val="22"/>
        </w:rPr>
        <w:t xml:space="preserve"> [</w:t>
      </w:r>
      <w:r w:rsidR="00AB0945">
        <w:rPr>
          <w:rFonts w:cs="Times New Roman"/>
          <w:sz w:val="22"/>
        </w:rPr>
        <w:t>1, 2</w:t>
      </w:r>
      <w:r w:rsidR="001E319E">
        <w:rPr>
          <w:rFonts w:cs="Times New Roman"/>
          <w:sz w:val="22"/>
        </w:rPr>
        <w:t>,</w:t>
      </w:r>
      <w:r w:rsidR="00AB0945">
        <w:rPr>
          <w:rFonts w:cs="Times New Roman"/>
          <w:sz w:val="22"/>
        </w:rPr>
        <w:t xml:space="preserve"> 3, 4</w:t>
      </w:r>
      <w:r w:rsidR="001E319E">
        <w:rPr>
          <w:rFonts w:cs="Times New Roman"/>
          <w:sz w:val="22"/>
        </w:rPr>
        <w:t>]</w:t>
      </w:r>
      <w:r w:rsidR="0043224F">
        <w:rPr>
          <w:rFonts w:cs="Times New Roman"/>
          <w:sz w:val="22"/>
        </w:rPr>
        <w:t xml:space="preserve">.  </w:t>
      </w:r>
    </w:p>
    <w:p w:rsidR="00BD3B6E" w:rsidRPr="007D1280" w:rsidRDefault="00A56875" w:rsidP="008151E8">
      <w:pPr>
        <w:spacing w:line="240" w:lineRule="auto"/>
        <w:rPr>
          <w:rFonts w:cs="Times New Roman"/>
          <w:sz w:val="22"/>
        </w:rPr>
      </w:pPr>
      <w:r w:rsidRPr="00B361C9">
        <w:rPr>
          <w:rFonts w:cs="Times New Roman"/>
          <w:sz w:val="22"/>
        </w:rPr>
        <w:t xml:space="preserve">Today, the results </w:t>
      </w:r>
      <w:r w:rsidR="005E1E6D">
        <w:rPr>
          <w:rFonts w:cs="Times New Roman"/>
          <w:sz w:val="22"/>
        </w:rPr>
        <w:t xml:space="preserve">from </w:t>
      </w:r>
      <w:r w:rsidR="00335533" w:rsidRPr="00B361C9">
        <w:rPr>
          <w:rFonts w:cs="Times New Roman"/>
          <w:sz w:val="22"/>
        </w:rPr>
        <w:t xml:space="preserve">nuclear </w:t>
      </w:r>
      <w:r w:rsidR="00A06EB9" w:rsidRPr="00B361C9">
        <w:rPr>
          <w:rFonts w:cs="Times New Roman"/>
          <w:sz w:val="22"/>
        </w:rPr>
        <w:t xml:space="preserve">material </w:t>
      </w:r>
      <w:r w:rsidR="005E1E6D">
        <w:rPr>
          <w:rFonts w:cs="Times New Roman"/>
          <w:sz w:val="22"/>
        </w:rPr>
        <w:t>analysis</w:t>
      </w:r>
      <w:r w:rsidR="00A06EB9" w:rsidRPr="00B361C9">
        <w:rPr>
          <w:rFonts w:cs="Times New Roman"/>
          <w:sz w:val="22"/>
        </w:rPr>
        <w:t xml:space="preserve"> </w:t>
      </w:r>
      <w:r w:rsidR="00654343">
        <w:rPr>
          <w:rFonts w:cs="Times New Roman"/>
          <w:sz w:val="22"/>
        </w:rPr>
        <w:t xml:space="preserve">is further evolving to </w:t>
      </w:r>
      <w:r w:rsidR="00A06EB9" w:rsidRPr="00B361C9">
        <w:rPr>
          <w:rFonts w:cs="Times New Roman"/>
          <w:sz w:val="22"/>
        </w:rPr>
        <w:t>support international engagements (State Department</w:t>
      </w:r>
      <w:r w:rsidR="00335533" w:rsidRPr="00B361C9">
        <w:rPr>
          <w:rFonts w:cs="Times New Roman"/>
          <w:sz w:val="22"/>
        </w:rPr>
        <w:t>, Department of Energy</w:t>
      </w:r>
      <w:r w:rsidRPr="00B361C9">
        <w:rPr>
          <w:rFonts w:cs="Times New Roman"/>
          <w:sz w:val="22"/>
        </w:rPr>
        <w:t>),</w:t>
      </w:r>
      <w:r w:rsidR="00335533" w:rsidRPr="00B361C9">
        <w:rPr>
          <w:rFonts w:cs="Times New Roman"/>
          <w:sz w:val="22"/>
        </w:rPr>
        <w:t xml:space="preserve"> </w:t>
      </w:r>
      <w:r w:rsidR="00003F76" w:rsidRPr="00B361C9">
        <w:rPr>
          <w:rFonts w:cs="Times New Roman"/>
          <w:sz w:val="22"/>
        </w:rPr>
        <w:t>emergency response</w:t>
      </w:r>
      <w:r w:rsidR="00A06EB9" w:rsidRPr="00B361C9">
        <w:rPr>
          <w:rFonts w:cs="Times New Roman"/>
          <w:sz w:val="22"/>
        </w:rPr>
        <w:t>, nuclear forensics (criminal law enforcement, environmental law enforcement), national and international regulations (safeguards</w:t>
      </w:r>
      <w:r w:rsidR="00335533" w:rsidRPr="00B361C9">
        <w:rPr>
          <w:rFonts w:cs="Times New Roman"/>
          <w:sz w:val="22"/>
        </w:rPr>
        <w:t xml:space="preserve"> and safety</w:t>
      </w:r>
      <w:r w:rsidR="00A06EB9" w:rsidRPr="00B361C9">
        <w:rPr>
          <w:rFonts w:cs="Times New Roman"/>
          <w:sz w:val="22"/>
        </w:rPr>
        <w:t>), as well as support the more historical defense and energy programs.</w:t>
      </w:r>
      <w:r w:rsidR="009F573F">
        <w:rPr>
          <w:rFonts w:cs="Times New Roman"/>
          <w:sz w:val="22"/>
        </w:rPr>
        <w:t xml:space="preserve">  </w:t>
      </w:r>
      <w:r w:rsidR="00A06EB9" w:rsidRPr="00B361C9">
        <w:rPr>
          <w:rFonts w:cs="Times New Roman"/>
          <w:sz w:val="22"/>
        </w:rPr>
        <w:t xml:space="preserve">Because of </w:t>
      </w:r>
      <w:r w:rsidR="00654343">
        <w:rPr>
          <w:rFonts w:cs="Times New Roman"/>
          <w:sz w:val="22"/>
        </w:rPr>
        <w:t xml:space="preserve">ongoing actinide product certification </w:t>
      </w:r>
      <w:r w:rsidR="00A06EB9" w:rsidRPr="00B361C9">
        <w:rPr>
          <w:rFonts w:cs="Times New Roman"/>
          <w:sz w:val="22"/>
        </w:rPr>
        <w:t>work</w:t>
      </w:r>
      <w:r w:rsidR="00052D14" w:rsidRPr="00B361C9">
        <w:rPr>
          <w:rFonts w:cs="Times New Roman"/>
          <w:sz w:val="22"/>
        </w:rPr>
        <w:t xml:space="preserve"> </w:t>
      </w:r>
      <w:r w:rsidR="00723C46" w:rsidRPr="00B361C9">
        <w:rPr>
          <w:rFonts w:cs="Times New Roman"/>
          <w:sz w:val="22"/>
        </w:rPr>
        <w:t>at LANL</w:t>
      </w:r>
      <w:r w:rsidR="00A06EB9" w:rsidRPr="00B361C9">
        <w:rPr>
          <w:rFonts w:cs="Times New Roman"/>
          <w:sz w:val="22"/>
        </w:rPr>
        <w:t xml:space="preserve">, analytical chemistry </w:t>
      </w:r>
      <w:r w:rsidR="00BA58E0">
        <w:rPr>
          <w:rFonts w:cs="Times New Roman"/>
          <w:sz w:val="22"/>
        </w:rPr>
        <w:t>capabilities</w:t>
      </w:r>
      <w:r w:rsidR="00A06EB9" w:rsidRPr="00B361C9">
        <w:rPr>
          <w:rFonts w:cs="Times New Roman"/>
          <w:sz w:val="22"/>
        </w:rPr>
        <w:t xml:space="preserve"> </w:t>
      </w:r>
      <w:r w:rsidR="00723C46" w:rsidRPr="00B361C9">
        <w:rPr>
          <w:rFonts w:cs="Times New Roman"/>
          <w:sz w:val="22"/>
        </w:rPr>
        <w:t xml:space="preserve">already </w:t>
      </w:r>
      <w:r w:rsidR="00003F92">
        <w:rPr>
          <w:rFonts w:cs="Times New Roman"/>
          <w:sz w:val="22"/>
        </w:rPr>
        <w:t xml:space="preserve">operate </w:t>
      </w:r>
      <w:r w:rsidR="00654343">
        <w:rPr>
          <w:rFonts w:cs="Times New Roman"/>
          <w:sz w:val="22"/>
        </w:rPr>
        <w:t>under</w:t>
      </w:r>
      <w:r w:rsidR="00A97333">
        <w:rPr>
          <w:rFonts w:cs="Times New Roman"/>
          <w:sz w:val="22"/>
        </w:rPr>
        <w:t xml:space="preserve"> </w:t>
      </w:r>
      <w:r w:rsidR="00BA58E0">
        <w:rPr>
          <w:rFonts w:cs="Times New Roman"/>
          <w:sz w:val="22"/>
        </w:rPr>
        <w:t>comprehensive</w:t>
      </w:r>
      <w:r w:rsidR="00A06EB9" w:rsidRPr="00B361C9">
        <w:rPr>
          <w:rFonts w:cs="Times New Roman"/>
          <w:sz w:val="22"/>
        </w:rPr>
        <w:t xml:space="preserve"> </w:t>
      </w:r>
      <w:r w:rsidR="00BA58E0">
        <w:rPr>
          <w:rFonts w:cs="Times New Roman"/>
          <w:sz w:val="22"/>
        </w:rPr>
        <w:t>quality assurance (</w:t>
      </w:r>
      <w:r w:rsidR="00A06EB9" w:rsidRPr="00B361C9">
        <w:rPr>
          <w:rFonts w:cs="Times New Roman"/>
          <w:sz w:val="22"/>
        </w:rPr>
        <w:t>QA</w:t>
      </w:r>
      <w:r w:rsidR="00BA58E0">
        <w:rPr>
          <w:rFonts w:cs="Times New Roman"/>
          <w:sz w:val="22"/>
        </w:rPr>
        <w:t>)</w:t>
      </w:r>
      <w:r w:rsidR="00A06EB9" w:rsidRPr="00B361C9">
        <w:rPr>
          <w:rFonts w:cs="Times New Roman"/>
          <w:sz w:val="22"/>
        </w:rPr>
        <w:t xml:space="preserve"> and quality control (QC) guidelines.  </w:t>
      </w:r>
      <w:r w:rsidR="00BA58E0">
        <w:rPr>
          <w:rFonts w:cs="Times New Roman"/>
          <w:sz w:val="22"/>
        </w:rPr>
        <w:t>However, t</w:t>
      </w:r>
      <w:r w:rsidR="00BA58E0" w:rsidRPr="00B361C9">
        <w:rPr>
          <w:rFonts w:cs="Times New Roman"/>
          <w:sz w:val="22"/>
        </w:rPr>
        <w:t xml:space="preserve">he </w:t>
      </w:r>
      <w:r w:rsidR="00654343">
        <w:rPr>
          <w:rFonts w:cs="Times New Roman"/>
          <w:sz w:val="22"/>
        </w:rPr>
        <w:t xml:space="preserve">transitioning </w:t>
      </w:r>
      <w:r w:rsidR="00BA58E0" w:rsidRPr="00B361C9">
        <w:rPr>
          <w:rFonts w:cs="Times New Roman"/>
          <w:sz w:val="22"/>
        </w:rPr>
        <w:t xml:space="preserve">of analytical chemistry capabilities to support new programs requires a </w:t>
      </w:r>
      <w:r w:rsidR="00BA58E0">
        <w:rPr>
          <w:rFonts w:cs="Times New Roman"/>
          <w:sz w:val="22"/>
        </w:rPr>
        <w:t xml:space="preserve">corresponding improvement in operational </w:t>
      </w:r>
      <w:r w:rsidR="00654343">
        <w:rPr>
          <w:rFonts w:cs="Times New Roman"/>
          <w:sz w:val="22"/>
        </w:rPr>
        <w:t>QA</w:t>
      </w:r>
      <w:r w:rsidR="00B2718E">
        <w:rPr>
          <w:rFonts w:cs="Times New Roman"/>
          <w:sz w:val="22"/>
        </w:rPr>
        <w:t xml:space="preserve"> to meet courtroom admissibility standards [</w:t>
      </w:r>
      <w:r w:rsidR="00AB0945">
        <w:rPr>
          <w:rFonts w:cs="Times New Roman"/>
          <w:sz w:val="22"/>
        </w:rPr>
        <w:t>5</w:t>
      </w:r>
      <w:r w:rsidR="00B2718E">
        <w:rPr>
          <w:rFonts w:cs="Times New Roman"/>
          <w:sz w:val="22"/>
        </w:rPr>
        <w:t>]</w:t>
      </w:r>
      <w:r w:rsidR="00BA58E0" w:rsidRPr="00B361C9">
        <w:rPr>
          <w:rFonts w:cs="Times New Roman"/>
          <w:sz w:val="22"/>
        </w:rPr>
        <w:t>.</w:t>
      </w:r>
      <w:r w:rsidR="00A06EB9" w:rsidRPr="00B361C9">
        <w:rPr>
          <w:rFonts w:cs="Times New Roman"/>
          <w:sz w:val="22"/>
        </w:rPr>
        <w:t xml:space="preserve">  For example, nuclear forensic work requires much more stringent application for chain</w:t>
      </w:r>
      <w:r w:rsidR="005E1E6D">
        <w:rPr>
          <w:rFonts w:cs="Times New Roman"/>
          <w:sz w:val="22"/>
        </w:rPr>
        <w:t>-</w:t>
      </w:r>
      <w:r w:rsidR="00A06EB9" w:rsidRPr="00B361C9">
        <w:rPr>
          <w:rFonts w:cs="Times New Roman"/>
          <w:sz w:val="22"/>
        </w:rPr>
        <w:t>of</w:t>
      </w:r>
      <w:r w:rsidR="005E1E6D">
        <w:rPr>
          <w:rFonts w:cs="Times New Roman"/>
          <w:sz w:val="22"/>
        </w:rPr>
        <w:t>-</w:t>
      </w:r>
      <w:r w:rsidR="00A06EB9" w:rsidRPr="00B361C9">
        <w:rPr>
          <w:rFonts w:cs="Times New Roman"/>
          <w:sz w:val="22"/>
        </w:rPr>
        <w:t xml:space="preserve">custody of sample materials than standard requirements for international accountability and </w:t>
      </w:r>
      <w:r w:rsidR="008617D7" w:rsidRPr="00B361C9">
        <w:rPr>
          <w:rFonts w:cs="Times New Roman"/>
          <w:sz w:val="22"/>
        </w:rPr>
        <w:t>safeguards</w:t>
      </w:r>
      <w:r w:rsidR="00A06EB9" w:rsidRPr="00B361C9">
        <w:rPr>
          <w:rFonts w:cs="Times New Roman"/>
          <w:sz w:val="22"/>
        </w:rPr>
        <w:t>.</w:t>
      </w:r>
      <w:r w:rsidR="005E1E6D" w:rsidRPr="00B361C9">
        <w:rPr>
          <w:rFonts w:cs="Times New Roman"/>
          <w:sz w:val="22"/>
        </w:rPr>
        <w:t xml:space="preserve"> </w:t>
      </w:r>
      <w:r w:rsidR="00CD2E22">
        <w:rPr>
          <w:rFonts w:cs="Times New Roman"/>
          <w:sz w:val="22"/>
        </w:rPr>
        <w:t xml:space="preserve"> In </w:t>
      </w:r>
      <w:r w:rsidR="00CD2E22">
        <w:rPr>
          <w:rFonts w:cs="Times New Roman"/>
          <w:sz w:val="22"/>
        </w:rPr>
        <w:lastRenderedPageBreak/>
        <w:t xml:space="preserve">addition, application of new </w:t>
      </w:r>
      <w:r w:rsidR="00654343">
        <w:rPr>
          <w:rFonts w:cs="Times New Roman"/>
          <w:sz w:val="22"/>
        </w:rPr>
        <w:t xml:space="preserve">analytical </w:t>
      </w:r>
      <w:r w:rsidR="00CD2E22">
        <w:rPr>
          <w:rFonts w:cs="Times New Roman"/>
          <w:sz w:val="22"/>
        </w:rPr>
        <w:t>methods to material</w:t>
      </w:r>
      <w:r w:rsidR="00654343">
        <w:rPr>
          <w:rFonts w:cs="Times New Roman"/>
          <w:sz w:val="22"/>
        </w:rPr>
        <w:t xml:space="preserve"> analysis</w:t>
      </w:r>
      <w:r w:rsidR="00CD2E22">
        <w:rPr>
          <w:rFonts w:cs="Times New Roman"/>
          <w:sz w:val="22"/>
        </w:rPr>
        <w:t xml:space="preserve"> is often required.  Pcynometry, scanning electron </w:t>
      </w:r>
      <w:r w:rsidR="00012405">
        <w:rPr>
          <w:rFonts w:cs="Times New Roman"/>
          <w:sz w:val="22"/>
        </w:rPr>
        <w:t>microscopy,</w:t>
      </w:r>
      <w:r w:rsidR="00CD2E22">
        <w:rPr>
          <w:rFonts w:cs="Times New Roman"/>
          <w:sz w:val="22"/>
        </w:rPr>
        <w:t xml:space="preserve"> and x-ray diffraction are methods </w:t>
      </w:r>
      <w:r w:rsidR="00E43DAB">
        <w:rPr>
          <w:rFonts w:cs="Times New Roman"/>
          <w:sz w:val="22"/>
        </w:rPr>
        <w:t xml:space="preserve">traditionally </w:t>
      </w:r>
      <w:r w:rsidR="00CD2E22">
        <w:rPr>
          <w:rFonts w:cs="Times New Roman"/>
          <w:sz w:val="22"/>
        </w:rPr>
        <w:t xml:space="preserve">used in areas of research and development </w:t>
      </w:r>
      <w:r w:rsidR="00654343">
        <w:rPr>
          <w:rFonts w:cs="Times New Roman"/>
          <w:sz w:val="22"/>
        </w:rPr>
        <w:t xml:space="preserve">rather </w:t>
      </w:r>
      <w:r w:rsidR="00CD2E22">
        <w:rPr>
          <w:rFonts w:cs="Times New Roman"/>
          <w:sz w:val="22"/>
        </w:rPr>
        <w:t>than in</w:t>
      </w:r>
      <w:r w:rsidR="00012405">
        <w:rPr>
          <w:rFonts w:cs="Times New Roman"/>
          <w:sz w:val="22"/>
        </w:rPr>
        <w:t xml:space="preserve"> routine</w:t>
      </w:r>
      <w:r w:rsidR="00CD2E22">
        <w:rPr>
          <w:rFonts w:cs="Times New Roman"/>
          <w:sz w:val="22"/>
        </w:rPr>
        <w:t xml:space="preserve"> characterization of SNM materials.  These new methods require developmen</w:t>
      </w:r>
      <w:r w:rsidR="00CD2E22" w:rsidRPr="007D1280">
        <w:rPr>
          <w:rFonts w:cs="Times New Roman"/>
          <w:sz w:val="22"/>
        </w:rPr>
        <w:t xml:space="preserve">t of standards and appropriate controls if they are to be useful </w:t>
      </w:r>
      <w:r w:rsidR="00012405" w:rsidRPr="007D1280">
        <w:rPr>
          <w:rFonts w:cs="Times New Roman"/>
          <w:sz w:val="22"/>
        </w:rPr>
        <w:t>to all programs</w:t>
      </w:r>
      <w:r w:rsidR="00E43DAB" w:rsidRPr="007D1280">
        <w:rPr>
          <w:rFonts w:cs="Times New Roman"/>
          <w:sz w:val="22"/>
        </w:rPr>
        <w:t xml:space="preserve"> [</w:t>
      </w:r>
      <w:r w:rsidR="00AB0945">
        <w:rPr>
          <w:rFonts w:cs="Times New Roman"/>
          <w:sz w:val="22"/>
        </w:rPr>
        <w:t>2</w:t>
      </w:r>
      <w:r w:rsidR="00E43DAB" w:rsidRPr="007D1280">
        <w:rPr>
          <w:rFonts w:cs="Times New Roman"/>
          <w:sz w:val="22"/>
        </w:rPr>
        <w:t>]</w:t>
      </w:r>
      <w:r w:rsidR="00012405" w:rsidRPr="007D1280">
        <w:rPr>
          <w:rFonts w:cs="Times New Roman"/>
          <w:sz w:val="22"/>
        </w:rPr>
        <w:t>.</w:t>
      </w:r>
    </w:p>
    <w:p w:rsidR="0025461D" w:rsidRPr="007D1280" w:rsidRDefault="00A37AF7" w:rsidP="00FF7762">
      <w:pPr>
        <w:autoSpaceDE w:val="0"/>
        <w:autoSpaceDN w:val="0"/>
        <w:adjustRightInd w:val="0"/>
        <w:spacing w:after="0" w:line="240" w:lineRule="auto"/>
        <w:rPr>
          <w:rFonts w:cs="Times New Roman"/>
          <w:sz w:val="22"/>
        </w:rPr>
      </w:pPr>
      <w:r w:rsidRPr="007D1280">
        <w:rPr>
          <w:rFonts w:cs="Times New Roman"/>
          <w:sz w:val="22"/>
        </w:rPr>
        <w:t>T</w:t>
      </w:r>
      <w:r w:rsidR="006928DB" w:rsidRPr="007D1280">
        <w:rPr>
          <w:rFonts w:cs="Times New Roman"/>
          <w:sz w:val="22"/>
        </w:rPr>
        <w:t xml:space="preserve">he </w:t>
      </w:r>
      <w:r w:rsidR="00653BCA" w:rsidRPr="007D1280">
        <w:rPr>
          <w:rFonts w:cs="Times New Roman"/>
          <w:sz w:val="22"/>
        </w:rPr>
        <w:t xml:space="preserve">majority of </w:t>
      </w:r>
      <w:r w:rsidR="00A06EB9" w:rsidRPr="007D1280">
        <w:rPr>
          <w:rFonts w:cs="Times New Roman"/>
          <w:sz w:val="22"/>
        </w:rPr>
        <w:t xml:space="preserve">the existing certified reference materials </w:t>
      </w:r>
      <w:r w:rsidR="00326084" w:rsidRPr="007D1280">
        <w:rPr>
          <w:rFonts w:cs="Times New Roman"/>
          <w:sz w:val="22"/>
        </w:rPr>
        <w:t>(CRMs) for bulk SNM</w:t>
      </w:r>
      <w:r w:rsidR="00BD342A" w:rsidRPr="007D1280">
        <w:rPr>
          <w:rFonts w:cs="Times New Roman"/>
          <w:sz w:val="22"/>
        </w:rPr>
        <w:t xml:space="preserve"> analysis </w:t>
      </w:r>
      <w:r w:rsidR="00A06EB9" w:rsidRPr="007D1280">
        <w:rPr>
          <w:rFonts w:cs="Times New Roman"/>
          <w:sz w:val="22"/>
        </w:rPr>
        <w:t xml:space="preserve">were </w:t>
      </w:r>
      <w:r w:rsidR="00FB551B" w:rsidRPr="007D1280">
        <w:rPr>
          <w:rFonts w:cs="Times New Roman"/>
          <w:sz w:val="22"/>
        </w:rPr>
        <w:t>produced</w:t>
      </w:r>
      <w:r w:rsidR="00A06EB9" w:rsidRPr="007D1280">
        <w:rPr>
          <w:rFonts w:cs="Times New Roman"/>
          <w:sz w:val="22"/>
        </w:rPr>
        <w:t xml:space="preserve"> in support of </w:t>
      </w:r>
      <w:r w:rsidR="00FB551B" w:rsidRPr="007D1280">
        <w:rPr>
          <w:rFonts w:cs="Times New Roman"/>
          <w:sz w:val="22"/>
        </w:rPr>
        <w:t>international safeguards</w:t>
      </w:r>
      <w:r w:rsidR="00326084" w:rsidRPr="007D1280">
        <w:rPr>
          <w:rFonts w:cs="Times New Roman"/>
          <w:sz w:val="22"/>
        </w:rPr>
        <w:t>,</w:t>
      </w:r>
      <w:r w:rsidR="00FB551B" w:rsidRPr="007D1280">
        <w:rPr>
          <w:rFonts w:cs="Times New Roman"/>
          <w:sz w:val="22"/>
        </w:rPr>
        <w:t xml:space="preserve"> </w:t>
      </w:r>
      <w:r w:rsidR="00BD342A" w:rsidRPr="007D1280">
        <w:rPr>
          <w:rFonts w:cs="Times New Roman"/>
          <w:sz w:val="22"/>
        </w:rPr>
        <w:t xml:space="preserve">but </w:t>
      </w:r>
      <w:r w:rsidR="00C433F2">
        <w:rPr>
          <w:rFonts w:cs="Times New Roman"/>
          <w:sz w:val="22"/>
        </w:rPr>
        <w:t xml:space="preserve">are </w:t>
      </w:r>
      <w:r w:rsidR="00BD342A" w:rsidRPr="007D1280">
        <w:rPr>
          <w:rFonts w:cs="Times New Roman"/>
          <w:sz w:val="22"/>
        </w:rPr>
        <w:t xml:space="preserve">also </w:t>
      </w:r>
      <w:r w:rsidR="00C433F2">
        <w:rPr>
          <w:rFonts w:cs="Times New Roman"/>
          <w:sz w:val="22"/>
        </w:rPr>
        <w:t>relevant to</w:t>
      </w:r>
      <w:r w:rsidR="00A06EB9" w:rsidRPr="007D1280">
        <w:rPr>
          <w:rFonts w:cs="Times New Roman"/>
          <w:sz w:val="22"/>
        </w:rPr>
        <w:t xml:space="preserve"> nuclear power</w:t>
      </w:r>
      <w:r w:rsidR="00052D14" w:rsidRPr="007D1280">
        <w:rPr>
          <w:rFonts w:cs="Times New Roman"/>
          <w:sz w:val="22"/>
        </w:rPr>
        <w:t xml:space="preserve"> </w:t>
      </w:r>
      <w:r w:rsidR="00BD342A" w:rsidRPr="007D1280">
        <w:rPr>
          <w:rFonts w:cs="Times New Roman"/>
          <w:sz w:val="22"/>
        </w:rPr>
        <w:t>and</w:t>
      </w:r>
      <w:r w:rsidR="00A06EB9" w:rsidRPr="007D1280">
        <w:rPr>
          <w:rFonts w:cs="Times New Roman"/>
          <w:sz w:val="22"/>
        </w:rPr>
        <w:t xml:space="preserve"> defense programs</w:t>
      </w:r>
      <w:r w:rsidR="00B84E01" w:rsidRPr="007D1280">
        <w:rPr>
          <w:rFonts w:cs="Times New Roman"/>
          <w:sz w:val="22"/>
        </w:rPr>
        <w:t>,</w:t>
      </w:r>
      <w:r w:rsidR="00BD342A" w:rsidRPr="007D1280">
        <w:rPr>
          <w:rFonts w:cs="Times New Roman"/>
          <w:sz w:val="22"/>
        </w:rPr>
        <w:t xml:space="preserve"> amongst others</w:t>
      </w:r>
      <w:r w:rsidR="00A06EB9" w:rsidRPr="007D1280">
        <w:rPr>
          <w:rFonts w:cs="Times New Roman"/>
          <w:sz w:val="22"/>
        </w:rPr>
        <w:t xml:space="preserve">.  </w:t>
      </w:r>
      <w:r w:rsidR="000F2AEB" w:rsidRPr="007D1280">
        <w:rPr>
          <w:rFonts w:cs="Times New Roman"/>
          <w:sz w:val="22"/>
        </w:rPr>
        <w:t>In the nuclear forensic analysis community</w:t>
      </w:r>
      <w:r w:rsidR="00C433F2">
        <w:rPr>
          <w:rFonts w:cs="Times New Roman"/>
          <w:sz w:val="22"/>
        </w:rPr>
        <w:t>,</w:t>
      </w:r>
      <w:r w:rsidR="000F2AEB" w:rsidRPr="007D1280">
        <w:rPr>
          <w:rFonts w:cs="Times New Roman"/>
          <w:sz w:val="22"/>
        </w:rPr>
        <w:t xml:space="preserve"> the ability to prove or trace </w:t>
      </w:r>
      <w:r w:rsidR="00C433F2">
        <w:rPr>
          <w:rFonts w:cs="Times New Roman"/>
          <w:sz w:val="22"/>
        </w:rPr>
        <w:t xml:space="preserve">sample measurement </w:t>
      </w:r>
      <w:r w:rsidR="000F2AEB" w:rsidRPr="007D1280">
        <w:rPr>
          <w:rFonts w:cs="Times New Roman"/>
          <w:sz w:val="22"/>
        </w:rPr>
        <w:t xml:space="preserve">data back to a traceable, established metrological </w:t>
      </w:r>
      <w:r w:rsidR="00C433F2">
        <w:rPr>
          <w:rFonts w:cs="Times New Roman"/>
          <w:sz w:val="22"/>
        </w:rPr>
        <w:t xml:space="preserve">standardization </w:t>
      </w:r>
      <w:r w:rsidR="000F2AEB" w:rsidRPr="007D1280">
        <w:rPr>
          <w:rFonts w:cs="Times New Roman"/>
          <w:sz w:val="22"/>
        </w:rPr>
        <w:t>scheme is critical</w:t>
      </w:r>
      <w:r w:rsidR="001E319E" w:rsidRPr="007D1280">
        <w:rPr>
          <w:rFonts w:cs="Times New Roman"/>
          <w:sz w:val="22"/>
        </w:rPr>
        <w:t xml:space="preserve"> to defensibility</w:t>
      </w:r>
      <w:r w:rsidR="000F2AEB" w:rsidRPr="007D1280">
        <w:rPr>
          <w:rFonts w:cs="Times New Roman"/>
          <w:sz w:val="22"/>
        </w:rPr>
        <w:t>.  A</w:t>
      </w:r>
      <w:r w:rsidR="001E319E" w:rsidRPr="007D1280">
        <w:rPr>
          <w:rFonts w:cs="Times New Roman"/>
          <w:sz w:val="22"/>
        </w:rPr>
        <w:t xml:space="preserve">vailability of a </w:t>
      </w:r>
      <w:r w:rsidR="000F2AEB" w:rsidRPr="007D1280">
        <w:rPr>
          <w:rFonts w:cs="Times New Roman"/>
          <w:sz w:val="22"/>
        </w:rPr>
        <w:t xml:space="preserve">limited number of traceable, matrix-matched standards with certified values and uncertainties representative of modern analytical techniques has been recognized as affecting confidence in the measurement results on important nuclear materials [2].  </w:t>
      </w:r>
      <w:r w:rsidR="00C433F2">
        <w:rPr>
          <w:rFonts w:cs="Times New Roman"/>
          <w:sz w:val="22"/>
        </w:rPr>
        <w:t xml:space="preserve"> In addition, </w:t>
      </w:r>
      <w:r w:rsidR="000F2AEB" w:rsidRPr="007D1280">
        <w:rPr>
          <w:rFonts w:cs="Times New Roman"/>
          <w:sz w:val="22"/>
        </w:rPr>
        <w:t xml:space="preserve">available matrix-matched, traceable standards </w:t>
      </w:r>
      <w:r w:rsidR="00C433F2">
        <w:rPr>
          <w:rFonts w:cs="Times New Roman"/>
          <w:sz w:val="22"/>
        </w:rPr>
        <w:t xml:space="preserve">are </w:t>
      </w:r>
      <w:r w:rsidR="000F2AEB" w:rsidRPr="007D1280">
        <w:rPr>
          <w:rFonts w:cs="Times New Roman"/>
          <w:sz w:val="22"/>
        </w:rPr>
        <w:t xml:space="preserve">(1) limited in material type (U, Pu…) and compositions; (2) provide certified values </w:t>
      </w:r>
      <w:r w:rsidR="00C433F2">
        <w:rPr>
          <w:rFonts w:cs="Times New Roman"/>
          <w:sz w:val="22"/>
        </w:rPr>
        <w:t xml:space="preserve">for a limited analyte set </w:t>
      </w:r>
      <w:r w:rsidR="000F2AEB" w:rsidRPr="007D1280">
        <w:rPr>
          <w:rFonts w:cs="Times New Roman"/>
          <w:sz w:val="22"/>
        </w:rPr>
        <w:t xml:space="preserve">focused on past nuclear program needs; (3) carry measurement uncertainties </w:t>
      </w:r>
      <w:r w:rsidR="00C433F2">
        <w:rPr>
          <w:rFonts w:cs="Times New Roman"/>
          <w:sz w:val="22"/>
        </w:rPr>
        <w:t>determined using</w:t>
      </w:r>
      <w:r w:rsidR="000F2AEB" w:rsidRPr="007D1280">
        <w:rPr>
          <w:rFonts w:cs="Times New Roman"/>
          <w:sz w:val="22"/>
        </w:rPr>
        <w:t xml:space="preserve"> old and less precise methods; (4) are packaged in amounts too large for easy shipping or site handling; or (5) are often not available at all for </w:t>
      </w:r>
      <w:r w:rsidR="00C433F2">
        <w:rPr>
          <w:rFonts w:cs="Times New Roman"/>
          <w:sz w:val="22"/>
        </w:rPr>
        <w:t xml:space="preserve">important characteristic </w:t>
      </w:r>
      <w:r w:rsidR="000F2AEB" w:rsidRPr="007D1280">
        <w:rPr>
          <w:rFonts w:cs="Times New Roman"/>
          <w:sz w:val="22"/>
        </w:rPr>
        <w:t>measurements.</w:t>
      </w:r>
      <w:r w:rsidR="0025461D" w:rsidRPr="007D1280">
        <w:rPr>
          <w:rFonts w:cs="Times New Roman"/>
          <w:sz w:val="22"/>
        </w:rPr>
        <w:t xml:space="preserve"> </w:t>
      </w:r>
      <w:r w:rsidR="000F2AEB" w:rsidRPr="007D1280">
        <w:rPr>
          <w:rFonts w:cs="Times New Roman"/>
          <w:sz w:val="22"/>
        </w:rPr>
        <w:t xml:space="preserve"> Extensive discussions of these shortcomings are published in the Inn et. al. </w:t>
      </w:r>
      <w:r w:rsidR="00AB0945">
        <w:rPr>
          <w:rFonts w:cs="Times New Roman"/>
          <w:sz w:val="22"/>
        </w:rPr>
        <w:t>2008 [6</w:t>
      </w:r>
      <w:r w:rsidR="000F2AEB" w:rsidRPr="007D1280">
        <w:rPr>
          <w:rFonts w:cs="Times New Roman"/>
          <w:sz w:val="22"/>
        </w:rPr>
        <w:t>] and 2013 paper [</w:t>
      </w:r>
      <w:r w:rsidR="00AB0945">
        <w:rPr>
          <w:rFonts w:cs="Times New Roman"/>
          <w:sz w:val="22"/>
        </w:rPr>
        <w:t>7</w:t>
      </w:r>
      <w:r w:rsidR="000F2AEB" w:rsidRPr="007D1280">
        <w:rPr>
          <w:rFonts w:cs="Times New Roman"/>
          <w:sz w:val="22"/>
        </w:rPr>
        <w:t xml:space="preserve">].  </w:t>
      </w:r>
    </w:p>
    <w:p w:rsidR="0025461D" w:rsidRPr="007D1280" w:rsidRDefault="0025461D" w:rsidP="00FF7762">
      <w:pPr>
        <w:autoSpaceDE w:val="0"/>
        <w:autoSpaceDN w:val="0"/>
        <w:adjustRightInd w:val="0"/>
        <w:spacing w:after="0" w:line="240" w:lineRule="auto"/>
        <w:rPr>
          <w:rFonts w:cs="Times New Roman"/>
          <w:sz w:val="22"/>
        </w:rPr>
      </w:pPr>
    </w:p>
    <w:p w:rsidR="00003F76" w:rsidRPr="00B361C9" w:rsidRDefault="00A06EB9" w:rsidP="00FF7762">
      <w:pPr>
        <w:autoSpaceDE w:val="0"/>
        <w:autoSpaceDN w:val="0"/>
        <w:adjustRightInd w:val="0"/>
        <w:spacing w:after="0" w:line="240" w:lineRule="auto"/>
        <w:rPr>
          <w:rFonts w:cs="Times New Roman"/>
          <w:sz w:val="22"/>
        </w:rPr>
      </w:pPr>
      <w:r w:rsidRPr="007D1280">
        <w:rPr>
          <w:rFonts w:cs="Times New Roman"/>
          <w:sz w:val="22"/>
        </w:rPr>
        <w:t>Drawing guidance from the National Institute of Standards and Technology (NIST) and New Brunswick Laboratory (NBL), the US nuclear forensic community</w:t>
      </w:r>
      <w:r w:rsidR="009503C9" w:rsidRPr="007D1280">
        <w:rPr>
          <w:rFonts w:cs="Times New Roman"/>
          <w:sz w:val="22"/>
        </w:rPr>
        <w:t xml:space="preserve"> </w:t>
      </w:r>
      <w:r w:rsidRPr="007D1280">
        <w:rPr>
          <w:rFonts w:cs="Times New Roman"/>
          <w:sz w:val="22"/>
        </w:rPr>
        <w:t>is working to define and develop the reference materials necessary to ensure the inte</w:t>
      </w:r>
      <w:r w:rsidRPr="00B361C9">
        <w:rPr>
          <w:rFonts w:cs="Times New Roman"/>
          <w:sz w:val="22"/>
        </w:rPr>
        <w:t xml:space="preserve">grity of critical forensic measurements.  From this work, various federal agencies have developed a plan to produce CRMs and </w:t>
      </w:r>
      <w:r w:rsidR="00031D56">
        <w:rPr>
          <w:rFonts w:cs="Times New Roman"/>
          <w:sz w:val="22"/>
        </w:rPr>
        <w:t>working reference materials (</w:t>
      </w:r>
      <w:r w:rsidRPr="00B361C9">
        <w:rPr>
          <w:rFonts w:cs="Times New Roman"/>
          <w:sz w:val="22"/>
        </w:rPr>
        <w:t>WRMs</w:t>
      </w:r>
      <w:r w:rsidR="00031D56">
        <w:rPr>
          <w:rFonts w:cs="Times New Roman"/>
          <w:sz w:val="22"/>
        </w:rPr>
        <w:t>)</w:t>
      </w:r>
      <w:r w:rsidRPr="00B361C9">
        <w:rPr>
          <w:rFonts w:cs="Times New Roman"/>
          <w:sz w:val="22"/>
        </w:rPr>
        <w:t xml:space="preserve"> for trace actinides, trace </w:t>
      </w:r>
      <w:r w:rsidR="00031D56">
        <w:rPr>
          <w:rFonts w:cs="Times New Roman"/>
          <w:sz w:val="22"/>
        </w:rPr>
        <w:t xml:space="preserve">metal </w:t>
      </w:r>
      <w:r w:rsidRPr="00B361C9">
        <w:rPr>
          <w:rFonts w:cs="Times New Roman"/>
          <w:sz w:val="22"/>
        </w:rPr>
        <w:t>elements, and chronomet</w:t>
      </w:r>
      <w:r w:rsidR="00031D56">
        <w:rPr>
          <w:rFonts w:cs="Times New Roman"/>
          <w:sz w:val="22"/>
        </w:rPr>
        <w:t>e</w:t>
      </w:r>
      <w:r w:rsidRPr="00B361C9">
        <w:rPr>
          <w:rFonts w:cs="Times New Roman"/>
          <w:sz w:val="22"/>
        </w:rPr>
        <w:t>r</w:t>
      </w:r>
      <w:r w:rsidR="00031D56">
        <w:rPr>
          <w:rFonts w:cs="Times New Roman"/>
          <w:sz w:val="22"/>
        </w:rPr>
        <w:t>s</w:t>
      </w:r>
      <w:r w:rsidRPr="00B361C9">
        <w:rPr>
          <w:rFonts w:cs="Times New Roman"/>
          <w:sz w:val="22"/>
        </w:rPr>
        <w:t xml:space="preserve"> in </w:t>
      </w:r>
      <w:r w:rsidR="00635742">
        <w:rPr>
          <w:rFonts w:cs="Times New Roman"/>
          <w:sz w:val="22"/>
        </w:rPr>
        <w:t>uranium (</w:t>
      </w:r>
      <w:r w:rsidRPr="00B361C9">
        <w:rPr>
          <w:rFonts w:cs="Times New Roman"/>
          <w:sz w:val="22"/>
        </w:rPr>
        <w:t>U</w:t>
      </w:r>
      <w:r w:rsidR="00635742">
        <w:rPr>
          <w:rFonts w:cs="Times New Roman"/>
          <w:sz w:val="22"/>
        </w:rPr>
        <w:t>) and pl</w:t>
      </w:r>
      <w:r w:rsidRPr="00B361C9">
        <w:rPr>
          <w:rFonts w:cs="Times New Roman"/>
          <w:sz w:val="22"/>
        </w:rPr>
        <w:t>u</w:t>
      </w:r>
      <w:r w:rsidR="00635742">
        <w:rPr>
          <w:rFonts w:cs="Times New Roman"/>
          <w:sz w:val="22"/>
        </w:rPr>
        <w:t>tonium (Pu)</w:t>
      </w:r>
      <w:r w:rsidRPr="00B361C9">
        <w:rPr>
          <w:rFonts w:cs="Times New Roman"/>
          <w:sz w:val="22"/>
        </w:rPr>
        <w:t xml:space="preserve"> matrices [</w:t>
      </w:r>
      <w:r w:rsidR="00AB0945">
        <w:rPr>
          <w:rFonts w:cs="Times New Roman"/>
          <w:sz w:val="22"/>
        </w:rPr>
        <w:t>6, 7</w:t>
      </w:r>
      <w:r w:rsidRPr="00DD569D">
        <w:rPr>
          <w:rFonts w:cs="Times New Roman"/>
          <w:sz w:val="22"/>
        </w:rPr>
        <w:t>].</w:t>
      </w:r>
      <w:r w:rsidRPr="00B361C9">
        <w:rPr>
          <w:rFonts w:cs="Times New Roman"/>
          <w:sz w:val="22"/>
        </w:rPr>
        <w:t xml:space="preserve">  Separately there is an ongoing effort at the international level through the various metrology labs </w:t>
      </w:r>
      <w:r w:rsidR="00BD342A" w:rsidRPr="00B361C9">
        <w:rPr>
          <w:rFonts w:cs="Times New Roman"/>
          <w:sz w:val="22"/>
        </w:rPr>
        <w:t>from across the globe (</w:t>
      </w:r>
      <w:r w:rsidR="002F501D">
        <w:rPr>
          <w:rFonts w:cs="Times New Roman"/>
          <w:sz w:val="22"/>
        </w:rPr>
        <w:t>including</w:t>
      </w:r>
      <w:r w:rsidR="00E66137">
        <w:rPr>
          <w:rFonts w:cs="Times New Roman"/>
          <w:sz w:val="22"/>
        </w:rPr>
        <w:t xml:space="preserve"> </w:t>
      </w:r>
      <w:r w:rsidR="00BD342A" w:rsidRPr="00B361C9">
        <w:rPr>
          <w:rFonts w:cs="Times New Roman"/>
          <w:sz w:val="22"/>
        </w:rPr>
        <w:t xml:space="preserve">NIST, NBL, </w:t>
      </w:r>
      <w:r w:rsidR="00FF7762" w:rsidRPr="00FF7762">
        <w:rPr>
          <w:rFonts w:cs="Times New Roman"/>
          <w:sz w:val="22"/>
        </w:rPr>
        <w:t>Commission d’ÉTAblissement des Méthodesd’Analyse: Analytical Methods Committee</w:t>
      </w:r>
      <w:r w:rsidR="00FF7762">
        <w:rPr>
          <w:rFonts w:cs="Times New Roman"/>
          <w:sz w:val="22"/>
        </w:rPr>
        <w:t xml:space="preserve"> </w:t>
      </w:r>
      <w:r w:rsidR="00E66137">
        <w:rPr>
          <w:rFonts w:cs="Times New Roman"/>
          <w:sz w:val="22"/>
        </w:rPr>
        <w:t>[CETAMA]</w:t>
      </w:r>
      <w:r w:rsidR="00FF7762">
        <w:rPr>
          <w:rFonts w:cs="Times New Roman"/>
          <w:sz w:val="22"/>
        </w:rPr>
        <w:t xml:space="preserve">, </w:t>
      </w:r>
      <w:r w:rsidR="00EB202E">
        <w:rPr>
          <w:rFonts w:cs="Times New Roman"/>
          <w:sz w:val="22"/>
        </w:rPr>
        <w:t xml:space="preserve">and the </w:t>
      </w:r>
      <w:r w:rsidR="00B84E01" w:rsidRPr="00B361C9">
        <w:rPr>
          <w:rFonts w:cs="Times New Roman"/>
          <w:sz w:val="22"/>
        </w:rPr>
        <w:t xml:space="preserve">Institute for Reference Materials and </w:t>
      </w:r>
      <w:r w:rsidR="00FF7762" w:rsidRPr="00B361C9">
        <w:rPr>
          <w:rFonts w:cs="Times New Roman"/>
          <w:sz w:val="22"/>
        </w:rPr>
        <w:t>Measurements</w:t>
      </w:r>
      <w:r w:rsidR="00E66137">
        <w:rPr>
          <w:rFonts w:cs="Times New Roman"/>
          <w:sz w:val="22"/>
        </w:rPr>
        <w:t xml:space="preserve"> [IRMM]</w:t>
      </w:r>
      <w:r w:rsidR="00003F76" w:rsidRPr="00B361C9">
        <w:rPr>
          <w:rFonts w:cs="Times New Roman"/>
          <w:sz w:val="22"/>
        </w:rPr>
        <w:t>)</w:t>
      </w:r>
      <w:r w:rsidR="00BD342A" w:rsidRPr="00B361C9">
        <w:rPr>
          <w:rFonts w:cs="Times New Roman"/>
          <w:sz w:val="22"/>
        </w:rPr>
        <w:t xml:space="preserve"> </w:t>
      </w:r>
      <w:r w:rsidR="00003F76" w:rsidRPr="00B361C9">
        <w:rPr>
          <w:rFonts w:cs="Times New Roman"/>
          <w:sz w:val="22"/>
        </w:rPr>
        <w:t>to</w:t>
      </w:r>
      <w:r w:rsidR="00BD342A" w:rsidRPr="00B361C9">
        <w:rPr>
          <w:rFonts w:cs="Times New Roman"/>
          <w:sz w:val="22"/>
        </w:rPr>
        <w:t xml:space="preserve"> provide support for nuclear forensics and </w:t>
      </w:r>
      <w:r w:rsidR="00E66137">
        <w:rPr>
          <w:rFonts w:cs="Times New Roman"/>
          <w:sz w:val="22"/>
        </w:rPr>
        <w:t>the</w:t>
      </w:r>
      <w:r w:rsidR="00BD342A" w:rsidRPr="00B361C9">
        <w:rPr>
          <w:rFonts w:cs="Times New Roman"/>
          <w:sz w:val="22"/>
        </w:rPr>
        <w:t xml:space="preserve"> International Atomic Energy Agency</w:t>
      </w:r>
      <w:r w:rsidR="00E66137">
        <w:rPr>
          <w:rFonts w:cs="Times New Roman"/>
          <w:sz w:val="22"/>
        </w:rPr>
        <w:t xml:space="preserve"> (IAEA)</w:t>
      </w:r>
      <w:r w:rsidR="004423CB">
        <w:rPr>
          <w:rFonts w:cs="Times New Roman"/>
          <w:sz w:val="22"/>
        </w:rPr>
        <w:t xml:space="preserve"> </w:t>
      </w:r>
      <w:r w:rsidR="002E7085" w:rsidRPr="00DD569D">
        <w:rPr>
          <w:rFonts w:cs="Times New Roman"/>
          <w:sz w:val="22"/>
        </w:rPr>
        <w:t>[</w:t>
      </w:r>
      <w:r w:rsidR="00AB0945">
        <w:rPr>
          <w:rFonts w:cs="Times New Roman"/>
          <w:sz w:val="22"/>
        </w:rPr>
        <w:t>8, 9</w:t>
      </w:r>
      <w:r w:rsidR="002E7085" w:rsidRPr="00B361C9">
        <w:rPr>
          <w:rFonts w:cs="Times New Roman"/>
          <w:sz w:val="22"/>
        </w:rPr>
        <w:t>]</w:t>
      </w:r>
      <w:r w:rsidR="00D3399D" w:rsidRPr="00B361C9">
        <w:rPr>
          <w:rFonts w:cs="Times New Roman"/>
          <w:sz w:val="22"/>
        </w:rPr>
        <w:t>.</w:t>
      </w:r>
      <w:r w:rsidR="00003F76" w:rsidRPr="00B361C9">
        <w:rPr>
          <w:rFonts w:cs="Times New Roman"/>
          <w:sz w:val="22"/>
        </w:rPr>
        <w:t xml:space="preserve">  </w:t>
      </w:r>
      <w:r w:rsidR="002C4C98" w:rsidRPr="00B361C9">
        <w:rPr>
          <w:rFonts w:cs="Times New Roman"/>
          <w:sz w:val="22"/>
        </w:rPr>
        <w:t xml:space="preserve">In this paper, </w:t>
      </w:r>
      <w:r w:rsidR="002C4C98">
        <w:rPr>
          <w:rFonts w:cs="Times New Roman"/>
          <w:sz w:val="22"/>
        </w:rPr>
        <w:t>work LANL has performed towards the overall goal of providing</w:t>
      </w:r>
      <w:r w:rsidR="002C4C98" w:rsidRPr="00B361C9">
        <w:rPr>
          <w:rFonts w:cs="Times New Roman"/>
          <w:sz w:val="22"/>
        </w:rPr>
        <w:t xml:space="preserve"> well-characterized, homogeneous, stable, pedigreed materials </w:t>
      </w:r>
      <w:r w:rsidR="002C4C98">
        <w:rPr>
          <w:rFonts w:cs="Times New Roman"/>
          <w:sz w:val="22"/>
        </w:rPr>
        <w:t>for</w:t>
      </w:r>
      <w:r w:rsidR="002C4C98" w:rsidRPr="00B361C9">
        <w:rPr>
          <w:rFonts w:cs="Times New Roman"/>
          <w:sz w:val="22"/>
        </w:rPr>
        <w:t xml:space="preserve"> QA and traceability on nuclear forensic materials </w:t>
      </w:r>
      <w:r w:rsidR="002C4C98">
        <w:rPr>
          <w:rFonts w:cs="Times New Roman"/>
          <w:sz w:val="22"/>
        </w:rPr>
        <w:t>is</w:t>
      </w:r>
      <w:r w:rsidR="002C4C98" w:rsidRPr="00B361C9">
        <w:rPr>
          <w:rFonts w:cs="Times New Roman"/>
          <w:sz w:val="22"/>
        </w:rPr>
        <w:t xml:space="preserve"> discussed.</w:t>
      </w:r>
    </w:p>
    <w:p w:rsidR="00003F76" w:rsidRPr="00B361C9" w:rsidRDefault="00003F76" w:rsidP="008151E8">
      <w:pPr>
        <w:autoSpaceDE w:val="0"/>
        <w:autoSpaceDN w:val="0"/>
        <w:adjustRightInd w:val="0"/>
        <w:spacing w:after="0" w:line="240" w:lineRule="auto"/>
        <w:rPr>
          <w:rFonts w:cs="Times New Roman"/>
          <w:sz w:val="22"/>
        </w:rPr>
      </w:pPr>
    </w:p>
    <w:p w:rsidR="002C4C98" w:rsidRPr="002C4C98" w:rsidRDefault="00A06EB9" w:rsidP="002C4C98">
      <w:pPr>
        <w:autoSpaceDE w:val="0"/>
        <w:autoSpaceDN w:val="0"/>
        <w:adjustRightInd w:val="0"/>
        <w:spacing w:after="0" w:line="240" w:lineRule="auto"/>
        <w:rPr>
          <w:rFonts w:cs="Times New Roman"/>
          <w:sz w:val="22"/>
        </w:rPr>
      </w:pPr>
      <w:r w:rsidRPr="00B361C9">
        <w:rPr>
          <w:rFonts w:cs="Times New Roman"/>
          <w:sz w:val="22"/>
        </w:rPr>
        <w:t xml:space="preserve">In the absence of </w:t>
      </w:r>
      <w:r w:rsidR="00FA7CEE">
        <w:rPr>
          <w:rFonts w:cs="Times New Roman"/>
          <w:sz w:val="22"/>
        </w:rPr>
        <w:t xml:space="preserve">relevant </w:t>
      </w:r>
      <w:r w:rsidRPr="00B361C9">
        <w:rPr>
          <w:rFonts w:cs="Times New Roman"/>
          <w:sz w:val="22"/>
        </w:rPr>
        <w:t xml:space="preserve">reference materials, well </w:t>
      </w:r>
      <w:r w:rsidR="00366DFF" w:rsidRPr="00B361C9">
        <w:rPr>
          <w:rFonts w:cs="Times New Roman"/>
          <w:sz w:val="22"/>
        </w:rPr>
        <w:t>established</w:t>
      </w:r>
      <w:r w:rsidRPr="00B361C9">
        <w:rPr>
          <w:rFonts w:cs="Times New Roman"/>
          <w:sz w:val="22"/>
        </w:rPr>
        <w:t xml:space="preserve"> </w:t>
      </w:r>
      <w:r w:rsidR="003541F0" w:rsidRPr="00B361C9">
        <w:rPr>
          <w:rFonts w:cs="Times New Roman"/>
          <w:sz w:val="22"/>
        </w:rPr>
        <w:t>QA</w:t>
      </w:r>
      <w:r w:rsidR="000645FA" w:rsidRPr="00B361C9">
        <w:rPr>
          <w:rFonts w:cs="Times New Roman"/>
          <w:sz w:val="22"/>
        </w:rPr>
        <w:t xml:space="preserve"> programs with appropriate QC</w:t>
      </w:r>
      <w:r w:rsidR="00AE5F35">
        <w:rPr>
          <w:rFonts w:cs="Times New Roman"/>
          <w:sz w:val="22"/>
        </w:rPr>
        <w:t xml:space="preserve"> </w:t>
      </w:r>
      <w:r w:rsidR="0038493E">
        <w:rPr>
          <w:rFonts w:cs="Times New Roman"/>
          <w:sz w:val="22"/>
        </w:rPr>
        <w:t>material</w:t>
      </w:r>
      <w:r w:rsidR="000645FA" w:rsidRPr="00B361C9">
        <w:rPr>
          <w:rFonts w:cs="Times New Roman"/>
          <w:sz w:val="22"/>
        </w:rPr>
        <w:t>s, inter</w:t>
      </w:r>
      <w:r w:rsidR="002A2D27" w:rsidRPr="00B361C9">
        <w:rPr>
          <w:rFonts w:cs="Times New Roman"/>
          <w:sz w:val="22"/>
        </w:rPr>
        <w:t>-</w:t>
      </w:r>
      <w:r w:rsidR="000645FA" w:rsidRPr="00B361C9">
        <w:rPr>
          <w:rFonts w:cs="Times New Roman"/>
          <w:sz w:val="22"/>
        </w:rPr>
        <w:t xml:space="preserve">laboratory comparison programs, application of </w:t>
      </w:r>
      <w:r w:rsidR="00AD4955" w:rsidRPr="00B361C9">
        <w:rPr>
          <w:rFonts w:cs="Times New Roman"/>
          <w:sz w:val="22"/>
        </w:rPr>
        <w:t xml:space="preserve">independent methods based on different principles, </w:t>
      </w:r>
      <w:r w:rsidR="00366DFF" w:rsidRPr="00B361C9">
        <w:rPr>
          <w:rFonts w:cs="Times New Roman"/>
          <w:sz w:val="22"/>
        </w:rPr>
        <w:t xml:space="preserve">and </w:t>
      </w:r>
      <w:r w:rsidR="00AE5F35">
        <w:rPr>
          <w:rFonts w:cs="Times New Roman"/>
          <w:sz w:val="22"/>
        </w:rPr>
        <w:t xml:space="preserve">method </w:t>
      </w:r>
      <w:r w:rsidR="002A2D27" w:rsidRPr="00B361C9">
        <w:rPr>
          <w:rFonts w:cs="Times New Roman"/>
          <w:sz w:val="22"/>
        </w:rPr>
        <w:t>implementation</w:t>
      </w:r>
      <w:r w:rsidR="00366DFF" w:rsidRPr="00B361C9">
        <w:rPr>
          <w:rFonts w:cs="Times New Roman"/>
          <w:sz w:val="22"/>
        </w:rPr>
        <w:t xml:space="preserve"> </w:t>
      </w:r>
      <w:r w:rsidR="00AD4955" w:rsidRPr="00B361C9">
        <w:rPr>
          <w:rFonts w:cs="Times New Roman"/>
          <w:sz w:val="22"/>
        </w:rPr>
        <w:t>by different operators</w:t>
      </w:r>
      <w:r w:rsidRPr="00B361C9">
        <w:rPr>
          <w:rFonts w:cs="Times New Roman"/>
          <w:sz w:val="22"/>
        </w:rPr>
        <w:t xml:space="preserve"> are often used to verify and validate analytical methods and techniques</w:t>
      </w:r>
      <w:r w:rsidR="00C05092" w:rsidRPr="00B361C9">
        <w:rPr>
          <w:rFonts w:cs="Times New Roman"/>
          <w:sz w:val="22"/>
        </w:rPr>
        <w:t xml:space="preserve"> [</w:t>
      </w:r>
      <w:r w:rsidR="00AB0945">
        <w:rPr>
          <w:rFonts w:cs="Times New Roman"/>
          <w:sz w:val="22"/>
        </w:rPr>
        <w:t>9, 10, 11]</w:t>
      </w:r>
      <w:r w:rsidR="002A2D27" w:rsidRPr="00B361C9">
        <w:rPr>
          <w:rFonts w:cs="Times New Roman"/>
          <w:sz w:val="22"/>
        </w:rPr>
        <w:t>.</w:t>
      </w:r>
      <w:r w:rsidRPr="00B361C9">
        <w:rPr>
          <w:rFonts w:cs="Times New Roman"/>
          <w:sz w:val="22"/>
        </w:rPr>
        <w:t xml:space="preserve"> </w:t>
      </w:r>
      <w:r w:rsidR="002C4C98">
        <w:rPr>
          <w:rFonts w:cs="Times New Roman"/>
          <w:sz w:val="22"/>
        </w:rPr>
        <w:t xml:space="preserve"> </w:t>
      </w:r>
      <w:r w:rsidR="002C4C98" w:rsidRPr="002C4C98">
        <w:rPr>
          <w:rFonts w:cs="Times New Roman"/>
          <w:sz w:val="22"/>
        </w:rPr>
        <w:t xml:space="preserve">It was anticipated that </w:t>
      </w:r>
      <w:r w:rsidR="0025461D">
        <w:rPr>
          <w:rFonts w:cs="Times New Roman"/>
          <w:sz w:val="22"/>
        </w:rPr>
        <w:t>addi</w:t>
      </w:r>
      <w:r w:rsidR="00ED7C48">
        <w:rPr>
          <w:rFonts w:cs="Times New Roman"/>
          <w:sz w:val="22"/>
        </w:rPr>
        <w:t xml:space="preserve">ng </w:t>
      </w:r>
      <w:r w:rsidR="0025461D">
        <w:rPr>
          <w:rFonts w:cs="Times New Roman"/>
          <w:sz w:val="22"/>
        </w:rPr>
        <w:t xml:space="preserve">the </w:t>
      </w:r>
      <w:r w:rsidR="002C4C98" w:rsidRPr="002C4C98">
        <w:rPr>
          <w:rFonts w:cs="Times New Roman"/>
          <w:sz w:val="22"/>
        </w:rPr>
        <w:t>ISO 17025 program could build o</w:t>
      </w:r>
      <w:r w:rsidR="002C4C98">
        <w:rPr>
          <w:rFonts w:cs="Times New Roman"/>
          <w:sz w:val="22"/>
        </w:rPr>
        <w:t>n the existing quality program to ensure legal defensibility of data for forensic programs</w:t>
      </w:r>
      <w:r w:rsidR="0025461D">
        <w:rPr>
          <w:rFonts w:cs="Times New Roman"/>
          <w:sz w:val="22"/>
        </w:rPr>
        <w:t>, especially when limited RM is available</w:t>
      </w:r>
      <w:r w:rsidR="002C4C98">
        <w:rPr>
          <w:rFonts w:cs="Times New Roman"/>
          <w:sz w:val="22"/>
        </w:rPr>
        <w:t xml:space="preserve">. </w:t>
      </w:r>
      <w:r w:rsidRPr="00B361C9">
        <w:rPr>
          <w:rFonts w:cs="Times New Roman"/>
          <w:sz w:val="22"/>
        </w:rPr>
        <w:t xml:space="preserve"> </w:t>
      </w:r>
      <w:r w:rsidR="00B131B5">
        <w:rPr>
          <w:rFonts w:cs="Times New Roman"/>
          <w:sz w:val="22"/>
        </w:rPr>
        <w:t xml:space="preserve">In 2012 the first 6 methods were accredited with another 7 methods accredited in 2013.  </w:t>
      </w:r>
      <w:r w:rsidR="002C4C98" w:rsidRPr="002C4C98">
        <w:rPr>
          <w:rFonts w:cs="Times New Roman"/>
          <w:sz w:val="22"/>
        </w:rPr>
        <w:t xml:space="preserve">Acquiring ISO 17025 accreditation has further strengthened </w:t>
      </w:r>
      <w:r w:rsidR="00B131B5">
        <w:rPr>
          <w:rFonts w:cs="Times New Roman"/>
          <w:sz w:val="22"/>
        </w:rPr>
        <w:t>LANL’s</w:t>
      </w:r>
      <w:r w:rsidR="002C4C98" w:rsidRPr="002C4C98">
        <w:rPr>
          <w:rFonts w:cs="Times New Roman"/>
          <w:sz w:val="22"/>
        </w:rPr>
        <w:t xml:space="preserve"> reputation as a leader within the international nuclear community for its technical depth and ability to produce accurate and precise analytical data. </w:t>
      </w:r>
      <w:r w:rsidR="00B131B5">
        <w:rPr>
          <w:rFonts w:cs="Times New Roman"/>
          <w:sz w:val="22"/>
        </w:rPr>
        <w:t xml:space="preserve"> </w:t>
      </w:r>
      <w:r w:rsidRPr="00B361C9">
        <w:rPr>
          <w:rFonts w:cs="Times New Roman"/>
          <w:sz w:val="22"/>
        </w:rPr>
        <w:t xml:space="preserve">A discussion of challenges associated with transitioning from a </w:t>
      </w:r>
      <w:r w:rsidR="001E189F">
        <w:rPr>
          <w:rFonts w:cs="Times New Roman"/>
          <w:sz w:val="22"/>
        </w:rPr>
        <w:t>non-accredited</w:t>
      </w:r>
      <w:r w:rsidRPr="00B361C9">
        <w:rPr>
          <w:rFonts w:cs="Times New Roman"/>
          <w:sz w:val="22"/>
        </w:rPr>
        <w:t xml:space="preserve"> to an ISO 17025 accredited</w:t>
      </w:r>
      <w:r w:rsidR="001E189F">
        <w:rPr>
          <w:rFonts w:cs="Times New Roman"/>
          <w:sz w:val="22"/>
        </w:rPr>
        <w:t xml:space="preserve"> analytical</w:t>
      </w:r>
      <w:r w:rsidRPr="00B361C9">
        <w:rPr>
          <w:rFonts w:cs="Times New Roman"/>
          <w:sz w:val="22"/>
        </w:rPr>
        <w:t xml:space="preserve"> laboratory will be </w:t>
      </w:r>
      <w:r w:rsidR="000748CF" w:rsidRPr="00B361C9">
        <w:rPr>
          <w:rFonts w:cs="Times New Roman"/>
          <w:sz w:val="22"/>
        </w:rPr>
        <w:t>discussed</w:t>
      </w:r>
      <w:r w:rsidRPr="00B361C9">
        <w:rPr>
          <w:rFonts w:cs="Times New Roman"/>
          <w:sz w:val="22"/>
        </w:rPr>
        <w:t>.</w:t>
      </w:r>
    </w:p>
    <w:p w:rsidR="00003F76" w:rsidRPr="00B361C9" w:rsidRDefault="00003F76" w:rsidP="008151E8">
      <w:pPr>
        <w:autoSpaceDE w:val="0"/>
        <w:autoSpaceDN w:val="0"/>
        <w:adjustRightInd w:val="0"/>
        <w:spacing w:after="0" w:line="240" w:lineRule="auto"/>
        <w:rPr>
          <w:rFonts w:cs="Times New Roman"/>
          <w:sz w:val="22"/>
        </w:rPr>
      </w:pPr>
    </w:p>
    <w:p w:rsidR="001A38E3" w:rsidRPr="002440DA" w:rsidRDefault="005F17A8" w:rsidP="002440DA">
      <w:pPr>
        <w:pStyle w:val="ListParagraph"/>
        <w:numPr>
          <w:ilvl w:val="0"/>
          <w:numId w:val="1"/>
        </w:numPr>
        <w:spacing w:line="240" w:lineRule="auto"/>
        <w:rPr>
          <w:rFonts w:cs="Times New Roman"/>
          <w:b/>
          <w:sz w:val="22"/>
        </w:rPr>
      </w:pPr>
      <w:r w:rsidRPr="002440DA">
        <w:rPr>
          <w:rFonts w:cs="Times New Roman"/>
          <w:b/>
          <w:sz w:val="22"/>
        </w:rPr>
        <w:t>Use and support of traceable pedigreed materials</w:t>
      </w:r>
      <w:r w:rsidR="001A38E3" w:rsidRPr="002440DA">
        <w:rPr>
          <w:rFonts w:cs="Times New Roman"/>
          <w:b/>
          <w:sz w:val="22"/>
        </w:rPr>
        <w:t>.</w:t>
      </w:r>
    </w:p>
    <w:p w:rsidR="002E7085" w:rsidRPr="00B361C9" w:rsidRDefault="002E7085" w:rsidP="008151E8">
      <w:pPr>
        <w:pStyle w:val="ListParagraph"/>
        <w:spacing w:line="240" w:lineRule="auto"/>
        <w:ind w:left="0"/>
        <w:rPr>
          <w:rFonts w:cs="Times New Roman"/>
          <w:sz w:val="22"/>
        </w:rPr>
      </w:pPr>
    </w:p>
    <w:p w:rsidR="008B701F" w:rsidRDefault="00A06EB9" w:rsidP="008151E8">
      <w:pPr>
        <w:pStyle w:val="ListParagraph"/>
        <w:spacing w:line="240" w:lineRule="auto"/>
        <w:ind w:left="0"/>
        <w:rPr>
          <w:rFonts w:cs="Times New Roman"/>
          <w:sz w:val="22"/>
        </w:rPr>
      </w:pPr>
      <w:r w:rsidRPr="00B361C9">
        <w:rPr>
          <w:rFonts w:cs="Times New Roman"/>
          <w:sz w:val="22"/>
        </w:rPr>
        <w:t xml:space="preserve">Analytical chemistry at LANL has </w:t>
      </w:r>
      <w:r w:rsidR="008A2A2A">
        <w:rPr>
          <w:rFonts w:cs="Times New Roman"/>
          <w:sz w:val="22"/>
        </w:rPr>
        <w:t xml:space="preserve">addressed traceability </w:t>
      </w:r>
      <w:r w:rsidRPr="00B361C9">
        <w:rPr>
          <w:rFonts w:cs="Times New Roman"/>
          <w:sz w:val="22"/>
        </w:rPr>
        <w:t>in a multi</w:t>
      </w:r>
      <w:r w:rsidR="00E66137">
        <w:rPr>
          <w:rFonts w:cs="Times New Roman"/>
          <w:sz w:val="22"/>
        </w:rPr>
        <w:t>-</w:t>
      </w:r>
      <w:r w:rsidR="008A2A2A">
        <w:rPr>
          <w:rFonts w:cs="Times New Roman"/>
          <w:sz w:val="22"/>
        </w:rPr>
        <w:t>faceted</w:t>
      </w:r>
      <w:r w:rsidRPr="00B361C9">
        <w:rPr>
          <w:rFonts w:cs="Times New Roman"/>
          <w:sz w:val="22"/>
        </w:rPr>
        <w:t xml:space="preserve"> effort.  Initially, as part of the broader community working with nuclear materials, </w:t>
      </w:r>
      <w:r w:rsidR="00604470" w:rsidRPr="00B361C9">
        <w:rPr>
          <w:rFonts w:cs="Times New Roman"/>
          <w:sz w:val="22"/>
        </w:rPr>
        <w:t>expert personnel</w:t>
      </w:r>
      <w:r w:rsidRPr="00B361C9">
        <w:rPr>
          <w:rFonts w:cs="Times New Roman"/>
          <w:sz w:val="22"/>
        </w:rPr>
        <w:t xml:space="preserve"> participated in discussions over the last </w:t>
      </w:r>
      <w:r w:rsidR="00B84FB6" w:rsidRPr="00B361C9">
        <w:rPr>
          <w:rFonts w:cs="Times New Roman"/>
          <w:sz w:val="22"/>
        </w:rPr>
        <w:t xml:space="preserve">six </w:t>
      </w:r>
      <w:r w:rsidRPr="00B361C9">
        <w:rPr>
          <w:rFonts w:cs="Times New Roman"/>
          <w:sz w:val="22"/>
        </w:rPr>
        <w:t>decade</w:t>
      </w:r>
      <w:r w:rsidR="001E189F">
        <w:rPr>
          <w:rFonts w:cs="Times New Roman"/>
          <w:sz w:val="22"/>
        </w:rPr>
        <w:t>s</w:t>
      </w:r>
      <w:r w:rsidRPr="00B361C9">
        <w:rPr>
          <w:rFonts w:cs="Times New Roman"/>
          <w:sz w:val="22"/>
        </w:rPr>
        <w:t xml:space="preserve"> to identify </w:t>
      </w:r>
      <w:r w:rsidR="008A2A2A">
        <w:rPr>
          <w:rFonts w:cs="Times New Roman"/>
          <w:sz w:val="22"/>
        </w:rPr>
        <w:t xml:space="preserve">existing and emerging </w:t>
      </w:r>
      <w:r w:rsidRPr="00B361C9">
        <w:rPr>
          <w:rFonts w:cs="Times New Roman"/>
          <w:sz w:val="22"/>
        </w:rPr>
        <w:t xml:space="preserve">needs of the analytical </w:t>
      </w:r>
      <w:r w:rsidR="00FF7762" w:rsidRPr="00B361C9">
        <w:rPr>
          <w:rFonts w:cs="Times New Roman"/>
          <w:sz w:val="22"/>
        </w:rPr>
        <w:t>laborator</w:t>
      </w:r>
      <w:r w:rsidR="00FF7762">
        <w:rPr>
          <w:rFonts w:cs="Times New Roman"/>
          <w:sz w:val="22"/>
        </w:rPr>
        <w:t>y</w:t>
      </w:r>
      <w:r w:rsidR="00FF7762" w:rsidRPr="00B361C9">
        <w:rPr>
          <w:rFonts w:cs="Times New Roman"/>
          <w:sz w:val="22"/>
        </w:rPr>
        <w:t xml:space="preserve"> </w:t>
      </w:r>
      <w:r w:rsidRPr="00B361C9">
        <w:rPr>
          <w:rFonts w:cs="Times New Roman"/>
          <w:sz w:val="22"/>
        </w:rPr>
        <w:t>communities</w:t>
      </w:r>
      <w:r w:rsidR="002A2D27" w:rsidRPr="00B361C9">
        <w:rPr>
          <w:rFonts w:cs="Times New Roman"/>
          <w:sz w:val="22"/>
        </w:rPr>
        <w:t xml:space="preserve"> [</w:t>
      </w:r>
      <w:r w:rsidR="00AB0945">
        <w:rPr>
          <w:rFonts w:cs="Times New Roman"/>
          <w:sz w:val="22"/>
        </w:rPr>
        <w:t>7</w:t>
      </w:r>
      <w:r w:rsidR="002A2D27" w:rsidRPr="00B361C9">
        <w:rPr>
          <w:rFonts w:cs="Times New Roman"/>
          <w:sz w:val="22"/>
        </w:rPr>
        <w:t>,</w:t>
      </w:r>
      <w:r w:rsidR="006A7A4E">
        <w:rPr>
          <w:rFonts w:cs="Times New Roman"/>
          <w:sz w:val="22"/>
        </w:rPr>
        <w:t xml:space="preserve"> </w:t>
      </w:r>
      <w:r w:rsidR="00AB0945">
        <w:rPr>
          <w:rFonts w:cs="Times New Roman"/>
          <w:sz w:val="22"/>
        </w:rPr>
        <w:t>9</w:t>
      </w:r>
      <w:r w:rsidR="002A2D27" w:rsidRPr="00B361C9">
        <w:rPr>
          <w:rFonts w:cs="Times New Roman"/>
          <w:sz w:val="22"/>
        </w:rPr>
        <w:t xml:space="preserve">, </w:t>
      </w:r>
      <w:r w:rsidR="00AB0945">
        <w:rPr>
          <w:rFonts w:cs="Times New Roman"/>
          <w:sz w:val="22"/>
        </w:rPr>
        <w:t>12</w:t>
      </w:r>
      <w:r w:rsidR="002A2D27" w:rsidRPr="00B361C9">
        <w:rPr>
          <w:rFonts w:cs="Times New Roman"/>
          <w:sz w:val="22"/>
        </w:rPr>
        <w:t>]</w:t>
      </w:r>
      <w:r w:rsidRPr="00B361C9">
        <w:rPr>
          <w:rFonts w:cs="Times New Roman"/>
          <w:sz w:val="22"/>
        </w:rPr>
        <w:t xml:space="preserve">.  </w:t>
      </w:r>
      <w:r w:rsidR="00333B5B" w:rsidRPr="00333B5B">
        <w:rPr>
          <w:rFonts w:cs="Times New Roman"/>
          <w:sz w:val="22"/>
        </w:rPr>
        <w:t xml:space="preserve">From </w:t>
      </w:r>
      <w:r w:rsidR="00813927">
        <w:rPr>
          <w:rFonts w:cs="Times New Roman"/>
          <w:sz w:val="22"/>
        </w:rPr>
        <w:t xml:space="preserve">recent </w:t>
      </w:r>
      <w:r w:rsidR="00333B5B" w:rsidRPr="00333B5B">
        <w:rPr>
          <w:rFonts w:cs="Times New Roman"/>
          <w:sz w:val="22"/>
        </w:rPr>
        <w:t xml:space="preserve"> discussions, LANL has </w:t>
      </w:r>
      <w:r w:rsidR="00813927">
        <w:rPr>
          <w:rFonts w:cs="Times New Roman"/>
          <w:sz w:val="22"/>
        </w:rPr>
        <w:t>collaboratively acted onon</w:t>
      </w:r>
      <w:r w:rsidR="002327F9">
        <w:rPr>
          <w:rFonts w:cs="Times New Roman"/>
          <w:sz w:val="22"/>
        </w:rPr>
        <w:t xml:space="preserve"> 3 approaches to making pedigreed materials more available:</w:t>
      </w:r>
      <w:r w:rsidR="00333B5B" w:rsidRPr="00333B5B">
        <w:rPr>
          <w:rFonts w:cs="Times New Roman"/>
          <w:sz w:val="22"/>
        </w:rPr>
        <w:t xml:space="preserve"> repackaging, recertifying, and producing new reference materials.</w:t>
      </w:r>
      <w:r w:rsidR="007D1280">
        <w:rPr>
          <w:rFonts w:cs="Times New Roman"/>
          <w:sz w:val="22"/>
        </w:rPr>
        <w:t xml:space="preserve"> </w:t>
      </w:r>
      <w:r w:rsidRPr="00B361C9">
        <w:rPr>
          <w:rFonts w:cs="Times New Roman"/>
          <w:sz w:val="22"/>
        </w:rPr>
        <w:t xml:space="preserve"> </w:t>
      </w:r>
      <w:r w:rsidR="007D1280" w:rsidRPr="00B361C9">
        <w:rPr>
          <w:rFonts w:cs="Times New Roman"/>
          <w:sz w:val="22"/>
        </w:rPr>
        <w:t xml:space="preserve">LANL </w:t>
      </w:r>
      <w:r w:rsidR="00813927">
        <w:rPr>
          <w:rFonts w:cs="Times New Roman"/>
          <w:sz w:val="22"/>
        </w:rPr>
        <w:t xml:space="preserve">is a logical and effective </w:t>
      </w:r>
      <w:r w:rsidR="007D1280" w:rsidRPr="00B361C9">
        <w:rPr>
          <w:rFonts w:cs="Times New Roman"/>
          <w:sz w:val="22"/>
        </w:rPr>
        <w:t xml:space="preserve"> partner for th</w:t>
      </w:r>
      <w:r w:rsidR="007D1280">
        <w:rPr>
          <w:rFonts w:cs="Times New Roman"/>
          <w:sz w:val="22"/>
        </w:rPr>
        <w:t>e</w:t>
      </w:r>
      <w:r w:rsidR="007D1280" w:rsidRPr="00B361C9">
        <w:rPr>
          <w:rFonts w:cs="Times New Roman"/>
          <w:sz w:val="22"/>
        </w:rPr>
        <w:t>s</w:t>
      </w:r>
      <w:r w:rsidR="007D1280">
        <w:rPr>
          <w:rFonts w:cs="Times New Roman"/>
          <w:sz w:val="22"/>
        </w:rPr>
        <w:t>e</w:t>
      </w:r>
      <w:r w:rsidR="007D1280" w:rsidRPr="00B361C9">
        <w:rPr>
          <w:rFonts w:cs="Times New Roman"/>
          <w:sz w:val="22"/>
        </w:rPr>
        <w:t xml:space="preserve"> activity as</w:t>
      </w:r>
      <w:r w:rsidR="007D1280">
        <w:rPr>
          <w:rFonts w:cs="Times New Roman"/>
          <w:sz w:val="22"/>
        </w:rPr>
        <w:t xml:space="preserve"> it </w:t>
      </w:r>
      <w:r w:rsidR="007D1280" w:rsidRPr="00B361C9">
        <w:rPr>
          <w:rFonts w:cs="Times New Roman"/>
          <w:sz w:val="22"/>
        </w:rPr>
        <w:t xml:space="preserve">possessed </w:t>
      </w:r>
      <w:r w:rsidR="007D1280">
        <w:rPr>
          <w:rFonts w:cs="Times New Roman"/>
          <w:sz w:val="22"/>
        </w:rPr>
        <w:t xml:space="preserve">(1) </w:t>
      </w:r>
      <w:r w:rsidR="007D1280" w:rsidRPr="00B361C9">
        <w:rPr>
          <w:rFonts w:cs="Times New Roman"/>
          <w:sz w:val="22"/>
        </w:rPr>
        <w:t xml:space="preserve">the facilities to handle both the high activity and quantity of material; </w:t>
      </w:r>
      <w:r w:rsidR="007D1280">
        <w:rPr>
          <w:rFonts w:cs="Times New Roman"/>
          <w:sz w:val="22"/>
        </w:rPr>
        <w:t xml:space="preserve">(2) </w:t>
      </w:r>
      <w:r w:rsidR="007D1280" w:rsidRPr="00B361C9">
        <w:rPr>
          <w:rFonts w:cs="Times New Roman"/>
          <w:sz w:val="22"/>
        </w:rPr>
        <w:t xml:space="preserve">trained personnel; </w:t>
      </w:r>
      <w:r w:rsidR="007D1280">
        <w:rPr>
          <w:rFonts w:cs="Times New Roman"/>
          <w:sz w:val="22"/>
        </w:rPr>
        <w:t xml:space="preserve">(3) </w:t>
      </w:r>
      <w:r w:rsidR="007D1280" w:rsidRPr="00B361C9">
        <w:rPr>
          <w:rFonts w:cs="Times New Roman"/>
          <w:sz w:val="22"/>
        </w:rPr>
        <w:t>a 60 year, demonstrated history with providing measurement</w:t>
      </w:r>
      <w:r w:rsidR="007D1280">
        <w:rPr>
          <w:rFonts w:cs="Times New Roman"/>
          <w:sz w:val="22"/>
        </w:rPr>
        <w:t>s</w:t>
      </w:r>
      <w:r w:rsidR="007D1280" w:rsidRPr="00B361C9">
        <w:rPr>
          <w:rFonts w:cs="Times New Roman"/>
          <w:sz w:val="22"/>
        </w:rPr>
        <w:t xml:space="preserve"> for certification and production of </w:t>
      </w:r>
      <w:r w:rsidR="007D1280">
        <w:rPr>
          <w:rFonts w:cs="Times New Roman"/>
          <w:sz w:val="22"/>
        </w:rPr>
        <w:t>Pu</w:t>
      </w:r>
      <w:r w:rsidR="007D1280" w:rsidRPr="00B361C9">
        <w:rPr>
          <w:rFonts w:cs="Times New Roman"/>
          <w:sz w:val="22"/>
        </w:rPr>
        <w:t xml:space="preserve"> reference </w:t>
      </w:r>
      <w:r w:rsidR="007D1280" w:rsidRPr="00B361C9">
        <w:rPr>
          <w:rFonts w:cs="Times New Roman"/>
          <w:sz w:val="22"/>
        </w:rPr>
        <w:lastRenderedPageBreak/>
        <w:t xml:space="preserve">materials in conjunction with NBL and NIST; </w:t>
      </w:r>
      <w:r w:rsidR="007D1280">
        <w:rPr>
          <w:rFonts w:cs="Times New Roman"/>
          <w:sz w:val="22"/>
        </w:rPr>
        <w:t xml:space="preserve">(4) </w:t>
      </w:r>
      <w:r w:rsidR="007D1280" w:rsidRPr="00B361C9">
        <w:rPr>
          <w:rFonts w:cs="Times New Roman"/>
          <w:sz w:val="22"/>
        </w:rPr>
        <w:t>demonstrated excellence in providing high quality measurements</w:t>
      </w:r>
      <w:r w:rsidR="007D1280">
        <w:rPr>
          <w:rFonts w:cs="Times New Roman"/>
          <w:sz w:val="22"/>
        </w:rPr>
        <w:t>;</w:t>
      </w:r>
      <w:r w:rsidR="007D1280" w:rsidRPr="00B361C9">
        <w:rPr>
          <w:rFonts w:cs="Times New Roman"/>
          <w:sz w:val="22"/>
        </w:rPr>
        <w:t xml:space="preserve"> and </w:t>
      </w:r>
      <w:r w:rsidR="007D1280">
        <w:rPr>
          <w:rFonts w:cs="Times New Roman"/>
          <w:sz w:val="22"/>
        </w:rPr>
        <w:t xml:space="preserve">(5) </w:t>
      </w:r>
      <w:r w:rsidR="007D1280" w:rsidRPr="00B361C9">
        <w:rPr>
          <w:rFonts w:cs="Times New Roman"/>
          <w:sz w:val="22"/>
        </w:rPr>
        <w:t>a robust QA program.</w:t>
      </w:r>
    </w:p>
    <w:p w:rsidR="00A5543A" w:rsidRPr="00B361C9" w:rsidRDefault="00A5543A" w:rsidP="008151E8">
      <w:pPr>
        <w:pStyle w:val="ListParagraph"/>
        <w:spacing w:line="240" w:lineRule="auto"/>
        <w:ind w:left="0"/>
        <w:rPr>
          <w:rFonts w:cs="Times New Roman"/>
          <w:sz w:val="22"/>
        </w:rPr>
      </w:pPr>
    </w:p>
    <w:p w:rsidR="00A5543A" w:rsidRPr="00A5543A" w:rsidRDefault="001E319E" w:rsidP="00A5543A">
      <w:pPr>
        <w:pStyle w:val="ListParagraph"/>
        <w:numPr>
          <w:ilvl w:val="1"/>
          <w:numId w:val="1"/>
        </w:numPr>
        <w:spacing w:line="240" w:lineRule="auto"/>
        <w:rPr>
          <w:rFonts w:cs="Times New Roman"/>
          <w:i/>
          <w:sz w:val="22"/>
        </w:rPr>
      </w:pPr>
      <w:r w:rsidRPr="00A5543A">
        <w:rPr>
          <w:rFonts w:cs="Times New Roman"/>
          <w:i/>
          <w:sz w:val="22"/>
        </w:rPr>
        <w:t>Repackaging</w:t>
      </w:r>
    </w:p>
    <w:p w:rsidR="002327F9" w:rsidRDefault="00DD6607" w:rsidP="008151E8">
      <w:pPr>
        <w:spacing w:line="240" w:lineRule="auto"/>
        <w:rPr>
          <w:rFonts w:cs="Times New Roman"/>
          <w:sz w:val="22"/>
        </w:rPr>
      </w:pPr>
      <w:r>
        <w:rPr>
          <w:rFonts w:cs="Times New Roman"/>
          <w:sz w:val="22"/>
        </w:rPr>
        <w:t>The activity of many Pu CRMs have significantly increased d</w:t>
      </w:r>
      <w:r w:rsidR="00A06EB9" w:rsidRPr="00A5543A">
        <w:rPr>
          <w:rFonts w:cs="Times New Roman"/>
          <w:sz w:val="22"/>
        </w:rPr>
        <w:t xml:space="preserve">ue to </w:t>
      </w:r>
      <w:r w:rsidR="00A06EB9" w:rsidRPr="00A5543A">
        <w:rPr>
          <w:rFonts w:cs="Times New Roman"/>
          <w:sz w:val="22"/>
          <w:vertAlign w:val="superscript"/>
        </w:rPr>
        <w:t>241</w:t>
      </w:r>
      <w:r w:rsidR="00A06EB9" w:rsidRPr="00A5543A">
        <w:rPr>
          <w:rFonts w:cs="Times New Roman"/>
          <w:sz w:val="22"/>
        </w:rPr>
        <w:t xml:space="preserve">Am </w:t>
      </w:r>
      <w:r w:rsidR="005E7CEF" w:rsidRPr="00A5543A">
        <w:rPr>
          <w:rFonts w:cs="Times New Roman"/>
          <w:sz w:val="22"/>
        </w:rPr>
        <w:t xml:space="preserve">in-growth from </w:t>
      </w:r>
      <w:r w:rsidR="005E7CEF" w:rsidRPr="00A5543A">
        <w:rPr>
          <w:rFonts w:cs="Times New Roman"/>
          <w:sz w:val="22"/>
          <w:vertAlign w:val="superscript"/>
        </w:rPr>
        <w:t>241</w:t>
      </w:r>
      <w:r w:rsidR="005E7CEF" w:rsidRPr="00A5543A">
        <w:rPr>
          <w:rFonts w:cs="Times New Roman"/>
          <w:sz w:val="22"/>
        </w:rPr>
        <w:t xml:space="preserve">Pu decay </w:t>
      </w:r>
      <w:r w:rsidR="00A06EB9" w:rsidRPr="00A5543A">
        <w:rPr>
          <w:rFonts w:cs="Times New Roman"/>
          <w:sz w:val="22"/>
        </w:rPr>
        <w:t>over the decades following certification</w:t>
      </w:r>
      <w:r>
        <w:rPr>
          <w:rFonts w:cs="Times New Roman"/>
          <w:sz w:val="22"/>
        </w:rPr>
        <w:t>.</w:t>
      </w:r>
      <w:r w:rsidR="00A06EB9" w:rsidRPr="00A5543A">
        <w:rPr>
          <w:rFonts w:cs="Times New Roman"/>
          <w:sz w:val="22"/>
        </w:rPr>
        <w:t xml:space="preserve">, </w:t>
      </w:r>
      <w:r>
        <w:rPr>
          <w:rFonts w:cs="Times New Roman"/>
          <w:sz w:val="22"/>
        </w:rPr>
        <w:t xml:space="preserve">In many instances, </w:t>
      </w:r>
      <w:r w:rsidR="00A06EB9" w:rsidRPr="00A5543A">
        <w:rPr>
          <w:rFonts w:cs="Times New Roman"/>
          <w:sz w:val="22"/>
        </w:rPr>
        <w:t xml:space="preserve">the </w:t>
      </w:r>
      <w:r>
        <w:rPr>
          <w:rFonts w:cs="Times New Roman"/>
          <w:sz w:val="22"/>
        </w:rPr>
        <w:t xml:space="preserve">increased </w:t>
      </w:r>
      <w:r w:rsidR="00A06EB9" w:rsidRPr="00A5543A">
        <w:rPr>
          <w:rFonts w:cs="Times New Roman"/>
          <w:sz w:val="22"/>
        </w:rPr>
        <w:t xml:space="preserve">activity of </w:t>
      </w:r>
      <w:r>
        <w:rPr>
          <w:rFonts w:cs="Times New Roman"/>
          <w:sz w:val="22"/>
        </w:rPr>
        <w:t xml:space="preserve">Pu </w:t>
      </w:r>
      <w:r w:rsidR="00A06EB9" w:rsidRPr="00A5543A">
        <w:rPr>
          <w:rFonts w:cs="Times New Roman"/>
          <w:sz w:val="22"/>
        </w:rPr>
        <w:t xml:space="preserve">CRMs </w:t>
      </w:r>
      <w:r>
        <w:rPr>
          <w:rFonts w:cs="Times New Roman"/>
          <w:sz w:val="22"/>
        </w:rPr>
        <w:t xml:space="preserve">had </w:t>
      </w:r>
      <w:r w:rsidR="00A06EB9" w:rsidRPr="00A5543A">
        <w:rPr>
          <w:rFonts w:cs="Times New Roman"/>
          <w:sz w:val="22"/>
        </w:rPr>
        <w:t xml:space="preserve">increased to the point that it became difficult </w:t>
      </w:r>
      <w:r w:rsidR="00FA61AA" w:rsidRPr="00A5543A">
        <w:rPr>
          <w:rFonts w:cs="Times New Roman"/>
          <w:sz w:val="22"/>
        </w:rPr>
        <w:t>to ship</w:t>
      </w:r>
      <w:r w:rsidR="00FF7762" w:rsidRPr="00A5543A">
        <w:rPr>
          <w:rFonts w:cs="Times New Roman"/>
          <w:sz w:val="22"/>
        </w:rPr>
        <w:t xml:space="preserve"> </w:t>
      </w:r>
      <w:r>
        <w:rPr>
          <w:rFonts w:cs="Times New Roman"/>
          <w:sz w:val="22"/>
        </w:rPr>
        <w:t xml:space="preserve">these </w:t>
      </w:r>
      <w:r w:rsidR="00FA5401" w:rsidRPr="00A5543A">
        <w:rPr>
          <w:rFonts w:cs="Times New Roman"/>
          <w:sz w:val="22"/>
        </w:rPr>
        <w:t xml:space="preserve"> materials</w:t>
      </w:r>
      <w:r w:rsidR="008B7BC6">
        <w:rPr>
          <w:rFonts w:cs="Times New Roman"/>
          <w:sz w:val="22"/>
        </w:rPr>
        <w:t xml:space="preserve"> to sites with </w:t>
      </w:r>
      <w:r w:rsidR="00635742" w:rsidRPr="00A5543A">
        <w:rPr>
          <w:rFonts w:cs="Times New Roman"/>
          <w:sz w:val="22"/>
        </w:rPr>
        <w:t xml:space="preserve"> </w:t>
      </w:r>
      <w:r w:rsidR="00E43DAB" w:rsidRPr="00A5543A">
        <w:rPr>
          <w:rFonts w:cs="Times New Roman"/>
          <w:sz w:val="22"/>
        </w:rPr>
        <w:t xml:space="preserve">very </w:t>
      </w:r>
      <w:r w:rsidR="00635742" w:rsidRPr="00A5543A">
        <w:rPr>
          <w:rFonts w:cs="Times New Roman"/>
          <w:sz w:val="22"/>
        </w:rPr>
        <w:t>limited abilities to handle more than milligram quantities</w:t>
      </w:r>
      <w:r w:rsidR="00A54089" w:rsidRPr="00A5543A">
        <w:rPr>
          <w:rFonts w:cs="Times New Roman"/>
          <w:sz w:val="22"/>
        </w:rPr>
        <w:t xml:space="preserve"> of SNM</w:t>
      </w:r>
      <w:r w:rsidR="008B7BC6">
        <w:rPr>
          <w:rFonts w:cs="Times New Roman"/>
          <w:sz w:val="22"/>
        </w:rPr>
        <w:t>.  These sites could not</w:t>
      </w:r>
      <w:r w:rsidR="00123461" w:rsidRPr="00A5543A">
        <w:rPr>
          <w:rFonts w:cs="Times New Roman"/>
          <w:sz w:val="22"/>
        </w:rPr>
        <w:t xml:space="preserve"> </w:t>
      </w:r>
      <w:r w:rsidR="00FA61AA" w:rsidRPr="00A5543A">
        <w:rPr>
          <w:rFonts w:cs="Times New Roman"/>
          <w:sz w:val="22"/>
        </w:rPr>
        <w:t>receive</w:t>
      </w:r>
      <w:r w:rsidR="00FF7762" w:rsidRPr="00A5543A">
        <w:rPr>
          <w:rFonts w:cs="Times New Roman"/>
          <w:sz w:val="22"/>
        </w:rPr>
        <w:t xml:space="preserve"> the RMs</w:t>
      </w:r>
      <w:r w:rsidR="00635742" w:rsidRPr="00A5543A">
        <w:rPr>
          <w:rFonts w:cs="Times New Roman"/>
          <w:sz w:val="22"/>
        </w:rPr>
        <w:t xml:space="preserve"> as </w:t>
      </w:r>
      <w:r w:rsidR="008B7BC6">
        <w:rPr>
          <w:rFonts w:cs="Times New Roman"/>
          <w:sz w:val="22"/>
        </w:rPr>
        <w:t xml:space="preserve">originally </w:t>
      </w:r>
      <w:r w:rsidR="00635742" w:rsidRPr="00A5543A">
        <w:rPr>
          <w:rFonts w:cs="Times New Roman"/>
          <w:sz w:val="22"/>
        </w:rPr>
        <w:t xml:space="preserve"> packaged</w:t>
      </w:r>
      <w:r w:rsidR="00003F76" w:rsidRPr="00A5543A">
        <w:rPr>
          <w:rFonts w:cs="Times New Roman"/>
          <w:sz w:val="22"/>
        </w:rPr>
        <w:t xml:space="preserve">. </w:t>
      </w:r>
      <w:r w:rsidR="00A06EB9" w:rsidRPr="00A5543A">
        <w:rPr>
          <w:rFonts w:cs="Times New Roman"/>
          <w:sz w:val="22"/>
        </w:rPr>
        <w:t xml:space="preserve"> Thus</w:t>
      </w:r>
      <w:r w:rsidR="00E550E9" w:rsidRPr="00A5543A">
        <w:rPr>
          <w:rFonts w:cs="Times New Roman"/>
          <w:sz w:val="22"/>
        </w:rPr>
        <w:t>,</w:t>
      </w:r>
      <w:r w:rsidR="00A06EB9" w:rsidRPr="00A5543A">
        <w:rPr>
          <w:rFonts w:cs="Times New Roman"/>
          <w:sz w:val="22"/>
        </w:rPr>
        <w:t xml:space="preserve"> repackaging into smaller amounts </w:t>
      </w:r>
      <w:r w:rsidR="003F1F81">
        <w:rPr>
          <w:rFonts w:cs="Times New Roman"/>
          <w:sz w:val="22"/>
        </w:rPr>
        <w:t xml:space="preserve">became an effective </w:t>
      </w:r>
      <w:r w:rsidR="00A06EB9" w:rsidRPr="00A5543A">
        <w:rPr>
          <w:rFonts w:cs="Times New Roman"/>
          <w:sz w:val="22"/>
        </w:rPr>
        <w:t>and</w:t>
      </w:r>
      <w:r w:rsidR="003F1F81">
        <w:rPr>
          <w:rFonts w:cs="Times New Roman"/>
          <w:sz w:val="22"/>
        </w:rPr>
        <w:t xml:space="preserve"> relatively</w:t>
      </w:r>
      <w:r w:rsidR="00A06EB9" w:rsidRPr="00A5543A">
        <w:rPr>
          <w:rFonts w:cs="Times New Roman"/>
          <w:sz w:val="22"/>
        </w:rPr>
        <w:t xml:space="preserve"> quick solutions to make currently certified materials more widely available without the expensive and time</w:t>
      </w:r>
      <w:r w:rsidR="00604470" w:rsidRPr="00A5543A">
        <w:rPr>
          <w:rFonts w:cs="Times New Roman"/>
          <w:sz w:val="22"/>
        </w:rPr>
        <w:t>-</w:t>
      </w:r>
      <w:r w:rsidR="00A06EB9" w:rsidRPr="00A5543A">
        <w:rPr>
          <w:rFonts w:cs="Times New Roman"/>
          <w:sz w:val="22"/>
        </w:rPr>
        <w:t xml:space="preserve">consuming option of having to completely refabricate </w:t>
      </w:r>
      <w:r w:rsidR="00FA61AA" w:rsidRPr="00A5543A">
        <w:rPr>
          <w:rFonts w:cs="Times New Roman"/>
          <w:sz w:val="22"/>
        </w:rPr>
        <w:t>and re-certify</w:t>
      </w:r>
      <w:r w:rsidR="001C557C" w:rsidRPr="00A5543A">
        <w:rPr>
          <w:rFonts w:cs="Times New Roman"/>
          <w:sz w:val="22"/>
        </w:rPr>
        <w:t xml:space="preserve"> these materials</w:t>
      </w:r>
      <w:r w:rsidR="00146405" w:rsidRPr="00A5543A">
        <w:rPr>
          <w:rFonts w:cs="Times New Roman"/>
          <w:sz w:val="22"/>
        </w:rPr>
        <w:t>.</w:t>
      </w:r>
      <w:r w:rsidR="00A06EB9" w:rsidRPr="00A5543A">
        <w:rPr>
          <w:rFonts w:cs="Times New Roman"/>
          <w:sz w:val="22"/>
        </w:rPr>
        <w:t xml:space="preserve">  </w:t>
      </w:r>
    </w:p>
    <w:p w:rsidR="00003F76" w:rsidRPr="00B361C9" w:rsidRDefault="005E7CEF" w:rsidP="008151E8">
      <w:pPr>
        <w:spacing w:line="240" w:lineRule="auto"/>
        <w:rPr>
          <w:rFonts w:cs="Times New Roman"/>
          <w:sz w:val="22"/>
        </w:rPr>
      </w:pPr>
      <w:r w:rsidRPr="00B361C9">
        <w:rPr>
          <w:rFonts w:cs="Times New Roman"/>
          <w:sz w:val="22"/>
        </w:rPr>
        <w:t xml:space="preserve">In 2008, </w:t>
      </w:r>
      <w:r>
        <w:rPr>
          <w:rFonts w:cs="Times New Roman"/>
          <w:sz w:val="22"/>
        </w:rPr>
        <w:t xml:space="preserve">LANL </w:t>
      </w:r>
      <w:r w:rsidRPr="00B361C9">
        <w:rPr>
          <w:rFonts w:cs="Times New Roman"/>
          <w:sz w:val="22"/>
        </w:rPr>
        <w:t>analytical chemistry repackage</w:t>
      </w:r>
      <w:r w:rsidR="003F1F81">
        <w:rPr>
          <w:rFonts w:cs="Times New Roman"/>
          <w:sz w:val="22"/>
        </w:rPr>
        <w:t>d</w:t>
      </w:r>
      <w:r w:rsidRPr="00B361C9">
        <w:rPr>
          <w:rFonts w:cs="Times New Roman"/>
          <w:sz w:val="22"/>
        </w:rPr>
        <w:t xml:space="preserve"> CRM 136, 137, and 138 into smaller quantities.  These standards are most commonly used as isotopic QCs or calibration standards.</w:t>
      </w:r>
      <w:r w:rsidR="003462A7">
        <w:rPr>
          <w:rFonts w:cs="Times New Roman"/>
          <w:sz w:val="22"/>
        </w:rPr>
        <w:t xml:space="preserve">  </w:t>
      </w:r>
      <w:r w:rsidR="00A06EB9" w:rsidRPr="00B361C9">
        <w:rPr>
          <w:rFonts w:cs="Times New Roman"/>
          <w:sz w:val="22"/>
        </w:rPr>
        <w:t>The plutonium sulfate</w:t>
      </w:r>
      <w:r w:rsidR="00635742">
        <w:rPr>
          <w:rFonts w:cs="Times New Roman"/>
          <w:sz w:val="22"/>
        </w:rPr>
        <w:t xml:space="preserve"> tetrahydrate (Pu(SO</w:t>
      </w:r>
      <w:r w:rsidR="00635742" w:rsidRPr="00635742">
        <w:rPr>
          <w:rFonts w:cs="Times New Roman"/>
          <w:sz w:val="22"/>
          <w:vertAlign w:val="subscript"/>
        </w:rPr>
        <w:t>4</w:t>
      </w:r>
      <w:r w:rsidR="00635742" w:rsidRPr="00635742">
        <w:rPr>
          <w:rFonts w:cs="Times New Roman"/>
          <w:sz w:val="22"/>
        </w:rPr>
        <w:t>)</w:t>
      </w:r>
      <w:r w:rsidR="00635742">
        <w:rPr>
          <w:rFonts w:cs="Times New Roman"/>
          <w:sz w:val="22"/>
          <w:vertAlign w:val="subscript"/>
        </w:rPr>
        <w:t>2</w:t>
      </w:r>
      <w:r w:rsidR="00635742">
        <w:rPr>
          <w:rFonts w:cs="Times New Roman"/>
          <w:sz w:val="22"/>
        </w:rPr>
        <w:t>-4H</w:t>
      </w:r>
      <w:r w:rsidR="00635742" w:rsidRPr="00635742">
        <w:rPr>
          <w:rFonts w:cs="Times New Roman"/>
          <w:sz w:val="22"/>
          <w:vertAlign w:val="subscript"/>
        </w:rPr>
        <w:t>2</w:t>
      </w:r>
      <w:r w:rsidR="00635742">
        <w:rPr>
          <w:rFonts w:cs="Times New Roman"/>
          <w:sz w:val="22"/>
        </w:rPr>
        <w:t>O)</w:t>
      </w:r>
      <w:r w:rsidR="00A06EB9" w:rsidRPr="00B361C9">
        <w:rPr>
          <w:rFonts w:cs="Times New Roman"/>
          <w:sz w:val="22"/>
        </w:rPr>
        <w:t xml:space="preserve">, isotopic CRMs had been originally packaged in 1970 by NIST, then called the National Bureau of Standards, as SRMs 946, 947, and 948. </w:t>
      </w:r>
      <w:r w:rsidR="003462A7">
        <w:rPr>
          <w:rFonts w:cs="Times New Roman"/>
          <w:sz w:val="22"/>
        </w:rPr>
        <w:t xml:space="preserve"> </w:t>
      </w:r>
      <w:r w:rsidR="00A06EB9" w:rsidRPr="00B361C9">
        <w:rPr>
          <w:rFonts w:cs="Times New Roman"/>
          <w:sz w:val="22"/>
        </w:rPr>
        <w:t xml:space="preserve">In </w:t>
      </w:r>
      <w:r w:rsidR="001655AE" w:rsidRPr="00B361C9">
        <w:rPr>
          <w:rFonts w:cs="Times New Roman"/>
          <w:sz w:val="22"/>
        </w:rPr>
        <w:t>1982,</w:t>
      </w:r>
      <w:r w:rsidR="00A06EB9" w:rsidRPr="00B361C9">
        <w:rPr>
          <w:rFonts w:cs="Times New Roman"/>
          <w:sz w:val="22"/>
        </w:rPr>
        <w:t xml:space="preserve"> the ownership of these materials transferred to NBL and their identification change</w:t>
      </w:r>
      <w:r w:rsidR="003462A7">
        <w:rPr>
          <w:rFonts w:cs="Times New Roman"/>
          <w:sz w:val="22"/>
        </w:rPr>
        <w:t xml:space="preserve">d to CRM 136, 137, and 138 with </w:t>
      </w:r>
      <w:r w:rsidR="00A06EB9" w:rsidRPr="00B361C9">
        <w:rPr>
          <w:rFonts w:cs="Times New Roman"/>
          <w:sz w:val="22"/>
        </w:rPr>
        <w:t xml:space="preserve">new certificates of analysis issued.  Each </w:t>
      </w:r>
      <w:r w:rsidR="003F1F81">
        <w:rPr>
          <w:rFonts w:cs="Times New Roman"/>
          <w:sz w:val="22"/>
        </w:rPr>
        <w:t xml:space="preserve">original </w:t>
      </w:r>
      <w:r w:rsidR="00294B8F">
        <w:rPr>
          <w:rFonts w:cs="Times New Roman"/>
          <w:sz w:val="22"/>
        </w:rPr>
        <w:t>S</w:t>
      </w:r>
      <w:r w:rsidR="003F1F81">
        <w:rPr>
          <w:rFonts w:cs="Times New Roman"/>
          <w:sz w:val="22"/>
        </w:rPr>
        <w:t xml:space="preserve">RM </w:t>
      </w:r>
      <w:r w:rsidR="00A06EB9" w:rsidRPr="00B361C9">
        <w:rPr>
          <w:rFonts w:cs="Times New Roman"/>
          <w:sz w:val="22"/>
        </w:rPr>
        <w:t>vial h</w:t>
      </w:r>
      <w:r w:rsidR="003F1F81">
        <w:rPr>
          <w:rFonts w:cs="Times New Roman"/>
          <w:sz w:val="22"/>
        </w:rPr>
        <w:t>e</w:t>
      </w:r>
      <w:r w:rsidR="00A06EB9" w:rsidRPr="00B361C9">
        <w:rPr>
          <w:rFonts w:cs="Times New Roman"/>
          <w:sz w:val="22"/>
        </w:rPr>
        <w:t>ld 0.25g of material.</w:t>
      </w:r>
      <w:r w:rsidR="003462A7">
        <w:rPr>
          <w:rFonts w:cs="Times New Roman"/>
          <w:sz w:val="22"/>
        </w:rPr>
        <w:t xml:space="preserve"> </w:t>
      </w:r>
      <w:r w:rsidR="00A06EB9" w:rsidRPr="00B361C9">
        <w:rPr>
          <w:rFonts w:cs="Times New Roman"/>
          <w:sz w:val="22"/>
        </w:rPr>
        <w:t xml:space="preserve"> </w:t>
      </w:r>
      <w:r w:rsidR="00003F76" w:rsidRPr="00B361C9">
        <w:rPr>
          <w:rFonts w:cs="Times New Roman"/>
          <w:sz w:val="22"/>
        </w:rPr>
        <w:t>Upon receipt and un</w:t>
      </w:r>
      <w:r>
        <w:rPr>
          <w:rFonts w:cs="Times New Roman"/>
          <w:sz w:val="22"/>
        </w:rPr>
        <w:t>-</w:t>
      </w:r>
      <w:r w:rsidR="00003F76" w:rsidRPr="00B361C9">
        <w:rPr>
          <w:rFonts w:cs="Times New Roman"/>
          <w:sz w:val="22"/>
        </w:rPr>
        <w:t>packaging of this material</w:t>
      </w:r>
      <w:r w:rsidR="00FF7762">
        <w:rPr>
          <w:rFonts w:cs="Times New Roman"/>
          <w:sz w:val="22"/>
        </w:rPr>
        <w:t>,</w:t>
      </w:r>
      <w:r w:rsidR="00A06EB9" w:rsidRPr="00B361C9">
        <w:rPr>
          <w:rFonts w:cs="Times New Roman"/>
          <w:sz w:val="22"/>
        </w:rPr>
        <w:t xml:space="preserve"> LANL identified several issues with the degradation of the old</w:t>
      </w:r>
      <w:r w:rsidR="007632ED">
        <w:rPr>
          <w:rFonts w:cs="Times New Roman"/>
          <w:sz w:val="22"/>
        </w:rPr>
        <w:t>,</w:t>
      </w:r>
      <w:r w:rsidR="00A06EB9" w:rsidRPr="00B361C9">
        <w:rPr>
          <w:rFonts w:cs="Times New Roman"/>
          <w:sz w:val="22"/>
        </w:rPr>
        <w:t xml:space="preserve"> original packaging (see Figure </w:t>
      </w:r>
      <w:r w:rsidR="008B0DCD" w:rsidRPr="00B361C9">
        <w:rPr>
          <w:rFonts w:cs="Times New Roman"/>
          <w:sz w:val="22"/>
        </w:rPr>
        <w:t>1</w:t>
      </w:r>
      <w:r w:rsidR="0092639A" w:rsidRPr="00B361C9">
        <w:rPr>
          <w:rFonts w:cs="Times New Roman"/>
          <w:sz w:val="22"/>
        </w:rPr>
        <w:t>).</w:t>
      </w:r>
      <w:r w:rsidR="00A06EB9" w:rsidRPr="00B361C9">
        <w:rPr>
          <w:rFonts w:cs="Times New Roman"/>
          <w:sz w:val="22"/>
        </w:rPr>
        <w:t xml:space="preserve">  </w:t>
      </w:r>
    </w:p>
    <w:p w:rsidR="00297A5E" w:rsidRPr="00B361C9" w:rsidRDefault="00003F76" w:rsidP="008151E8">
      <w:pPr>
        <w:spacing w:line="240" w:lineRule="auto"/>
        <w:ind w:right="27"/>
        <w:rPr>
          <w:rFonts w:cs="Times New Roman"/>
          <w:sz w:val="22"/>
        </w:rPr>
      </w:pPr>
      <w:r w:rsidRPr="00B361C9">
        <w:rPr>
          <w:rFonts w:cs="Times New Roman"/>
          <w:b/>
          <w:sz w:val="22"/>
        </w:rPr>
        <w:t xml:space="preserve">Figure </w:t>
      </w:r>
      <w:r w:rsidR="008B0DCD" w:rsidRPr="00B361C9">
        <w:rPr>
          <w:rFonts w:cs="Times New Roman"/>
          <w:b/>
          <w:sz w:val="22"/>
        </w:rPr>
        <w:t>1</w:t>
      </w:r>
      <w:r w:rsidRPr="00B361C9">
        <w:rPr>
          <w:rFonts w:cs="Times New Roman"/>
          <w:b/>
          <w:sz w:val="22"/>
        </w:rPr>
        <w:t>:</w:t>
      </w:r>
      <w:r w:rsidRPr="00B361C9">
        <w:rPr>
          <w:rFonts w:cs="Times New Roman"/>
          <w:sz w:val="22"/>
        </w:rPr>
        <w:t xml:space="preserve">  Photos showing original packaging of these materials as </w:t>
      </w:r>
      <w:r w:rsidR="002A0484" w:rsidRPr="00B361C9">
        <w:rPr>
          <w:rFonts w:cs="Times New Roman"/>
          <w:sz w:val="22"/>
        </w:rPr>
        <w:t>received</w:t>
      </w:r>
      <w:r w:rsidRPr="00B361C9">
        <w:rPr>
          <w:rFonts w:cs="Times New Roman"/>
          <w:sz w:val="22"/>
        </w:rPr>
        <w:t>.</w:t>
      </w:r>
      <w:r w:rsidR="002A0484" w:rsidRPr="00B361C9">
        <w:rPr>
          <w:rFonts w:cs="Times New Roman"/>
          <w:sz w:val="22"/>
        </w:rPr>
        <w:t xml:space="preserve">  Material was verified in good condition</w:t>
      </w:r>
      <w:r w:rsidR="006629FA">
        <w:rPr>
          <w:rFonts w:cs="Times New Roman"/>
          <w:sz w:val="22"/>
        </w:rPr>
        <w:t xml:space="preserve">, </w:t>
      </w:r>
      <w:r w:rsidR="007632ED">
        <w:rPr>
          <w:rFonts w:cs="Times New Roman"/>
          <w:sz w:val="22"/>
        </w:rPr>
        <w:t xml:space="preserve">and the </w:t>
      </w:r>
      <w:r w:rsidR="006629FA">
        <w:rPr>
          <w:rFonts w:cs="Times New Roman"/>
          <w:sz w:val="22"/>
        </w:rPr>
        <w:t>outer bag intact</w:t>
      </w:r>
      <w:r w:rsidR="002A0484" w:rsidRPr="00B361C9">
        <w:rPr>
          <w:rFonts w:cs="Times New Roman"/>
          <w:sz w:val="22"/>
        </w:rPr>
        <w:t xml:space="preserve">.  </w:t>
      </w:r>
      <w:r w:rsidR="006629FA">
        <w:rPr>
          <w:rFonts w:cs="Times New Roman"/>
          <w:sz w:val="22"/>
        </w:rPr>
        <w:t>Forty years of a</w:t>
      </w:r>
      <w:r w:rsidR="002A0484" w:rsidRPr="00B361C9">
        <w:rPr>
          <w:rFonts w:cs="Times New Roman"/>
          <w:sz w:val="22"/>
        </w:rPr>
        <w:t xml:space="preserve">ging effects seen in the </w:t>
      </w:r>
      <w:r w:rsidR="007632ED">
        <w:rPr>
          <w:rFonts w:cs="Times New Roman"/>
          <w:sz w:val="22"/>
        </w:rPr>
        <w:t xml:space="preserve">inner </w:t>
      </w:r>
      <w:r w:rsidR="002A0484" w:rsidRPr="00B361C9">
        <w:rPr>
          <w:rFonts w:cs="Times New Roman"/>
          <w:sz w:val="22"/>
        </w:rPr>
        <w:t>packaging.</w:t>
      </w:r>
      <w:r w:rsidR="002327F9">
        <w:rPr>
          <w:rFonts w:cs="Times New Roman"/>
          <w:sz w:val="22"/>
        </w:rPr>
        <w:t xml:space="preserve"> </w:t>
      </w:r>
      <w:r w:rsidR="002A0484" w:rsidRPr="00B361C9">
        <w:rPr>
          <w:rFonts w:cs="Times New Roman"/>
          <w:sz w:val="22"/>
        </w:rPr>
        <w:t xml:space="preserve"> A</w:t>
      </w:r>
      <w:r w:rsidRPr="00B361C9">
        <w:rPr>
          <w:rFonts w:cs="Times New Roman"/>
          <w:sz w:val="22"/>
        </w:rPr>
        <w:t xml:space="preserve">) Original </w:t>
      </w:r>
      <w:r w:rsidR="006629FA" w:rsidRPr="00B361C9">
        <w:rPr>
          <w:rFonts w:cs="Times New Roman"/>
          <w:sz w:val="22"/>
        </w:rPr>
        <w:t>c</w:t>
      </w:r>
      <w:r w:rsidR="006629FA">
        <w:rPr>
          <w:rFonts w:cs="Times New Roman"/>
          <w:sz w:val="22"/>
        </w:rPr>
        <w:t>olorless</w:t>
      </w:r>
      <w:r w:rsidR="006629FA" w:rsidRPr="00B361C9">
        <w:rPr>
          <w:rFonts w:cs="Times New Roman"/>
          <w:sz w:val="22"/>
        </w:rPr>
        <w:t xml:space="preserve"> </w:t>
      </w:r>
      <w:r w:rsidRPr="00B361C9">
        <w:rPr>
          <w:rFonts w:cs="Times New Roman"/>
          <w:sz w:val="22"/>
        </w:rPr>
        <w:t>glass vials now opaque with brittle caps, B) inner containment bag</w:t>
      </w:r>
      <w:r w:rsidR="002327F9">
        <w:rPr>
          <w:rFonts w:cs="Times New Roman"/>
          <w:sz w:val="22"/>
        </w:rPr>
        <w:t xml:space="preserve"> completely</w:t>
      </w:r>
      <w:r w:rsidRPr="00B361C9">
        <w:rPr>
          <w:rFonts w:cs="Times New Roman"/>
          <w:sz w:val="22"/>
        </w:rPr>
        <w:t xml:space="preserve"> disintegrated</w:t>
      </w:r>
      <w:r w:rsidR="002A0484" w:rsidRPr="00B361C9">
        <w:rPr>
          <w:rFonts w:cs="Times New Roman"/>
          <w:sz w:val="22"/>
        </w:rPr>
        <w:t>.</w:t>
      </w:r>
    </w:p>
    <w:p w:rsidR="00003F76" w:rsidRPr="00B361C9" w:rsidRDefault="007F33E3" w:rsidP="006F78CC">
      <w:pPr>
        <w:spacing w:line="240" w:lineRule="auto"/>
        <w:ind w:right="27"/>
        <w:jc w:val="center"/>
        <w:rPr>
          <w:rFonts w:cs="Times New Roman"/>
          <w:sz w:val="22"/>
          <w:highlight w:val="yellow"/>
        </w:rPr>
      </w:pPr>
      <w:r>
        <w:rPr>
          <w:rFonts w:cs="Times New Roman"/>
          <w:noProof/>
          <w:sz w:val="22"/>
        </w:rPr>
        <mc:AlternateContent>
          <mc:Choice Requires="wps">
            <w:drawing>
              <wp:anchor distT="0" distB="0" distL="114300" distR="114300" simplePos="0" relativeHeight="251668480" behindDoc="0" locked="0" layoutInCell="1" allowOverlap="1" wp14:anchorId="341DDBFC" wp14:editId="788D17DA">
                <wp:simplePos x="0" y="0"/>
                <wp:positionH relativeFrom="column">
                  <wp:posOffset>3380809</wp:posOffset>
                </wp:positionH>
                <wp:positionV relativeFrom="paragraph">
                  <wp:posOffset>2244313</wp:posOffset>
                </wp:positionV>
                <wp:extent cx="400256" cy="123568"/>
                <wp:effectExtent l="38100" t="0" r="19050" b="67310"/>
                <wp:wrapNone/>
                <wp:docPr id="4" name="Straight Arrow Connector 4"/>
                <wp:cNvGraphicFramePr/>
                <a:graphic xmlns:a="http://schemas.openxmlformats.org/drawingml/2006/main">
                  <a:graphicData uri="http://schemas.microsoft.com/office/word/2010/wordprocessingShape">
                    <wps:wsp>
                      <wps:cNvCnPr/>
                      <wps:spPr>
                        <a:xfrm flipH="1">
                          <a:off x="0" y="0"/>
                          <a:ext cx="400256" cy="123568"/>
                        </a:xfrm>
                        <a:prstGeom prst="straightConnector1">
                          <a:avLst/>
                        </a:prstGeom>
                        <a:ln>
                          <a:tailEnd type="arrow" w="sm"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66.2pt;margin-top:176.7pt;width:31.5pt;height:9.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" strokecolor="black [3040]">
                <v:stroke endarrow="open" endarrowwidth="narrow"/>
              </v:shape>
            </w:pict>
          </mc:Fallback>
        </mc:AlternateContent>
      </w:r>
      <w:r w:rsidRPr="006F78CC">
        <w:rPr>
          <w:rFonts w:cs="Times New Roman"/>
          <w:noProof/>
          <w:sz w:val="22"/>
          <w:highlight w:val="yellow"/>
        </w:rPr>
        <mc:AlternateContent>
          <mc:Choice Requires="wps">
            <w:drawing>
              <wp:anchor distT="0" distB="0" distL="114300" distR="114300" simplePos="0" relativeHeight="251661312" behindDoc="0" locked="0" layoutInCell="1" allowOverlap="1" wp14:anchorId="57D90712" wp14:editId="3BF12790">
                <wp:simplePos x="0" y="0"/>
                <wp:positionH relativeFrom="column">
                  <wp:posOffset>3660140</wp:posOffset>
                </wp:positionH>
                <wp:positionV relativeFrom="paragraph">
                  <wp:posOffset>2103755</wp:posOffset>
                </wp:positionV>
                <wp:extent cx="236855" cy="227330"/>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27330"/>
                        </a:xfrm>
                        <a:prstGeom prst="rect">
                          <a:avLst/>
                        </a:prstGeom>
                        <a:noFill/>
                        <a:ln w="9525">
                          <a:noFill/>
                          <a:miter lim="800000"/>
                          <a:headEnd/>
                          <a:tailEnd/>
                        </a:ln>
                      </wps:spPr>
                      <wps:txbx>
                        <w:txbxContent>
                          <w:p w:rsidR="00131A45" w:rsidRPr="006F78CC" w:rsidRDefault="00131A45" w:rsidP="006F78CC">
                            <w:pPr>
                              <w:jc w:val="center"/>
                              <w:rPr>
                                <w:sz w:val="22"/>
                              </w:rPr>
                            </w:pPr>
                            <w:r>
                              <w:rPr>
                                <w:sz w:val="22"/>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8.2pt;margin-top:165.65pt;width:18.6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" filled="f" stroked="f">
                <v:textbox>
                  <w:txbxContent>
                    <w:p w:rsidR="00131A45" w:rsidRPr="006F78CC" w:rsidRDefault="00131A45" w:rsidP="006F78CC">
                      <w:pPr>
                        <w:jc w:val="center"/>
                        <w:rPr>
                          <w:sz w:val="22"/>
                        </w:rPr>
                      </w:pPr>
                      <w:r>
                        <w:rPr>
                          <w:sz w:val="22"/>
                        </w:rPr>
                        <w:t>B</w:t>
                      </w:r>
                    </w:p>
                  </w:txbxContent>
                </v:textbox>
              </v:shape>
            </w:pict>
          </mc:Fallback>
        </mc:AlternateContent>
      </w:r>
      <w:r w:rsidR="00297A5E" w:rsidRPr="006F78CC">
        <w:rPr>
          <w:rFonts w:cs="Times New Roman"/>
          <w:noProof/>
          <w:sz w:val="22"/>
          <w:highlight w:val="yellow"/>
        </w:rPr>
        <mc:AlternateContent>
          <mc:Choice Requires="wps">
            <w:drawing>
              <wp:anchor distT="0" distB="0" distL="114300" distR="114300" simplePos="0" relativeHeight="251659264" behindDoc="0" locked="0" layoutInCell="1" allowOverlap="1" wp14:anchorId="2D8799FA" wp14:editId="462ADD6B">
                <wp:simplePos x="0" y="0"/>
                <wp:positionH relativeFrom="column">
                  <wp:posOffset>2199262</wp:posOffset>
                </wp:positionH>
                <wp:positionV relativeFrom="paragraph">
                  <wp:posOffset>553582</wp:posOffset>
                </wp:positionV>
                <wp:extent cx="237010" cy="22736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10" cy="227365"/>
                        </a:xfrm>
                        <a:prstGeom prst="rect">
                          <a:avLst/>
                        </a:prstGeom>
                        <a:noFill/>
                        <a:ln w="9525">
                          <a:noFill/>
                          <a:miter lim="800000"/>
                          <a:headEnd/>
                          <a:tailEnd/>
                        </a:ln>
                      </wps:spPr>
                      <wps:txbx>
                        <w:txbxContent>
                          <w:p w:rsidR="00131A45" w:rsidRPr="006F78CC" w:rsidRDefault="00131A45" w:rsidP="006F78CC">
                            <w:pPr>
                              <w:jc w:val="center"/>
                              <w:rPr>
                                <w:sz w:val="22"/>
                              </w:rPr>
                            </w:pPr>
                            <w:r w:rsidRPr="006F78CC">
                              <w:rPr>
                                <w:sz w:val="22"/>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3.15pt;margin-top:43.6pt;width:18.6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" filled="f" stroked="f">
                <v:textbox>
                  <w:txbxContent>
                    <w:p w:rsidR="00131A45" w:rsidRPr="006F78CC" w:rsidRDefault="00131A45" w:rsidP="006F78CC">
                      <w:pPr>
                        <w:jc w:val="center"/>
                        <w:rPr>
                          <w:sz w:val="22"/>
                        </w:rPr>
                      </w:pPr>
                      <w:r w:rsidRPr="006F78CC">
                        <w:rPr>
                          <w:sz w:val="22"/>
                        </w:rPr>
                        <w:t>A</w:t>
                      </w:r>
                    </w:p>
                  </w:txbxContent>
                </v:textbox>
              </v:shape>
            </w:pict>
          </mc:Fallback>
        </mc:AlternateContent>
      </w:r>
      <w:r w:rsidR="006928DB" w:rsidRPr="006F78CC">
        <w:rPr>
          <w:rFonts w:cs="Times New Roman"/>
          <w:noProof/>
          <w:sz w:val="22"/>
        </w:rPr>
        <w:drawing>
          <wp:inline distT="0" distB="0" distL="0" distR="0" wp14:anchorId="757D244A" wp14:editId="5CE62397">
            <wp:extent cx="2433046" cy="2718487"/>
            <wp:effectExtent l="0" t="0" r="5715" b="5715"/>
            <wp:docPr id="2" name="Picture 2" descr="Z:\PA data\Plutonium Data\Standards-program-projects\Repackaging NBL CRM 136, 137, 138\Pictures NBL repackaging\137 standard\DSCN2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A data\Plutonium Data\Standards-program-projects\Repackaging NBL CRM 136, 137, 138\Pictures NBL repackaging\137 standard\DSCN2535.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028" r="32434" b="20244"/>
                    <a:stretch/>
                  </pic:blipFill>
                  <pic:spPr bwMode="auto">
                    <a:xfrm>
                      <a:off x="0" y="0"/>
                      <a:ext cx="2434149" cy="2719720"/>
                    </a:xfrm>
                    <a:prstGeom prst="rect">
                      <a:avLst/>
                    </a:prstGeom>
                    <a:noFill/>
                    <a:ln>
                      <a:noFill/>
                    </a:ln>
                    <a:extLst>
                      <a:ext uri="{53640926-AAD7-44D8-BBD7-CCE9431645EC}">
                        <a14:shadowObscured xmlns:a14="http://schemas.microsoft.com/office/drawing/2010/main"/>
                      </a:ext>
                    </a:extLst>
                  </pic:spPr>
                </pic:pic>
              </a:graphicData>
            </a:graphic>
          </wp:inline>
        </w:drawing>
      </w:r>
    </w:p>
    <w:p w:rsidR="00C53B2F" w:rsidRPr="00B361C9" w:rsidRDefault="00294B8F" w:rsidP="008151E8">
      <w:pPr>
        <w:spacing w:line="240" w:lineRule="auto"/>
        <w:rPr>
          <w:rFonts w:cs="Times New Roman"/>
          <w:sz w:val="22"/>
        </w:rPr>
      </w:pPr>
      <w:r>
        <w:rPr>
          <w:rFonts w:cs="Times New Roman"/>
          <w:sz w:val="22"/>
        </w:rPr>
        <w:t>T</w:t>
      </w:r>
      <w:r w:rsidR="00A06EB9" w:rsidRPr="00B361C9">
        <w:rPr>
          <w:rFonts w:cs="Times New Roman"/>
          <w:sz w:val="22"/>
        </w:rPr>
        <w:t xml:space="preserve">these </w:t>
      </w:r>
      <w:r w:rsidR="007632ED">
        <w:rPr>
          <w:rFonts w:cs="Times New Roman"/>
          <w:sz w:val="22"/>
        </w:rPr>
        <w:t>SRMs</w:t>
      </w:r>
      <w:r w:rsidR="007632ED" w:rsidRPr="00B361C9">
        <w:rPr>
          <w:rFonts w:cs="Times New Roman"/>
          <w:sz w:val="22"/>
        </w:rPr>
        <w:t xml:space="preserve"> </w:t>
      </w:r>
      <w:r w:rsidR="00A06EB9" w:rsidRPr="00B361C9">
        <w:rPr>
          <w:rFonts w:cs="Times New Roman"/>
          <w:sz w:val="22"/>
        </w:rPr>
        <w:t xml:space="preserve">were successfully repackaged into 10 mg and 50 mg quantities.  </w:t>
      </w:r>
      <w:r w:rsidR="00930934" w:rsidRPr="00B361C9">
        <w:rPr>
          <w:rFonts w:cs="Times New Roman"/>
          <w:sz w:val="22"/>
        </w:rPr>
        <w:t xml:space="preserve">To verify that handling during the repackaging </w:t>
      </w:r>
      <w:r w:rsidR="00003F76" w:rsidRPr="00B361C9">
        <w:rPr>
          <w:rFonts w:cs="Times New Roman"/>
          <w:sz w:val="22"/>
        </w:rPr>
        <w:t xml:space="preserve">process </w:t>
      </w:r>
      <w:r w:rsidR="00930934" w:rsidRPr="00B361C9">
        <w:rPr>
          <w:rFonts w:cs="Times New Roman"/>
          <w:sz w:val="22"/>
        </w:rPr>
        <w:t>did not contaminate the materials</w:t>
      </w:r>
      <w:r w:rsidR="00003F76" w:rsidRPr="00B361C9">
        <w:rPr>
          <w:rFonts w:cs="Times New Roman"/>
          <w:sz w:val="22"/>
        </w:rPr>
        <w:t>,</w:t>
      </w:r>
      <w:r w:rsidR="00930934" w:rsidRPr="00B361C9">
        <w:rPr>
          <w:rFonts w:cs="Times New Roman"/>
          <w:sz w:val="22"/>
        </w:rPr>
        <w:t xml:space="preserve"> </w:t>
      </w:r>
      <w:r w:rsidR="00003F76" w:rsidRPr="00B361C9">
        <w:rPr>
          <w:rFonts w:cs="Times New Roman"/>
          <w:sz w:val="22"/>
        </w:rPr>
        <w:t>b</w:t>
      </w:r>
      <w:r w:rsidR="00930934" w:rsidRPr="00B361C9">
        <w:rPr>
          <w:rFonts w:cs="Times New Roman"/>
          <w:sz w:val="22"/>
        </w:rPr>
        <w:t>lanks modeling the entire process were performed prior to the introduction of the RM</w:t>
      </w:r>
      <w:r w:rsidR="008C0F92">
        <w:rPr>
          <w:rFonts w:cs="Times New Roman"/>
          <w:sz w:val="22"/>
        </w:rPr>
        <w:t>s</w:t>
      </w:r>
      <w:r w:rsidR="00930934" w:rsidRPr="00B361C9">
        <w:rPr>
          <w:rFonts w:cs="Times New Roman"/>
          <w:sz w:val="22"/>
        </w:rPr>
        <w:t xml:space="preserve"> to the workspaces</w:t>
      </w:r>
      <w:r w:rsidR="008467A4">
        <w:rPr>
          <w:rFonts w:cs="Times New Roman"/>
          <w:sz w:val="22"/>
        </w:rPr>
        <w:t xml:space="preserve">. </w:t>
      </w:r>
      <w:r w:rsidR="007D1280">
        <w:rPr>
          <w:rFonts w:cs="Times New Roman"/>
          <w:sz w:val="22"/>
        </w:rPr>
        <w:t xml:space="preserve"> </w:t>
      </w:r>
      <w:r w:rsidR="00123461">
        <w:rPr>
          <w:rFonts w:cs="Times New Roman"/>
          <w:sz w:val="22"/>
        </w:rPr>
        <w:t>This process was proceeded by preparing the area with extensive clean up and introduction of new materials</w:t>
      </w:r>
      <w:r w:rsidR="00785BF7">
        <w:rPr>
          <w:rFonts w:cs="Times New Roman"/>
          <w:sz w:val="22"/>
        </w:rPr>
        <w:t xml:space="preserve"> and supplies</w:t>
      </w:r>
      <w:r w:rsidR="00123461">
        <w:rPr>
          <w:rFonts w:cs="Times New Roman"/>
          <w:sz w:val="22"/>
        </w:rPr>
        <w:t xml:space="preserve"> used for processing.</w:t>
      </w:r>
      <w:r w:rsidR="00785BF7">
        <w:rPr>
          <w:rFonts w:cs="Times New Roman"/>
          <w:sz w:val="22"/>
        </w:rPr>
        <w:t xml:space="preserve"> </w:t>
      </w:r>
      <w:r w:rsidR="008467A4">
        <w:rPr>
          <w:rFonts w:cs="Times New Roman"/>
          <w:sz w:val="22"/>
        </w:rPr>
        <w:t xml:space="preserve">Blanks </w:t>
      </w:r>
      <w:r w:rsidR="00123461">
        <w:rPr>
          <w:rFonts w:cs="Times New Roman"/>
          <w:sz w:val="22"/>
        </w:rPr>
        <w:t xml:space="preserve">in this case </w:t>
      </w:r>
      <w:r w:rsidR="0092639A" w:rsidRPr="00B361C9">
        <w:rPr>
          <w:rFonts w:cs="Times New Roman"/>
          <w:sz w:val="22"/>
        </w:rPr>
        <w:t>returned values at the picogram levels</w:t>
      </w:r>
      <w:r w:rsidR="00123461">
        <w:rPr>
          <w:rFonts w:cs="Times New Roman"/>
          <w:sz w:val="22"/>
        </w:rPr>
        <w:t xml:space="preserve"> for Pu</w:t>
      </w:r>
      <w:r w:rsidR="00930934" w:rsidRPr="00B361C9">
        <w:rPr>
          <w:rFonts w:cs="Times New Roman"/>
          <w:sz w:val="22"/>
        </w:rPr>
        <w:t xml:space="preserve">.  In addition, process blanks were </w:t>
      </w:r>
      <w:r w:rsidR="008467A4">
        <w:rPr>
          <w:rFonts w:cs="Times New Roman"/>
          <w:sz w:val="22"/>
        </w:rPr>
        <w:t xml:space="preserve">created and </w:t>
      </w:r>
      <w:r w:rsidR="00785BF7">
        <w:rPr>
          <w:rFonts w:cs="Times New Roman"/>
          <w:sz w:val="22"/>
        </w:rPr>
        <w:t>handled</w:t>
      </w:r>
      <w:r w:rsidR="00123461" w:rsidRPr="00B361C9">
        <w:rPr>
          <w:rFonts w:cs="Times New Roman"/>
          <w:sz w:val="22"/>
        </w:rPr>
        <w:t xml:space="preserve"> </w:t>
      </w:r>
      <w:r w:rsidR="00930934" w:rsidRPr="00B361C9">
        <w:rPr>
          <w:rFonts w:cs="Times New Roman"/>
          <w:sz w:val="22"/>
        </w:rPr>
        <w:t>through the entire p</w:t>
      </w:r>
      <w:r w:rsidR="00003F76" w:rsidRPr="00B361C9">
        <w:rPr>
          <w:rFonts w:cs="Times New Roman"/>
          <w:sz w:val="22"/>
        </w:rPr>
        <w:t xml:space="preserve">rocess of repackaging </w:t>
      </w:r>
      <w:r w:rsidR="007632ED">
        <w:rPr>
          <w:rFonts w:cs="Times New Roman"/>
          <w:sz w:val="22"/>
        </w:rPr>
        <w:t>alongside</w:t>
      </w:r>
      <w:r w:rsidR="007632ED" w:rsidRPr="00B361C9">
        <w:rPr>
          <w:rFonts w:cs="Times New Roman"/>
          <w:sz w:val="22"/>
        </w:rPr>
        <w:t xml:space="preserve"> </w:t>
      </w:r>
      <w:r w:rsidR="00003F76" w:rsidRPr="00B361C9">
        <w:rPr>
          <w:rFonts w:cs="Times New Roman"/>
          <w:sz w:val="22"/>
        </w:rPr>
        <w:t>the</w:t>
      </w:r>
      <w:r w:rsidR="00930934" w:rsidRPr="00B361C9">
        <w:rPr>
          <w:rFonts w:cs="Times New Roman"/>
          <w:sz w:val="22"/>
        </w:rPr>
        <w:t xml:space="preserve"> RM</w:t>
      </w:r>
      <w:r w:rsidR="00003F76" w:rsidRPr="00B361C9">
        <w:rPr>
          <w:rFonts w:cs="Times New Roman"/>
          <w:sz w:val="22"/>
        </w:rPr>
        <w:t>s</w:t>
      </w:r>
      <w:r w:rsidR="00930934" w:rsidRPr="00B361C9">
        <w:rPr>
          <w:rFonts w:cs="Times New Roman"/>
          <w:sz w:val="22"/>
        </w:rPr>
        <w:t xml:space="preserve">.  </w:t>
      </w:r>
      <w:r w:rsidR="003927BC">
        <w:rPr>
          <w:rFonts w:cs="Times New Roman"/>
          <w:sz w:val="22"/>
        </w:rPr>
        <w:t>Pu i</w:t>
      </w:r>
      <w:r w:rsidR="00A06EB9" w:rsidRPr="00B361C9">
        <w:rPr>
          <w:rFonts w:cs="Times New Roman"/>
          <w:sz w:val="22"/>
        </w:rPr>
        <w:t>sotopic analys</w:t>
      </w:r>
      <w:r w:rsidR="00003F76" w:rsidRPr="00B361C9">
        <w:rPr>
          <w:rFonts w:cs="Times New Roman"/>
          <w:sz w:val="22"/>
        </w:rPr>
        <w:t>e</w:t>
      </w:r>
      <w:r w:rsidR="00A06EB9" w:rsidRPr="00B361C9">
        <w:rPr>
          <w:rFonts w:cs="Times New Roman"/>
          <w:sz w:val="22"/>
        </w:rPr>
        <w:t xml:space="preserve">s of </w:t>
      </w:r>
      <w:r w:rsidR="00856D3D" w:rsidRPr="00B361C9">
        <w:rPr>
          <w:rFonts w:cs="Times New Roman"/>
          <w:sz w:val="22"/>
        </w:rPr>
        <w:t xml:space="preserve">the </w:t>
      </w:r>
      <w:r w:rsidR="003927BC">
        <w:rPr>
          <w:rFonts w:cs="Times New Roman"/>
          <w:sz w:val="22"/>
        </w:rPr>
        <w:t xml:space="preserve">re-packaged </w:t>
      </w:r>
      <w:r w:rsidR="00856D3D" w:rsidRPr="00B361C9">
        <w:rPr>
          <w:rFonts w:cs="Times New Roman"/>
          <w:sz w:val="22"/>
        </w:rPr>
        <w:t>material</w:t>
      </w:r>
      <w:r w:rsidR="00003F76" w:rsidRPr="00B361C9">
        <w:rPr>
          <w:rFonts w:cs="Times New Roman"/>
          <w:sz w:val="22"/>
        </w:rPr>
        <w:t>s</w:t>
      </w:r>
      <w:r w:rsidR="00856D3D" w:rsidRPr="00B361C9">
        <w:rPr>
          <w:rFonts w:cs="Times New Roman"/>
          <w:sz w:val="22"/>
        </w:rPr>
        <w:t xml:space="preserve"> </w:t>
      </w:r>
      <w:r w:rsidR="00003F76" w:rsidRPr="00B361C9">
        <w:rPr>
          <w:rFonts w:cs="Times New Roman"/>
          <w:sz w:val="22"/>
        </w:rPr>
        <w:t>were</w:t>
      </w:r>
      <w:r w:rsidR="001C557C" w:rsidRPr="00B361C9">
        <w:rPr>
          <w:rFonts w:cs="Times New Roman"/>
          <w:sz w:val="22"/>
        </w:rPr>
        <w:t xml:space="preserve"> carried</w:t>
      </w:r>
      <w:r w:rsidR="007632ED">
        <w:rPr>
          <w:rFonts w:cs="Times New Roman"/>
          <w:sz w:val="22"/>
        </w:rPr>
        <w:t xml:space="preserve"> out</w:t>
      </w:r>
      <w:r w:rsidR="001C557C" w:rsidRPr="00B361C9">
        <w:rPr>
          <w:rFonts w:cs="Times New Roman"/>
          <w:sz w:val="22"/>
        </w:rPr>
        <w:t xml:space="preserve"> </w:t>
      </w:r>
      <w:r w:rsidR="00003F76" w:rsidRPr="00B361C9">
        <w:rPr>
          <w:rFonts w:cs="Times New Roman"/>
          <w:sz w:val="22"/>
        </w:rPr>
        <w:t xml:space="preserve">via </w:t>
      </w:r>
      <w:r w:rsidR="003927BC">
        <w:rPr>
          <w:rFonts w:cs="Times New Roman"/>
          <w:sz w:val="22"/>
        </w:rPr>
        <w:t xml:space="preserve">thermal ionization </w:t>
      </w:r>
      <w:r w:rsidR="00975862" w:rsidRPr="00B361C9">
        <w:rPr>
          <w:rFonts w:cs="Times New Roman"/>
          <w:sz w:val="22"/>
        </w:rPr>
        <w:t>mass spectromet</w:t>
      </w:r>
      <w:r w:rsidR="003927BC">
        <w:rPr>
          <w:rFonts w:cs="Times New Roman"/>
          <w:sz w:val="22"/>
        </w:rPr>
        <w:t>ry</w:t>
      </w:r>
      <w:r w:rsidR="00785BF7">
        <w:rPr>
          <w:rFonts w:cs="Times New Roman"/>
          <w:sz w:val="22"/>
        </w:rPr>
        <w:t xml:space="preserve"> </w:t>
      </w:r>
      <w:r w:rsidR="003927BC">
        <w:rPr>
          <w:rFonts w:cs="Times New Roman"/>
          <w:sz w:val="22"/>
        </w:rPr>
        <w:t xml:space="preserve">on </w:t>
      </w:r>
      <w:r w:rsidR="00A06EB9" w:rsidRPr="00B361C9">
        <w:rPr>
          <w:rFonts w:cs="Times New Roman"/>
          <w:sz w:val="22"/>
        </w:rPr>
        <w:t xml:space="preserve">randomly </w:t>
      </w:r>
      <w:r w:rsidR="003927BC">
        <w:rPr>
          <w:rFonts w:cs="Times New Roman"/>
          <w:sz w:val="22"/>
        </w:rPr>
        <w:t xml:space="preserve">selected </w:t>
      </w:r>
      <w:r w:rsidR="00A06EB9" w:rsidRPr="00B361C9">
        <w:rPr>
          <w:rFonts w:cs="Times New Roman"/>
          <w:sz w:val="22"/>
        </w:rPr>
        <w:t>vials</w:t>
      </w:r>
      <w:r w:rsidR="00003F76" w:rsidRPr="00B361C9">
        <w:rPr>
          <w:rFonts w:cs="Times New Roman"/>
          <w:sz w:val="22"/>
        </w:rPr>
        <w:t xml:space="preserve">.  </w:t>
      </w:r>
      <w:r w:rsidR="00A06EB9" w:rsidRPr="00B361C9">
        <w:rPr>
          <w:rFonts w:cs="Times New Roman"/>
          <w:sz w:val="22"/>
        </w:rPr>
        <w:t xml:space="preserve">All verification measurements </w:t>
      </w:r>
      <w:r w:rsidR="008467A4" w:rsidRPr="00B361C9">
        <w:rPr>
          <w:rFonts w:cs="Times New Roman"/>
          <w:sz w:val="22"/>
        </w:rPr>
        <w:t>p</w:t>
      </w:r>
      <w:r w:rsidR="008467A4">
        <w:rPr>
          <w:rFonts w:cs="Times New Roman"/>
          <w:sz w:val="22"/>
        </w:rPr>
        <w:t>er</w:t>
      </w:r>
      <w:r w:rsidR="008467A4" w:rsidRPr="00B361C9">
        <w:rPr>
          <w:rFonts w:cs="Times New Roman"/>
          <w:sz w:val="22"/>
        </w:rPr>
        <w:t xml:space="preserve">formed </w:t>
      </w:r>
      <w:r w:rsidR="00A06EB9" w:rsidRPr="00B361C9">
        <w:rPr>
          <w:rFonts w:cs="Times New Roman"/>
          <w:sz w:val="22"/>
        </w:rPr>
        <w:t xml:space="preserve">at LANL </w:t>
      </w:r>
      <w:r w:rsidR="00003F76" w:rsidRPr="00B361C9">
        <w:rPr>
          <w:rFonts w:cs="Times New Roman"/>
          <w:sz w:val="22"/>
        </w:rPr>
        <w:t xml:space="preserve">are </w:t>
      </w:r>
      <w:r w:rsidR="00653B1F" w:rsidRPr="00B361C9">
        <w:rPr>
          <w:rFonts w:cs="Times New Roman"/>
          <w:sz w:val="22"/>
        </w:rPr>
        <w:t xml:space="preserve">traceable to CRM 126a.  </w:t>
      </w:r>
      <w:r w:rsidR="00EB202E">
        <w:rPr>
          <w:rFonts w:cs="Times New Roman"/>
          <w:sz w:val="22"/>
        </w:rPr>
        <w:t>(</w:t>
      </w:r>
      <w:r w:rsidR="008B0DCD" w:rsidRPr="00B361C9">
        <w:rPr>
          <w:rFonts w:cs="Times New Roman"/>
          <w:sz w:val="22"/>
        </w:rPr>
        <w:t xml:space="preserve">See Table </w:t>
      </w:r>
      <w:r w:rsidR="00A06EB9" w:rsidRPr="00B361C9">
        <w:rPr>
          <w:rFonts w:cs="Times New Roman"/>
          <w:sz w:val="22"/>
        </w:rPr>
        <w:t xml:space="preserve">1 for comparison of </w:t>
      </w:r>
      <w:r w:rsidR="008467A4">
        <w:rPr>
          <w:rFonts w:cs="Times New Roman"/>
          <w:sz w:val="22"/>
        </w:rPr>
        <w:t xml:space="preserve">the </w:t>
      </w:r>
      <w:r w:rsidR="00A06EB9" w:rsidRPr="00B361C9">
        <w:rPr>
          <w:rFonts w:cs="Times New Roman"/>
          <w:sz w:val="22"/>
        </w:rPr>
        <w:t>analyzed and certified value</w:t>
      </w:r>
      <w:r w:rsidR="009C409E">
        <w:rPr>
          <w:rFonts w:cs="Times New Roman"/>
          <w:sz w:val="22"/>
        </w:rPr>
        <w:t>s</w:t>
      </w:r>
      <w:r w:rsidR="00A06EB9" w:rsidRPr="00B361C9">
        <w:rPr>
          <w:rFonts w:cs="Times New Roman"/>
          <w:sz w:val="22"/>
        </w:rPr>
        <w:t>.</w:t>
      </w:r>
      <w:r w:rsidR="00EB202E">
        <w:rPr>
          <w:rFonts w:cs="Times New Roman"/>
          <w:sz w:val="22"/>
        </w:rPr>
        <w:t>)</w:t>
      </w:r>
      <w:r w:rsidR="00A06EB9" w:rsidRPr="00B361C9">
        <w:rPr>
          <w:rFonts w:cs="Times New Roman"/>
          <w:sz w:val="22"/>
        </w:rPr>
        <w:t xml:space="preserve">  </w:t>
      </w:r>
      <w:r w:rsidR="00197EB0">
        <w:rPr>
          <w:rFonts w:cs="Times New Roman"/>
          <w:sz w:val="22"/>
        </w:rPr>
        <w:t>The</w:t>
      </w:r>
      <w:r w:rsidR="00A06EB9" w:rsidRPr="00B361C9">
        <w:rPr>
          <w:rFonts w:cs="Times New Roman"/>
          <w:sz w:val="22"/>
        </w:rPr>
        <w:t xml:space="preserve"> </w:t>
      </w:r>
      <w:r w:rsidR="00B25CF8" w:rsidRPr="00B361C9">
        <w:rPr>
          <w:rFonts w:cs="Times New Roman"/>
          <w:sz w:val="22"/>
        </w:rPr>
        <w:t>measurement</w:t>
      </w:r>
      <w:r w:rsidR="00003F76" w:rsidRPr="00B361C9">
        <w:rPr>
          <w:rFonts w:cs="Times New Roman"/>
          <w:sz w:val="22"/>
        </w:rPr>
        <w:t>s</w:t>
      </w:r>
      <w:r w:rsidR="00B17090" w:rsidRPr="00B361C9">
        <w:rPr>
          <w:rFonts w:cs="Times New Roman"/>
          <w:sz w:val="22"/>
        </w:rPr>
        <w:t xml:space="preserve"> carried out to support this work</w:t>
      </w:r>
      <w:r w:rsidR="00003F76" w:rsidRPr="00B361C9">
        <w:rPr>
          <w:rFonts w:cs="Times New Roman"/>
          <w:sz w:val="22"/>
        </w:rPr>
        <w:t xml:space="preserve"> are </w:t>
      </w:r>
      <w:r w:rsidR="00B17090" w:rsidRPr="00B361C9">
        <w:rPr>
          <w:rFonts w:cs="Times New Roman"/>
          <w:sz w:val="22"/>
        </w:rPr>
        <w:t xml:space="preserve">within </w:t>
      </w:r>
      <w:r w:rsidR="00A06EB9" w:rsidRPr="00B361C9">
        <w:rPr>
          <w:rFonts w:cs="Times New Roman"/>
          <w:sz w:val="22"/>
        </w:rPr>
        <w:t>the uncertainties associated with the original certified values</w:t>
      </w:r>
      <w:r w:rsidR="008467A4">
        <w:rPr>
          <w:rFonts w:cs="Times New Roman"/>
          <w:sz w:val="22"/>
        </w:rPr>
        <w:t>,</w:t>
      </w:r>
      <w:r w:rsidR="00003F76" w:rsidRPr="00B361C9">
        <w:rPr>
          <w:rFonts w:cs="Times New Roman"/>
          <w:sz w:val="22"/>
        </w:rPr>
        <w:t xml:space="preserve"> and </w:t>
      </w:r>
      <w:r w:rsidR="001655AE" w:rsidRPr="00B361C9">
        <w:rPr>
          <w:rFonts w:cs="Times New Roman"/>
          <w:sz w:val="22"/>
        </w:rPr>
        <w:t>the</w:t>
      </w:r>
      <w:r w:rsidR="00003F76" w:rsidRPr="00B361C9">
        <w:rPr>
          <w:rFonts w:cs="Times New Roman"/>
          <w:sz w:val="22"/>
        </w:rPr>
        <w:t xml:space="preserve"> data </w:t>
      </w:r>
      <w:r w:rsidR="00A06EB9" w:rsidRPr="00B361C9">
        <w:rPr>
          <w:rFonts w:cs="Times New Roman"/>
          <w:sz w:val="22"/>
        </w:rPr>
        <w:t xml:space="preserve">verified that the material </w:t>
      </w:r>
      <w:r w:rsidR="008467A4">
        <w:rPr>
          <w:rFonts w:cs="Times New Roman"/>
          <w:sz w:val="22"/>
        </w:rPr>
        <w:t xml:space="preserve">was </w:t>
      </w:r>
      <w:r w:rsidR="00A06EB9" w:rsidRPr="00B361C9">
        <w:rPr>
          <w:rFonts w:cs="Times New Roman"/>
          <w:sz w:val="22"/>
        </w:rPr>
        <w:t xml:space="preserve">not contaminated </w:t>
      </w:r>
      <w:r w:rsidR="00003F76" w:rsidRPr="00B361C9">
        <w:rPr>
          <w:rFonts w:cs="Times New Roman"/>
          <w:sz w:val="22"/>
        </w:rPr>
        <w:t xml:space="preserve">during </w:t>
      </w:r>
      <w:r w:rsidR="00B4568D" w:rsidRPr="00B361C9">
        <w:rPr>
          <w:rFonts w:cs="Times New Roman"/>
          <w:sz w:val="22"/>
        </w:rPr>
        <w:t>handling</w:t>
      </w:r>
      <w:r w:rsidR="00003F76" w:rsidRPr="00B361C9">
        <w:rPr>
          <w:rFonts w:cs="Times New Roman"/>
          <w:sz w:val="22"/>
        </w:rPr>
        <w:t xml:space="preserve"> </w:t>
      </w:r>
      <w:r w:rsidR="00A06EB9" w:rsidRPr="00B361C9">
        <w:rPr>
          <w:rFonts w:cs="Times New Roman"/>
          <w:sz w:val="22"/>
        </w:rPr>
        <w:t>[</w:t>
      </w:r>
      <w:r w:rsidR="00AB0945">
        <w:rPr>
          <w:rFonts w:cs="Times New Roman"/>
          <w:sz w:val="22"/>
        </w:rPr>
        <w:t>13</w:t>
      </w:r>
      <w:r w:rsidR="00A06EB9" w:rsidRPr="00B361C9">
        <w:rPr>
          <w:rFonts w:cs="Times New Roman"/>
          <w:sz w:val="22"/>
        </w:rPr>
        <w:t>].</w:t>
      </w:r>
    </w:p>
    <w:p w:rsidR="002B2A8D" w:rsidRPr="00B361C9" w:rsidRDefault="00A06EB9" w:rsidP="008151E8">
      <w:pPr>
        <w:spacing w:line="240" w:lineRule="auto"/>
        <w:ind w:right="657"/>
        <w:rPr>
          <w:rFonts w:cs="Times New Roman"/>
          <w:sz w:val="22"/>
        </w:rPr>
      </w:pPr>
      <w:r w:rsidRPr="00B361C9">
        <w:rPr>
          <w:rFonts w:cs="Times New Roman"/>
          <w:b/>
          <w:sz w:val="22"/>
        </w:rPr>
        <w:lastRenderedPageBreak/>
        <w:t xml:space="preserve">Table </w:t>
      </w:r>
      <w:r w:rsidR="008B0DCD" w:rsidRPr="00B361C9">
        <w:rPr>
          <w:rFonts w:cs="Times New Roman"/>
          <w:b/>
          <w:sz w:val="22"/>
        </w:rPr>
        <w:t>1</w:t>
      </w:r>
      <w:r w:rsidRPr="00B361C9">
        <w:rPr>
          <w:rFonts w:cs="Times New Roman"/>
          <w:sz w:val="22"/>
        </w:rPr>
        <w:t>:  Example of verification data</w:t>
      </w:r>
      <w:r w:rsidR="00FA5A0A" w:rsidRPr="00B361C9">
        <w:rPr>
          <w:rFonts w:cs="Times New Roman"/>
          <w:sz w:val="22"/>
        </w:rPr>
        <w:t>.</w:t>
      </w:r>
      <w:r w:rsidRPr="00B361C9">
        <w:rPr>
          <w:rFonts w:cs="Times New Roman"/>
          <w:sz w:val="22"/>
        </w:rPr>
        <w:t xml:space="preserve">  Ten replicate analyses across multiple vials provide</w:t>
      </w:r>
      <w:r w:rsidR="009C409E">
        <w:rPr>
          <w:rFonts w:cs="Times New Roman"/>
          <w:sz w:val="22"/>
        </w:rPr>
        <w:t>d</w:t>
      </w:r>
      <w:r w:rsidRPr="00B361C9">
        <w:rPr>
          <w:rFonts w:cs="Times New Roman"/>
          <w:sz w:val="22"/>
        </w:rPr>
        <w:t xml:space="preserve"> the data below.</w:t>
      </w:r>
    </w:p>
    <w:tbl>
      <w:tblPr>
        <w:tblW w:w="7560" w:type="dxa"/>
        <w:jc w:val="center"/>
        <w:tblLook w:val="04A0" w:firstRow="1" w:lastRow="0" w:firstColumn="1" w:lastColumn="0" w:noHBand="0" w:noVBand="1"/>
      </w:tblPr>
      <w:tblGrid>
        <w:gridCol w:w="2460"/>
        <w:gridCol w:w="924"/>
        <w:gridCol w:w="1084"/>
        <w:gridCol w:w="1084"/>
        <w:gridCol w:w="1084"/>
        <w:gridCol w:w="924"/>
      </w:tblGrid>
      <w:tr w:rsidR="00CB37A3" w:rsidRPr="00B361C9" w:rsidTr="00FA5A0A">
        <w:trPr>
          <w:trHeight w:val="309"/>
          <w:jc w:val="center"/>
        </w:trPr>
        <w:tc>
          <w:tcPr>
            <w:tcW w:w="2460" w:type="dxa"/>
            <w:vMerge w:val="restart"/>
            <w:tcBorders>
              <w:top w:val="single" w:sz="4" w:space="0" w:color="auto"/>
              <w:left w:val="nil"/>
              <w:bottom w:val="single" w:sz="8" w:space="0" w:color="000000"/>
              <w:right w:val="nil"/>
            </w:tcBorders>
            <w:shd w:val="clear" w:color="000000" w:fill="FFFFFF"/>
            <w:vAlign w:val="center"/>
            <w:hideMark/>
          </w:tcPr>
          <w:p w:rsidR="00647C9A" w:rsidRPr="00B361C9" w:rsidRDefault="00A06EB9" w:rsidP="008151E8">
            <w:pPr>
              <w:spacing w:after="0" w:line="240" w:lineRule="auto"/>
              <w:rPr>
                <w:rFonts w:eastAsia="Times New Roman" w:cs="Times New Roman"/>
                <w:b/>
                <w:bCs/>
                <w:color w:val="000000"/>
              </w:rPr>
            </w:pPr>
            <w:r w:rsidRPr="00B361C9">
              <w:rPr>
                <w:rFonts w:cs="Times New Roman"/>
                <w:b/>
                <w:color w:val="000000"/>
                <w:sz w:val="22"/>
              </w:rPr>
              <w:t>CRM 137</w:t>
            </w:r>
          </w:p>
        </w:tc>
        <w:tc>
          <w:tcPr>
            <w:tcW w:w="5100" w:type="dxa"/>
            <w:gridSpan w:val="5"/>
            <w:tcBorders>
              <w:top w:val="single" w:sz="4" w:space="0" w:color="auto"/>
              <w:left w:val="nil"/>
              <w:bottom w:val="nil"/>
              <w:right w:val="nil"/>
            </w:tcBorders>
            <w:shd w:val="clear" w:color="000000" w:fill="FFFFFF"/>
            <w:noWrap/>
            <w:vAlign w:val="bottom"/>
            <w:hideMark/>
          </w:tcPr>
          <w:p w:rsidR="00647C9A" w:rsidRPr="00B361C9" w:rsidRDefault="00A06EB9" w:rsidP="008151E8">
            <w:pPr>
              <w:spacing w:after="0" w:line="240" w:lineRule="auto"/>
              <w:jc w:val="center"/>
              <w:rPr>
                <w:rFonts w:eastAsia="Times New Roman" w:cs="Times New Roman"/>
                <w:b/>
                <w:bCs/>
              </w:rPr>
            </w:pPr>
            <w:r w:rsidRPr="00B361C9">
              <w:rPr>
                <w:rFonts w:cs="Times New Roman"/>
                <w:b/>
                <w:sz w:val="22"/>
              </w:rPr>
              <w:t>Pu Isotope Weight % (2/10/09)</w:t>
            </w:r>
          </w:p>
        </w:tc>
      </w:tr>
      <w:tr w:rsidR="00CB37A3" w:rsidRPr="00B361C9" w:rsidTr="00FA5A0A">
        <w:trPr>
          <w:trHeight w:val="318"/>
          <w:jc w:val="center"/>
        </w:trPr>
        <w:tc>
          <w:tcPr>
            <w:tcW w:w="2460" w:type="dxa"/>
            <w:vMerge/>
            <w:tcBorders>
              <w:top w:val="single" w:sz="4" w:space="0" w:color="auto"/>
              <w:left w:val="nil"/>
              <w:bottom w:val="single" w:sz="8" w:space="0" w:color="000000"/>
              <w:right w:val="nil"/>
            </w:tcBorders>
            <w:vAlign w:val="center"/>
            <w:hideMark/>
          </w:tcPr>
          <w:p w:rsidR="00647C9A" w:rsidRPr="00B361C9" w:rsidRDefault="00647C9A" w:rsidP="008151E8">
            <w:pPr>
              <w:spacing w:after="0" w:line="240" w:lineRule="auto"/>
              <w:rPr>
                <w:rFonts w:eastAsia="Times New Roman" w:cs="Times New Roman"/>
                <w:b/>
                <w:bCs/>
                <w:color w:val="000000"/>
              </w:rPr>
            </w:pPr>
          </w:p>
        </w:tc>
        <w:tc>
          <w:tcPr>
            <w:tcW w:w="924" w:type="dxa"/>
            <w:tcBorders>
              <w:top w:val="nil"/>
              <w:left w:val="nil"/>
              <w:bottom w:val="single" w:sz="8" w:space="0" w:color="auto"/>
              <w:right w:val="nil"/>
            </w:tcBorders>
            <w:shd w:val="clear" w:color="000000" w:fill="FFFFFF"/>
            <w:noWrap/>
            <w:vAlign w:val="bottom"/>
            <w:hideMark/>
          </w:tcPr>
          <w:p w:rsidR="00647C9A" w:rsidRPr="00B361C9" w:rsidRDefault="00A06EB9" w:rsidP="008151E8">
            <w:pPr>
              <w:spacing w:after="0" w:line="240" w:lineRule="auto"/>
              <w:jc w:val="center"/>
              <w:rPr>
                <w:rFonts w:eastAsia="Times New Roman" w:cs="Times New Roman"/>
                <w:b/>
                <w:bCs/>
              </w:rPr>
            </w:pPr>
            <w:r w:rsidRPr="00B361C9">
              <w:rPr>
                <w:rFonts w:cs="Times New Roman"/>
                <w:b/>
                <w:sz w:val="22"/>
              </w:rPr>
              <w:t>238</w:t>
            </w:r>
          </w:p>
        </w:tc>
        <w:tc>
          <w:tcPr>
            <w:tcW w:w="1084" w:type="dxa"/>
            <w:tcBorders>
              <w:top w:val="nil"/>
              <w:left w:val="nil"/>
              <w:bottom w:val="single" w:sz="8" w:space="0" w:color="auto"/>
              <w:right w:val="nil"/>
            </w:tcBorders>
            <w:shd w:val="clear" w:color="000000" w:fill="FFFFFF"/>
            <w:noWrap/>
            <w:vAlign w:val="bottom"/>
            <w:hideMark/>
          </w:tcPr>
          <w:p w:rsidR="00647C9A" w:rsidRPr="00B361C9" w:rsidRDefault="00A06EB9" w:rsidP="008151E8">
            <w:pPr>
              <w:spacing w:after="0" w:line="240" w:lineRule="auto"/>
              <w:jc w:val="center"/>
              <w:rPr>
                <w:rFonts w:eastAsia="Times New Roman" w:cs="Times New Roman"/>
                <w:b/>
                <w:bCs/>
              </w:rPr>
            </w:pPr>
            <w:r w:rsidRPr="00B361C9">
              <w:rPr>
                <w:rFonts w:cs="Times New Roman"/>
                <w:b/>
                <w:sz w:val="22"/>
              </w:rPr>
              <w:t>239</w:t>
            </w:r>
          </w:p>
        </w:tc>
        <w:tc>
          <w:tcPr>
            <w:tcW w:w="1084" w:type="dxa"/>
            <w:tcBorders>
              <w:top w:val="nil"/>
              <w:left w:val="nil"/>
              <w:bottom w:val="single" w:sz="8" w:space="0" w:color="auto"/>
              <w:right w:val="nil"/>
            </w:tcBorders>
            <w:shd w:val="clear" w:color="000000" w:fill="FFFFFF"/>
            <w:noWrap/>
            <w:vAlign w:val="bottom"/>
            <w:hideMark/>
          </w:tcPr>
          <w:p w:rsidR="00647C9A" w:rsidRPr="00B361C9" w:rsidRDefault="00A06EB9" w:rsidP="008151E8">
            <w:pPr>
              <w:spacing w:after="0" w:line="240" w:lineRule="auto"/>
              <w:jc w:val="center"/>
              <w:rPr>
                <w:rFonts w:eastAsia="Times New Roman" w:cs="Times New Roman"/>
                <w:b/>
                <w:bCs/>
              </w:rPr>
            </w:pPr>
            <w:r w:rsidRPr="00B361C9">
              <w:rPr>
                <w:rFonts w:cs="Times New Roman"/>
                <w:b/>
                <w:sz w:val="22"/>
              </w:rPr>
              <w:t>240</w:t>
            </w:r>
          </w:p>
        </w:tc>
        <w:tc>
          <w:tcPr>
            <w:tcW w:w="1084" w:type="dxa"/>
            <w:tcBorders>
              <w:top w:val="nil"/>
              <w:left w:val="nil"/>
              <w:bottom w:val="single" w:sz="8" w:space="0" w:color="auto"/>
              <w:right w:val="nil"/>
            </w:tcBorders>
            <w:shd w:val="clear" w:color="000000" w:fill="FFFFFF"/>
            <w:noWrap/>
            <w:vAlign w:val="bottom"/>
            <w:hideMark/>
          </w:tcPr>
          <w:p w:rsidR="00647C9A" w:rsidRPr="00B361C9" w:rsidRDefault="00A06EB9" w:rsidP="008151E8">
            <w:pPr>
              <w:spacing w:after="0" w:line="240" w:lineRule="auto"/>
              <w:jc w:val="center"/>
              <w:rPr>
                <w:rFonts w:eastAsia="Times New Roman" w:cs="Times New Roman"/>
                <w:b/>
                <w:bCs/>
              </w:rPr>
            </w:pPr>
            <w:r w:rsidRPr="00B361C9">
              <w:rPr>
                <w:rFonts w:cs="Times New Roman"/>
                <w:b/>
                <w:sz w:val="22"/>
              </w:rPr>
              <w:t>241</w:t>
            </w:r>
          </w:p>
        </w:tc>
        <w:tc>
          <w:tcPr>
            <w:tcW w:w="924" w:type="dxa"/>
            <w:tcBorders>
              <w:top w:val="nil"/>
              <w:left w:val="nil"/>
              <w:bottom w:val="single" w:sz="8" w:space="0" w:color="auto"/>
              <w:right w:val="nil"/>
            </w:tcBorders>
            <w:shd w:val="clear" w:color="000000" w:fill="FFFFFF"/>
            <w:noWrap/>
            <w:vAlign w:val="bottom"/>
            <w:hideMark/>
          </w:tcPr>
          <w:p w:rsidR="00647C9A" w:rsidRPr="00B361C9" w:rsidRDefault="00A06EB9" w:rsidP="008151E8">
            <w:pPr>
              <w:spacing w:after="0" w:line="240" w:lineRule="auto"/>
              <w:jc w:val="center"/>
              <w:rPr>
                <w:rFonts w:eastAsia="Times New Roman" w:cs="Times New Roman"/>
                <w:b/>
                <w:bCs/>
              </w:rPr>
            </w:pPr>
            <w:r w:rsidRPr="00B361C9">
              <w:rPr>
                <w:rFonts w:cs="Times New Roman"/>
                <w:b/>
                <w:sz w:val="22"/>
              </w:rPr>
              <w:t>242</w:t>
            </w:r>
          </w:p>
        </w:tc>
      </w:tr>
      <w:tr w:rsidR="00647C9A" w:rsidRPr="00B361C9" w:rsidTr="00FA5A0A">
        <w:trPr>
          <w:trHeight w:val="309"/>
          <w:jc w:val="center"/>
        </w:trPr>
        <w:tc>
          <w:tcPr>
            <w:tcW w:w="2460" w:type="dxa"/>
            <w:tcBorders>
              <w:top w:val="nil"/>
              <w:left w:val="nil"/>
              <w:bottom w:val="single" w:sz="4" w:space="0" w:color="auto"/>
              <w:right w:val="nil"/>
            </w:tcBorders>
            <w:shd w:val="clear" w:color="auto" w:fill="auto"/>
            <w:noWrap/>
            <w:vAlign w:val="bottom"/>
            <w:hideMark/>
          </w:tcPr>
          <w:p w:rsidR="00647C9A" w:rsidRPr="00B361C9" w:rsidRDefault="00A06EB9" w:rsidP="008151E8">
            <w:pPr>
              <w:spacing w:after="0" w:line="240" w:lineRule="auto"/>
              <w:rPr>
                <w:rFonts w:eastAsia="Times New Roman" w:cs="Times New Roman"/>
                <w:color w:val="000000"/>
              </w:rPr>
            </w:pPr>
            <w:r w:rsidRPr="00B361C9">
              <w:rPr>
                <w:rFonts w:cs="Times New Roman"/>
                <w:color w:val="000000"/>
                <w:sz w:val="22"/>
              </w:rPr>
              <w:t xml:space="preserve">LANL </w:t>
            </w:r>
            <w:r w:rsidR="00CB37A3" w:rsidRPr="00B361C9">
              <w:rPr>
                <w:rFonts w:cs="Times New Roman"/>
                <w:color w:val="000000"/>
                <w:sz w:val="22"/>
              </w:rPr>
              <w:t>Ave</w:t>
            </w:r>
            <w:r w:rsidR="00CB37A3">
              <w:rPr>
                <w:rFonts w:cs="Times New Roman"/>
                <w:color w:val="000000"/>
                <w:sz w:val="22"/>
              </w:rPr>
              <w:t>rage</w:t>
            </w:r>
          </w:p>
        </w:tc>
        <w:tc>
          <w:tcPr>
            <w:tcW w:w="924" w:type="dxa"/>
            <w:tcBorders>
              <w:top w:val="nil"/>
              <w:left w:val="nil"/>
              <w:bottom w:val="single" w:sz="4" w:space="0" w:color="auto"/>
              <w:right w:val="nil"/>
            </w:tcBorders>
            <w:shd w:val="clear" w:color="auto" w:fill="auto"/>
            <w:noWrap/>
            <w:vAlign w:val="bottom"/>
            <w:hideMark/>
          </w:tcPr>
          <w:p w:rsidR="00647C9A" w:rsidRPr="00B361C9" w:rsidRDefault="00A06EB9" w:rsidP="008151E8">
            <w:pPr>
              <w:spacing w:after="0" w:line="240" w:lineRule="auto"/>
              <w:jc w:val="center"/>
              <w:rPr>
                <w:rFonts w:eastAsia="Times New Roman" w:cs="Times New Roman"/>
                <w:color w:val="000000"/>
              </w:rPr>
            </w:pPr>
            <w:r w:rsidRPr="00B361C9">
              <w:rPr>
                <w:rFonts w:cs="Times New Roman"/>
                <w:color w:val="000000"/>
                <w:sz w:val="22"/>
              </w:rPr>
              <w:t>0.230</w:t>
            </w:r>
          </w:p>
        </w:tc>
        <w:tc>
          <w:tcPr>
            <w:tcW w:w="1084" w:type="dxa"/>
            <w:tcBorders>
              <w:top w:val="nil"/>
              <w:left w:val="nil"/>
              <w:bottom w:val="single" w:sz="4" w:space="0" w:color="auto"/>
              <w:right w:val="nil"/>
            </w:tcBorders>
            <w:shd w:val="clear" w:color="auto" w:fill="auto"/>
            <w:noWrap/>
            <w:vAlign w:val="bottom"/>
            <w:hideMark/>
          </w:tcPr>
          <w:p w:rsidR="00647C9A" w:rsidRPr="00B361C9" w:rsidRDefault="00A06EB9" w:rsidP="008151E8">
            <w:pPr>
              <w:spacing w:after="0" w:line="240" w:lineRule="auto"/>
              <w:jc w:val="center"/>
              <w:rPr>
                <w:rFonts w:eastAsia="Times New Roman" w:cs="Times New Roman"/>
                <w:color w:val="000000"/>
              </w:rPr>
            </w:pPr>
            <w:r w:rsidRPr="00B361C9">
              <w:rPr>
                <w:rFonts w:cs="Times New Roman"/>
                <w:color w:val="000000"/>
                <w:sz w:val="22"/>
              </w:rPr>
              <w:t>78.705</w:t>
            </w:r>
          </w:p>
        </w:tc>
        <w:tc>
          <w:tcPr>
            <w:tcW w:w="1084" w:type="dxa"/>
            <w:tcBorders>
              <w:top w:val="nil"/>
              <w:left w:val="nil"/>
              <w:bottom w:val="single" w:sz="4" w:space="0" w:color="auto"/>
              <w:right w:val="nil"/>
            </w:tcBorders>
            <w:shd w:val="clear" w:color="auto" w:fill="auto"/>
            <w:noWrap/>
            <w:vAlign w:val="bottom"/>
            <w:hideMark/>
          </w:tcPr>
          <w:p w:rsidR="00647C9A" w:rsidRPr="00B361C9" w:rsidRDefault="00A06EB9" w:rsidP="007D4186">
            <w:pPr>
              <w:spacing w:after="0" w:line="240" w:lineRule="auto"/>
              <w:jc w:val="center"/>
              <w:rPr>
                <w:rFonts w:eastAsia="Times New Roman" w:cs="Times New Roman"/>
                <w:color w:val="000000"/>
              </w:rPr>
            </w:pPr>
            <w:r w:rsidRPr="00B361C9">
              <w:rPr>
                <w:rFonts w:cs="Times New Roman"/>
                <w:color w:val="000000"/>
                <w:sz w:val="22"/>
              </w:rPr>
              <w:t>19.</w:t>
            </w:r>
            <w:r w:rsidR="007D4186" w:rsidRPr="00B361C9">
              <w:rPr>
                <w:rFonts w:cs="Times New Roman"/>
                <w:color w:val="000000"/>
                <w:sz w:val="22"/>
              </w:rPr>
              <w:t>03</w:t>
            </w:r>
            <w:r w:rsidR="007D4186">
              <w:rPr>
                <w:rFonts w:cs="Times New Roman"/>
                <w:color w:val="000000"/>
                <w:sz w:val="22"/>
              </w:rPr>
              <w:t>9</w:t>
            </w:r>
          </w:p>
        </w:tc>
        <w:tc>
          <w:tcPr>
            <w:tcW w:w="1084" w:type="dxa"/>
            <w:tcBorders>
              <w:top w:val="nil"/>
              <w:left w:val="nil"/>
              <w:bottom w:val="single" w:sz="4" w:space="0" w:color="auto"/>
              <w:right w:val="nil"/>
            </w:tcBorders>
            <w:shd w:val="clear" w:color="auto" w:fill="auto"/>
            <w:noWrap/>
            <w:vAlign w:val="bottom"/>
            <w:hideMark/>
          </w:tcPr>
          <w:p w:rsidR="00647C9A" w:rsidRPr="00B361C9" w:rsidRDefault="00A06EB9" w:rsidP="00CB37A3">
            <w:pPr>
              <w:spacing w:after="0" w:line="240" w:lineRule="auto"/>
              <w:jc w:val="center"/>
              <w:rPr>
                <w:rFonts w:eastAsia="Times New Roman" w:cs="Times New Roman"/>
                <w:color w:val="000000"/>
              </w:rPr>
            </w:pPr>
            <w:r w:rsidRPr="00B361C9">
              <w:rPr>
                <w:rFonts w:cs="Times New Roman"/>
                <w:color w:val="000000"/>
                <w:sz w:val="22"/>
              </w:rPr>
              <w:t>0.7846</w:t>
            </w:r>
          </w:p>
        </w:tc>
        <w:tc>
          <w:tcPr>
            <w:tcW w:w="924" w:type="dxa"/>
            <w:tcBorders>
              <w:top w:val="nil"/>
              <w:left w:val="nil"/>
              <w:bottom w:val="single" w:sz="4" w:space="0" w:color="auto"/>
              <w:right w:val="nil"/>
            </w:tcBorders>
            <w:shd w:val="clear" w:color="auto" w:fill="auto"/>
            <w:noWrap/>
            <w:vAlign w:val="bottom"/>
            <w:hideMark/>
          </w:tcPr>
          <w:p w:rsidR="00647C9A" w:rsidRPr="00B361C9" w:rsidRDefault="00A06EB9" w:rsidP="00CB37A3">
            <w:pPr>
              <w:spacing w:after="0" w:line="240" w:lineRule="auto"/>
              <w:jc w:val="center"/>
              <w:rPr>
                <w:rFonts w:eastAsia="Times New Roman" w:cs="Times New Roman"/>
                <w:color w:val="000000"/>
              </w:rPr>
            </w:pPr>
            <w:r w:rsidRPr="00B361C9">
              <w:rPr>
                <w:rFonts w:cs="Times New Roman"/>
                <w:color w:val="000000"/>
                <w:sz w:val="22"/>
              </w:rPr>
              <w:t>1.24</w:t>
            </w:r>
            <w:r w:rsidR="007D4186">
              <w:rPr>
                <w:rFonts w:cs="Times New Roman"/>
                <w:color w:val="000000"/>
                <w:sz w:val="22"/>
              </w:rPr>
              <w:t>2</w:t>
            </w:r>
          </w:p>
        </w:tc>
      </w:tr>
      <w:tr w:rsidR="00647C9A" w:rsidRPr="00B361C9" w:rsidTr="00CB37A3">
        <w:trPr>
          <w:trHeight w:val="309"/>
          <w:jc w:val="center"/>
        </w:trPr>
        <w:tc>
          <w:tcPr>
            <w:tcW w:w="2460" w:type="dxa"/>
            <w:tcBorders>
              <w:top w:val="nil"/>
              <w:left w:val="nil"/>
              <w:bottom w:val="nil"/>
              <w:right w:val="nil"/>
            </w:tcBorders>
            <w:shd w:val="clear" w:color="auto" w:fill="auto"/>
            <w:noWrap/>
            <w:vAlign w:val="bottom"/>
            <w:hideMark/>
          </w:tcPr>
          <w:p w:rsidR="00647C9A" w:rsidRPr="00B361C9" w:rsidRDefault="00760700" w:rsidP="007D4186">
            <w:pPr>
              <w:spacing w:after="0" w:line="240" w:lineRule="auto"/>
              <w:rPr>
                <w:rFonts w:eastAsia="Times New Roman" w:cs="Times New Roman"/>
                <w:i/>
                <w:color w:val="000000"/>
              </w:rPr>
            </w:pPr>
            <w:r>
              <w:rPr>
                <w:rFonts w:cs="Times New Roman"/>
                <w:i/>
                <w:color w:val="000000"/>
                <w:sz w:val="22"/>
              </w:rPr>
              <w:t>LANL uncertaint</w:t>
            </w:r>
            <w:r w:rsidR="007D4186">
              <w:rPr>
                <w:rFonts w:cs="Times New Roman"/>
                <w:i/>
                <w:color w:val="000000"/>
                <w:sz w:val="22"/>
              </w:rPr>
              <w:t>ies</w:t>
            </w:r>
          </w:p>
        </w:tc>
        <w:tc>
          <w:tcPr>
            <w:tcW w:w="924" w:type="dxa"/>
            <w:tcBorders>
              <w:top w:val="nil"/>
              <w:left w:val="nil"/>
              <w:bottom w:val="nil"/>
              <w:right w:val="nil"/>
            </w:tcBorders>
            <w:shd w:val="clear" w:color="auto" w:fill="auto"/>
            <w:noWrap/>
            <w:vAlign w:val="bottom"/>
            <w:hideMark/>
          </w:tcPr>
          <w:p w:rsidR="00647C9A" w:rsidRPr="00B361C9" w:rsidRDefault="00A06EB9" w:rsidP="008151E8">
            <w:pPr>
              <w:spacing w:after="0" w:line="240" w:lineRule="auto"/>
              <w:jc w:val="center"/>
              <w:rPr>
                <w:rFonts w:eastAsia="Times New Roman" w:cs="Times New Roman"/>
                <w:i/>
                <w:color w:val="000000"/>
              </w:rPr>
            </w:pPr>
            <w:r w:rsidRPr="00B361C9">
              <w:rPr>
                <w:rFonts w:cs="Times New Roman"/>
                <w:i/>
                <w:color w:val="000000"/>
                <w:sz w:val="22"/>
              </w:rPr>
              <w:t>0.00</w:t>
            </w:r>
            <w:r w:rsidR="00760700">
              <w:rPr>
                <w:rFonts w:cs="Times New Roman"/>
                <w:i/>
                <w:color w:val="000000"/>
                <w:sz w:val="22"/>
              </w:rPr>
              <w:t>1</w:t>
            </w:r>
          </w:p>
        </w:tc>
        <w:tc>
          <w:tcPr>
            <w:tcW w:w="1084" w:type="dxa"/>
            <w:tcBorders>
              <w:top w:val="nil"/>
              <w:left w:val="nil"/>
              <w:bottom w:val="nil"/>
              <w:right w:val="nil"/>
            </w:tcBorders>
            <w:shd w:val="clear" w:color="auto" w:fill="auto"/>
            <w:noWrap/>
            <w:vAlign w:val="bottom"/>
            <w:hideMark/>
          </w:tcPr>
          <w:p w:rsidR="00647C9A" w:rsidRPr="00B361C9" w:rsidRDefault="00A06EB9" w:rsidP="008151E8">
            <w:pPr>
              <w:spacing w:after="0" w:line="240" w:lineRule="auto"/>
              <w:jc w:val="center"/>
              <w:rPr>
                <w:rFonts w:eastAsia="Times New Roman" w:cs="Times New Roman"/>
                <w:i/>
                <w:color w:val="000000"/>
              </w:rPr>
            </w:pPr>
            <w:r w:rsidRPr="00B361C9">
              <w:rPr>
                <w:rFonts w:cs="Times New Roman"/>
                <w:i/>
                <w:color w:val="000000"/>
                <w:sz w:val="22"/>
              </w:rPr>
              <w:t>0.00</w:t>
            </w:r>
            <w:r w:rsidR="00760700">
              <w:rPr>
                <w:rFonts w:cs="Times New Roman"/>
                <w:i/>
                <w:color w:val="000000"/>
                <w:sz w:val="22"/>
              </w:rPr>
              <w:t>8</w:t>
            </w:r>
          </w:p>
        </w:tc>
        <w:tc>
          <w:tcPr>
            <w:tcW w:w="1084" w:type="dxa"/>
            <w:tcBorders>
              <w:top w:val="nil"/>
              <w:left w:val="nil"/>
              <w:bottom w:val="nil"/>
              <w:right w:val="nil"/>
            </w:tcBorders>
            <w:shd w:val="clear" w:color="auto" w:fill="auto"/>
            <w:noWrap/>
            <w:vAlign w:val="bottom"/>
            <w:hideMark/>
          </w:tcPr>
          <w:p w:rsidR="00647C9A" w:rsidRPr="00B361C9" w:rsidRDefault="00A06EB9" w:rsidP="008151E8">
            <w:pPr>
              <w:spacing w:after="0" w:line="240" w:lineRule="auto"/>
              <w:jc w:val="center"/>
              <w:rPr>
                <w:rFonts w:eastAsia="Times New Roman" w:cs="Times New Roman"/>
                <w:i/>
                <w:color w:val="000000"/>
              </w:rPr>
            </w:pPr>
            <w:r w:rsidRPr="00B361C9">
              <w:rPr>
                <w:rFonts w:cs="Times New Roman"/>
                <w:i/>
                <w:color w:val="000000"/>
                <w:sz w:val="22"/>
              </w:rPr>
              <w:t>0.00</w:t>
            </w:r>
            <w:r w:rsidR="00760700">
              <w:rPr>
                <w:rFonts w:cs="Times New Roman"/>
                <w:i/>
                <w:color w:val="000000"/>
                <w:sz w:val="22"/>
              </w:rPr>
              <w:t>8</w:t>
            </w:r>
          </w:p>
        </w:tc>
        <w:tc>
          <w:tcPr>
            <w:tcW w:w="1084" w:type="dxa"/>
            <w:tcBorders>
              <w:top w:val="nil"/>
              <w:left w:val="nil"/>
              <w:bottom w:val="nil"/>
              <w:right w:val="nil"/>
            </w:tcBorders>
            <w:shd w:val="clear" w:color="auto" w:fill="auto"/>
            <w:noWrap/>
            <w:vAlign w:val="bottom"/>
            <w:hideMark/>
          </w:tcPr>
          <w:p w:rsidR="00647C9A" w:rsidRPr="00B361C9" w:rsidRDefault="00A06EB9" w:rsidP="008151E8">
            <w:pPr>
              <w:spacing w:after="0" w:line="240" w:lineRule="auto"/>
              <w:jc w:val="center"/>
              <w:rPr>
                <w:rFonts w:eastAsia="Times New Roman" w:cs="Times New Roman"/>
                <w:i/>
                <w:color w:val="000000"/>
              </w:rPr>
            </w:pPr>
            <w:r w:rsidRPr="00B361C9">
              <w:rPr>
                <w:rFonts w:cs="Times New Roman"/>
                <w:i/>
                <w:color w:val="000000"/>
                <w:sz w:val="22"/>
              </w:rPr>
              <w:t>0.000</w:t>
            </w:r>
            <w:r w:rsidR="00760700">
              <w:rPr>
                <w:rFonts w:cs="Times New Roman"/>
                <w:i/>
                <w:color w:val="000000"/>
                <w:sz w:val="22"/>
              </w:rPr>
              <w:t>8</w:t>
            </w:r>
          </w:p>
        </w:tc>
        <w:tc>
          <w:tcPr>
            <w:tcW w:w="924" w:type="dxa"/>
            <w:tcBorders>
              <w:top w:val="nil"/>
              <w:left w:val="nil"/>
              <w:bottom w:val="nil"/>
              <w:right w:val="nil"/>
            </w:tcBorders>
            <w:shd w:val="clear" w:color="auto" w:fill="auto"/>
            <w:noWrap/>
            <w:vAlign w:val="bottom"/>
            <w:hideMark/>
          </w:tcPr>
          <w:p w:rsidR="00647C9A" w:rsidRPr="00B361C9" w:rsidRDefault="00A06EB9" w:rsidP="008151E8">
            <w:pPr>
              <w:spacing w:after="0" w:line="240" w:lineRule="auto"/>
              <w:jc w:val="center"/>
              <w:rPr>
                <w:rFonts w:eastAsia="Times New Roman" w:cs="Times New Roman"/>
                <w:i/>
                <w:color w:val="000000"/>
              </w:rPr>
            </w:pPr>
            <w:r w:rsidRPr="00B361C9">
              <w:rPr>
                <w:rFonts w:cs="Times New Roman"/>
                <w:i/>
                <w:color w:val="000000"/>
                <w:sz w:val="22"/>
              </w:rPr>
              <w:t>0.00</w:t>
            </w:r>
            <w:r w:rsidR="00760700">
              <w:rPr>
                <w:rFonts w:cs="Times New Roman"/>
                <w:i/>
                <w:color w:val="000000"/>
                <w:sz w:val="22"/>
              </w:rPr>
              <w:t>2</w:t>
            </w:r>
          </w:p>
        </w:tc>
      </w:tr>
      <w:tr w:rsidR="00647C9A" w:rsidRPr="00B361C9" w:rsidTr="00FA5A0A">
        <w:trPr>
          <w:trHeight w:val="309"/>
          <w:jc w:val="center"/>
        </w:trPr>
        <w:tc>
          <w:tcPr>
            <w:tcW w:w="2460" w:type="dxa"/>
            <w:tcBorders>
              <w:top w:val="single" w:sz="4" w:space="0" w:color="auto"/>
              <w:left w:val="nil"/>
              <w:bottom w:val="single" w:sz="4" w:space="0" w:color="auto"/>
              <w:right w:val="nil"/>
            </w:tcBorders>
            <w:shd w:val="clear" w:color="auto" w:fill="auto"/>
            <w:vAlign w:val="bottom"/>
            <w:hideMark/>
          </w:tcPr>
          <w:p w:rsidR="001273A3" w:rsidRPr="00B361C9" w:rsidRDefault="00A06EB9" w:rsidP="008151E8">
            <w:pPr>
              <w:spacing w:after="0" w:line="240" w:lineRule="auto"/>
              <w:rPr>
                <w:rFonts w:eastAsia="Times New Roman" w:cs="Times New Roman"/>
                <w:color w:val="000000"/>
              </w:rPr>
            </w:pPr>
            <w:r w:rsidRPr="00B361C9">
              <w:rPr>
                <w:rFonts w:cs="Times New Roman"/>
                <w:color w:val="000000"/>
                <w:sz w:val="22"/>
              </w:rPr>
              <w:t xml:space="preserve">Certified Value,     </w:t>
            </w:r>
          </w:p>
          <w:p w:rsidR="00647C9A" w:rsidRPr="00B361C9" w:rsidRDefault="00A06EB9" w:rsidP="008151E8">
            <w:pPr>
              <w:spacing w:after="0" w:line="240" w:lineRule="auto"/>
              <w:rPr>
                <w:rFonts w:eastAsia="Times New Roman" w:cs="Times New Roman"/>
                <w:color w:val="000000"/>
              </w:rPr>
            </w:pPr>
            <w:r w:rsidRPr="00B361C9">
              <w:rPr>
                <w:rFonts w:cs="Times New Roman"/>
                <w:color w:val="000000"/>
                <w:sz w:val="22"/>
              </w:rPr>
              <w:t>(decay corrected)</w:t>
            </w:r>
          </w:p>
        </w:tc>
        <w:tc>
          <w:tcPr>
            <w:tcW w:w="924" w:type="dxa"/>
            <w:tcBorders>
              <w:top w:val="single" w:sz="4" w:space="0" w:color="auto"/>
              <w:left w:val="nil"/>
              <w:bottom w:val="single" w:sz="4" w:space="0" w:color="auto"/>
              <w:right w:val="nil"/>
            </w:tcBorders>
            <w:shd w:val="clear" w:color="auto" w:fill="auto"/>
            <w:noWrap/>
            <w:vAlign w:val="bottom"/>
            <w:hideMark/>
          </w:tcPr>
          <w:p w:rsidR="00647C9A" w:rsidRPr="00B361C9" w:rsidRDefault="00A06EB9" w:rsidP="008151E8">
            <w:pPr>
              <w:spacing w:after="0" w:line="240" w:lineRule="auto"/>
              <w:jc w:val="center"/>
              <w:rPr>
                <w:rFonts w:eastAsia="Times New Roman" w:cs="Times New Roman"/>
              </w:rPr>
            </w:pPr>
            <w:r w:rsidRPr="00B361C9">
              <w:rPr>
                <w:rFonts w:cs="Times New Roman"/>
                <w:sz w:val="22"/>
              </w:rPr>
              <w:t>0.228</w:t>
            </w:r>
          </w:p>
        </w:tc>
        <w:tc>
          <w:tcPr>
            <w:tcW w:w="1084" w:type="dxa"/>
            <w:tcBorders>
              <w:top w:val="single" w:sz="4" w:space="0" w:color="auto"/>
              <w:left w:val="nil"/>
              <w:bottom w:val="single" w:sz="4" w:space="0" w:color="auto"/>
              <w:right w:val="nil"/>
            </w:tcBorders>
            <w:shd w:val="clear" w:color="auto" w:fill="auto"/>
            <w:noWrap/>
            <w:vAlign w:val="bottom"/>
            <w:hideMark/>
          </w:tcPr>
          <w:p w:rsidR="00647C9A" w:rsidRPr="00B361C9" w:rsidRDefault="00A06EB9" w:rsidP="008151E8">
            <w:pPr>
              <w:spacing w:after="0" w:line="240" w:lineRule="auto"/>
              <w:jc w:val="center"/>
              <w:rPr>
                <w:rFonts w:eastAsia="Times New Roman" w:cs="Times New Roman"/>
              </w:rPr>
            </w:pPr>
            <w:r w:rsidRPr="00B361C9">
              <w:rPr>
                <w:rFonts w:cs="Times New Roman"/>
                <w:sz w:val="22"/>
              </w:rPr>
              <w:t>78.703</w:t>
            </w:r>
          </w:p>
        </w:tc>
        <w:tc>
          <w:tcPr>
            <w:tcW w:w="1084" w:type="dxa"/>
            <w:tcBorders>
              <w:top w:val="single" w:sz="4" w:space="0" w:color="auto"/>
              <w:left w:val="nil"/>
              <w:bottom w:val="single" w:sz="4" w:space="0" w:color="auto"/>
              <w:right w:val="nil"/>
            </w:tcBorders>
            <w:shd w:val="clear" w:color="auto" w:fill="auto"/>
            <w:noWrap/>
            <w:vAlign w:val="bottom"/>
            <w:hideMark/>
          </w:tcPr>
          <w:p w:rsidR="00647C9A" w:rsidRPr="00B361C9" w:rsidRDefault="00A06EB9" w:rsidP="008151E8">
            <w:pPr>
              <w:spacing w:after="0" w:line="240" w:lineRule="auto"/>
              <w:jc w:val="center"/>
              <w:rPr>
                <w:rFonts w:eastAsia="Times New Roman" w:cs="Times New Roman"/>
              </w:rPr>
            </w:pPr>
            <w:r w:rsidRPr="00B361C9">
              <w:rPr>
                <w:rFonts w:cs="Times New Roman"/>
                <w:sz w:val="22"/>
              </w:rPr>
              <w:t>19.040</w:t>
            </w:r>
          </w:p>
        </w:tc>
        <w:tc>
          <w:tcPr>
            <w:tcW w:w="1084" w:type="dxa"/>
            <w:tcBorders>
              <w:top w:val="single" w:sz="4" w:space="0" w:color="auto"/>
              <w:left w:val="nil"/>
              <w:bottom w:val="single" w:sz="4" w:space="0" w:color="auto"/>
              <w:right w:val="nil"/>
            </w:tcBorders>
            <w:shd w:val="clear" w:color="auto" w:fill="auto"/>
            <w:noWrap/>
            <w:vAlign w:val="bottom"/>
            <w:hideMark/>
          </w:tcPr>
          <w:p w:rsidR="00647C9A" w:rsidRPr="00B361C9" w:rsidRDefault="00A06EB9" w:rsidP="008151E8">
            <w:pPr>
              <w:spacing w:after="0" w:line="240" w:lineRule="auto"/>
              <w:jc w:val="center"/>
              <w:rPr>
                <w:rFonts w:eastAsia="Times New Roman" w:cs="Times New Roman"/>
              </w:rPr>
            </w:pPr>
            <w:r w:rsidRPr="00B361C9">
              <w:rPr>
                <w:rFonts w:cs="Times New Roman"/>
                <w:sz w:val="22"/>
              </w:rPr>
              <w:t>0.786</w:t>
            </w:r>
          </w:p>
        </w:tc>
        <w:tc>
          <w:tcPr>
            <w:tcW w:w="924" w:type="dxa"/>
            <w:tcBorders>
              <w:top w:val="single" w:sz="4" w:space="0" w:color="auto"/>
              <w:left w:val="nil"/>
              <w:bottom w:val="single" w:sz="4" w:space="0" w:color="auto"/>
              <w:right w:val="nil"/>
            </w:tcBorders>
            <w:shd w:val="clear" w:color="auto" w:fill="auto"/>
            <w:noWrap/>
            <w:vAlign w:val="bottom"/>
            <w:hideMark/>
          </w:tcPr>
          <w:p w:rsidR="00647C9A" w:rsidRPr="00B361C9" w:rsidRDefault="00A06EB9" w:rsidP="008151E8">
            <w:pPr>
              <w:spacing w:after="0" w:line="240" w:lineRule="auto"/>
              <w:jc w:val="center"/>
              <w:rPr>
                <w:rFonts w:eastAsia="Times New Roman" w:cs="Times New Roman"/>
              </w:rPr>
            </w:pPr>
            <w:r w:rsidRPr="00B361C9">
              <w:rPr>
                <w:rFonts w:cs="Times New Roman"/>
                <w:sz w:val="22"/>
              </w:rPr>
              <w:t>1.244</w:t>
            </w:r>
          </w:p>
        </w:tc>
      </w:tr>
      <w:tr w:rsidR="00647C9A" w:rsidRPr="00B361C9" w:rsidTr="00CB37A3">
        <w:trPr>
          <w:trHeight w:val="309"/>
          <w:jc w:val="center"/>
        </w:trPr>
        <w:tc>
          <w:tcPr>
            <w:tcW w:w="2460" w:type="dxa"/>
            <w:tcBorders>
              <w:top w:val="nil"/>
              <w:left w:val="nil"/>
              <w:bottom w:val="single" w:sz="4" w:space="0" w:color="auto"/>
              <w:right w:val="nil"/>
            </w:tcBorders>
            <w:shd w:val="clear" w:color="auto" w:fill="auto"/>
            <w:vAlign w:val="bottom"/>
            <w:hideMark/>
          </w:tcPr>
          <w:p w:rsidR="00647C9A" w:rsidRPr="00B361C9" w:rsidRDefault="00A06EB9" w:rsidP="008151E8">
            <w:pPr>
              <w:spacing w:after="0" w:line="240" w:lineRule="auto"/>
              <w:rPr>
                <w:rFonts w:eastAsia="Times New Roman" w:cs="Times New Roman"/>
                <w:i/>
                <w:color w:val="000000"/>
              </w:rPr>
            </w:pPr>
            <w:r w:rsidRPr="00B361C9">
              <w:rPr>
                <w:rFonts w:cs="Times New Roman"/>
                <w:i/>
                <w:color w:val="000000"/>
                <w:sz w:val="22"/>
              </w:rPr>
              <w:t xml:space="preserve">Certificate </w:t>
            </w:r>
            <w:r w:rsidR="00C5440F" w:rsidRPr="00B361C9">
              <w:rPr>
                <w:rFonts w:eastAsia="Times New Roman" w:cs="Times New Roman"/>
                <w:i/>
                <w:color w:val="000000"/>
                <w:sz w:val="22"/>
              </w:rPr>
              <w:t xml:space="preserve">uncertainties, </w:t>
            </w:r>
            <w:r w:rsidR="0092639A" w:rsidRPr="00B361C9">
              <w:rPr>
                <w:rFonts w:eastAsia="Times New Roman" w:cs="Times New Roman"/>
                <w:i/>
                <w:color w:val="000000"/>
                <w:sz w:val="22"/>
              </w:rPr>
              <w:t>95% confidence interval</w:t>
            </w:r>
          </w:p>
        </w:tc>
        <w:tc>
          <w:tcPr>
            <w:tcW w:w="924" w:type="dxa"/>
            <w:tcBorders>
              <w:top w:val="nil"/>
              <w:left w:val="nil"/>
              <w:bottom w:val="single" w:sz="4" w:space="0" w:color="auto"/>
              <w:right w:val="nil"/>
            </w:tcBorders>
            <w:shd w:val="clear" w:color="auto" w:fill="auto"/>
            <w:noWrap/>
            <w:vAlign w:val="bottom"/>
            <w:hideMark/>
          </w:tcPr>
          <w:p w:rsidR="00647C9A" w:rsidRPr="00B361C9" w:rsidRDefault="00A06EB9" w:rsidP="008151E8">
            <w:pPr>
              <w:spacing w:after="0" w:line="240" w:lineRule="auto"/>
              <w:jc w:val="center"/>
              <w:rPr>
                <w:rFonts w:eastAsia="Times New Roman" w:cs="Times New Roman"/>
                <w:i/>
              </w:rPr>
            </w:pPr>
            <w:r w:rsidRPr="00B361C9">
              <w:rPr>
                <w:rFonts w:cs="Times New Roman"/>
                <w:i/>
                <w:sz w:val="22"/>
              </w:rPr>
              <w:t>0.007</w:t>
            </w:r>
          </w:p>
        </w:tc>
        <w:tc>
          <w:tcPr>
            <w:tcW w:w="1084" w:type="dxa"/>
            <w:tcBorders>
              <w:top w:val="nil"/>
              <w:left w:val="nil"/>
              <w:bottom w:val="single" w:sz="4" w:space="0" w:color="auto"/>
              <w:right w:val="nil"/>
            </w:tcBorders>
            <w:shd w:val="clear" w:color="auto" w:fill="auto"/>
            <w:noWrap/>
            <w:vAlign w:val="bottom"/>
            <w:hideMark/>
          </w:tcPr>
          <w:p w:rsidR="00647C9A" w:rsidRPr="00B361C9" w:rsidRDefault="00A06EB9" w:rsidP="008151E8">
            <w:pPr>
              <w:spacing w:after="0" w:line="240" w:lineRule="auto"/>
              <w:jc w:val="center"/>
              <w:rPr>
                <w:rFonts w:eastAsia="Times New Roman" w:cs="Times New Roman"/>
                <w:i/>
              </w:rPr>
            </w:pPr>
            <w:r w:rsidRPr="00B361C9">
              <w:rPr>
                <w:rFonts w:cs="Times New Roman"/>
                <w:i/>
                <w:sz w:val="22"/>
              </w:rPr>
              <w:t>0.015</w:t>
            </w:r>
          </w:p>
        </w:tc>
        <w:tc>
          <w:tcPr>
            <w:tcW w:w="1084" w:type="dxa"/>
            <w:tcBorders>
              <w:top w:val="nil"/>
              <w:left w:val="nil"/>
              <w:bottom w:val="single" w:sz="4" w:space="0" w:color="auto"/>
              <w:right w:val="nil"/>
            </w:tcBorders>
            <w:shd w:val="clear" w:color="auto" w:fill="auto"/>
            <w:noWrap/>
            <w:vAlign w:val="bottom"/>
            <w:hideMark/>
          </w:tcPr>
          <w:p w:rsidR="00647C9A" w:rsidRPr="00B361C9" w:rsidRDefault="00A06EB9" w:rsidP="008151E8">
            <w:pPr>
              <w:spacing w:after="0" w:line="240" w:lineRule="auto"/>
              <w:jc w:val="center"/>
              <w:rPr>
                <w:rFonts w:eastAsia="Times New Roman" w:cs="Times New Roman"/>
                <w:i/>
              </w:rPr>
            </w:pPr>
            <w:r w:rsidRPr="00B361C9">
              <w:rPr>
                <w:rFonts w:cs="Times New Roman"/>
                <w:i/>
                <w:sz w:val="22"/>
              </w:rPr>
              <w:t>0.015</w:t>
            </w:r>
          </w:p>
        </w:tc>
        <w:tc>
          <w:tcPr>
            <w:tcW w:w="1084" w:type="dxa"/>
            <w:tcBorders>
              <w:top w:val="nil"/>
              <w:left w:val="nil"/>
              <w:bottom w:val="single" w:sz="4" w:space="0" w:color="auto"/>
              <w:right w:val="nil"/>
            </w:tcBorders>
            <w:shd w:val="clear" w:color="auto" w:fill="auto"/>
            <w:noWrap/>
            <w:vAlign w:val="bottom"/>
            <w:hideMark/>
          </w:tcPr>
          <w:p w:rsidR="00647C9A" w:rsidRPr="00B361C9" w:rsidRDefault="00A06EB9" w:rsidP="008151E8">
            <w:pPr>
              <w:spacing w:after="0" w:line="240" w:lineRule="auto"/>
              <w:jc w:val="center"/>
              <w:rPr>
                <w:rFonts w:eastAsia="Times New Roman" w:cs="Times New Roman"/>
                <w:i/>
              </w:rPr>
            </w:pPr>
            <w:r w:rsidRPr="00B361C9">
              <w:rPr>
                <w:rFonts w:cs="Times New Roman"/>
                <w:i/>
                <w:sz w:val="22"/>
              </w:rPr>
              <w:t>0.005</w:t>
            </w:r>
          </w:p>
        </w:tc>
        <w:tc>
          <w:tcPr>
            <w:tcW w:w="924" w:type="dxa"/>
            <w:tcBorders>
              <w:top w:val="nil"/>
              <w:left w:val="nil"/>
              <w:bottom w:val="single" w:sz="4" w:space="0" w:color="auto"/>
              <w:right w:val="nil"/>
            </w:tcBorders>
            <w:shd w:val="clear" w:color="auto" w:fill="auto"/>
            <w:noWrap/>
            <w:vAlign w:val="bottom"/>
            <w:hideMark/>
          </w:tcPr>
          <w:p w:rsidR="00647C9A" w:rsidRPr="00B361C9" w:rsidRDefault="00A06EB9" w:rsidP="008151E8">
            <w:pPr>
              <w:spacing w:after="0" w:line="240" w:lineRule="auto"/>
              <w:jc w:val="center"/>
              <w:rPr>
                <w:rFonts w:eastAsia="Times New Roman" w:cs="Times New Roman"/>
                <w:i/>
              </w:rPr>
            </w:pPr>
            <w:r w:rsidRPr="00B361C9">
              <w:rPr>
                <w:rFonts w:cs="Times New Roman"/>
                <w:i/>
                <w:sz w:val="22"/>
              </w:rPr>
              <w:t>0.003</w:t>
            </w:r>
          </w:p>
        </w:tc>
      </w:tr>
      <w:tr w:rsidR="00647C9A" w:rsidRPr="00B361C9" w:rsidTr="00CB37A3">
        <w:trPr>
          <w:trHeight w:val="309"/>
          <w:jc w:val="center"/>
        </w:trPr>
        <w:tc>
          <w:tcPr>
            <w:tcW w:w="2460" w:type="dxa"/>
            <w:tcBorders>
              <w:top w:val="nil"/>
              <w:left w:val="nil"/>
              <w:bottom w:val="single" w:sz="4" w:space="0" w:color="auto"/>
              <w:right w:val="nil"/>
            </w:tcBorders>
            <w:shd w:val="clear" w:color="auto" w:fill="auto"/>
            <w:vAlign w:val="bottom"/>
            <w:hideMark/>
          </w:tcPr>
          <w:p w:rsidR="00647C9A" w:rsidRPr="00B361C9" w:rsidRDefault="00A06EB9" w:rsidP="008151E8">
            <w:pPr>
              <w:spacing w:after="0" w:line="240" w:lineRule="auto"/>
              <w:rPr>
                <w:rFonts w:eastAsia="Times New Roman" w:cs="Times New Roman"/>
                <w:color w:val="000000"/>
              </w:rPr>
            </w:pPr>
            <w:r w:rsidRPr="00B361C9">
              <w:rPr>
                <w:rFonts w:cs="Times New Roman"/>
                <w:color w:val="000000"/>
                <w:sz w:val="22"/>
              </w:rPr>
              <w:t>Absolute Difference</w:t>
            </w:r>
          </w:p>
        </w:tc>
        <w:tc>
          <w:tcPr>
            <w:tcW w:w="924" w:type="dxa"/>
            <w:tcBorders>
              <w:top w:val="nil"/>
              <w:left w:val="nil"/>
              <w:bottom w:val="single" w:sz="4" w:space="0" w:color="auto"/>
              <w:right w:val="nil"/>
            </w:tcBorders>
            <w:shd w:val="clear" w:color="auto" w:fill="auto"/>
            <w:noWrap/>
            <w:vAlign w:val="bottom"/>
            <w:hideMark/>
          </w:tcPr>
          <w:p w:rsidR="00647C9A" w:rsidRPr="00B361C9" w:rsidRDefault="00A06EB9" w:rsidP="008151E8">
            <w:pPr>
              <w:spacing w:after="0" w:line="240" w:lineRule="auto"/>
              <w:jc w:val="center"/>
              <w:rPr>
                <w:rFonts w:eastAsia="Times New Roman" w:cs="Times New Roman"/>
                <w:color w:val="000000"/>
              </w:rPr>
            </w:pPr>
            <w:r w:rsidRPr="00B361C9">
              <w:rPr>
                <w:rFonts w:cs="Times New Roman"/>
                <w:color w:val="000000"/>
                <w:sz w:val="22"/>
              </w:rPr>
              <w:t>0.002</w:t>
            </w:r>
          </w:p>
        </w:tc>
        <w:tc>
          <w:tcPr>
            <w:tcW w:w="1084" w:type="dxa"/>
            <w:tcBorders>
              <w:top w:val="nil"/>
              <w:left w:val="nil"/>
              <w:bottom w:val="single" w:sz="4" w:space="0" w:color="auto"/>
              <w:right w:val="nil"/>
            </w:tcBorders>
            <w:shd w:val="clear" w:color="auto" w:fill="auto"/>
            <w:noWrap/>
            <w:vAlign w:val="bottom"/>
            <w:hideMark/>
          </w:tcPr>
          <w:p w:rsidR="00647C9A" w:rsidRPr="00B361C9" w:rsidRDefault="00A06EB9" w:rsidP="008151E8">
            <w:pPr>
              <w:spacing w:after="0" w:line="240" w:lineRule="auto"/>
              <w:jc w:val="center"/>
              <w:rPr>
                <w:rFonts w:eastAsia="Times New Roman" w:cs="Times New Roman"/>
                <w:color w:val="000000"/>
              </w:rPr>
            </w:pPr>
            <w:r w:rsidRPr="00B361C9">
              <w:rPr>
                <w:rFonts w:cs="Times New Roman"/>
                <w:color w:val="000000"/>
                <w:sz w:val="22"/>
              </w:rPr>
              <w:t>0.002</w:t>
            </w:r>
          </w:p>
        </w:tc>
        <w:tc>
          <w:tcPr>
            <w:tcW w:w="1084" w:type="dxa"/>
            <w:tcBorders>
              <w:top w:val="nil"/>
              <w:left w:val="nil"/>
              <w:bottom w:val="single" w:sz="4" w:space="0" w:color="auto"/>
              <w:right w:val="nil"/>
            </w:tcBorders>
            <w:shd w:val="clear" w:color="auto" w:fill="auto"/>
            <w:noWrap/>
            <w:vAlign w:val="bottom"/>
            <w:hideMark/>
          </w:tcPr>
          <w:p w:rsidR="00647C9A" w:rsidRPr="00B361C9" w:rsidRDefault="00A06EB9" w:rsidP="008151E8">
            <w:pPr>
              <w:spacing w:after="0" w:line="240" w:lineRule="auto"/>
              <w:jc w:val="center"/>
              <w:rPr>
                <w:rFonts w:eastAsia="Times New Roman" w:cs="Times New Roman"/>
                <w:color w:val="000000"/>
              </w:rPr>
            </w:pPr>
            <w:r w:rsidRPr="00B361C9">
              <w:rPr>
                <w:rFonts w:cs="Times New Roman"/>
                <w:color w:val="000000"/>
                <w:sz w:val="22"/>
              </w:rPr>
              <w:t>-0.001</w:t>
            </w:r>
          </w:p>
        </w:tc>
        <w:tc>
          <w:tcPr>
            <w:tcW w:w="1084" w:type="dxa"/>
            <w:tcBorders>
              <w:top w:val="nil"/>
              <w:left w:val="nil"/>
              <w:bottom w:val="single" w:sz="4" w:space="0" w:color="auto"/>
              <w:right w:val="nil"/>
            </w:tcBorders>
            <w:shd w:val="clear" w:color="auto" w:fill="auto"/>
            <w:noWrap/>
            <w:vAlign w:val="bottom"/>
            <w:hideMark/>
          </w:tcPr>
          <w:p w:rsidR="00647C9A" w:rsidRPr="00B361C9" w:rsidRDefault="00A06EB9" w:rsidP="008151E8">
            <w:pPr>
              <w:spacing w:after="0" w:line="240" w:lineRule="auto"/>
              <w:jc w:val="center"/>
              <w:rPr>
                <w:rFonts w:eastAsia="Times New Roman" w:cs="Times New Roman"/>
                <w:color w:val="000000"/>
              </w:rPr>
            </w:pPr>
            <w:r w:rsidRPr="00B361C9">
              <w:rPr>
                <w:rFonts w:cs="Times New Roman"/>
                <w:color w:val="000000"/>
                <w:sz w:val="22"/>
              </w:rPr>
              <w:t>-0.001</w:t>
            </w:r>
          </w:p>
        </w:tc>
        <w:tc>
          <w:tcPr>
            <w:tcW w:w="924" w:type="dxa"/>
            <w:tcBorders>
              <w:top w:val="nil"/>
              <w:left w:val="nil"/>
              <w:bottom w:val="single" w:sz="4" w:space="0" w:color="auto"/>
              <w:right w:val="nil"/>
            </w:tcBorders>
            <w:shd w:val="clear" w:color="auto" w:fill="auto"/>
            <w:noWrap/>
            <w:vAlign w:val="bottom"/>
            <w:hideMark/>
          </w:tcPr>
          <w:p w:rsidR="00647C9A" w:rsidRPr="00B361C9" w:rsidRDefault="00A06EB9" w:rsidP="008151E8">
            <w:pPr>
              <w:spacing w:after="0" w:line="240" w:lineRule="auto"/>
              <w:jc w:val="center"/>
              <w:rPr>
                <w:rFonts w:eastAsia="Times New Roman" w:cs="Times New Roman"/>
                <w:color w:val="000000"/>
              </w:rPr>
            </w:pPr>
            <w:r w:rsidRPr="00B361C9">
              <w:rPr>
                <w:rFonts w:cs="Times New Roman"/>
                <w:color w:val="000000"/>
                <w:sz w:val="22"/>
              </w:rPr>
              <w:t>-0.002</w:t>
            </w:r>
          </w:p>
        </w:tc>
      </w:tr>
    </w:tbl>
    <w:p w:rsidR="002B2A8D" w:rsidRPr="00B361C9" w:rsidRDefault="002B2A8D" w:rsidP="008151E8">
      <w:pPr>
        <w:spacing w:line="240" w:lineRule="auto"/>
        <w:ind w:left="450" w:right="387"/>
        <w:rPr>
          <w:rFonts w:cs="Times New Roman"/>
          <w:sz w:val="22"/>
        </w:rPr>
      </w:pPr>
    </w:p>
    <w:p w:rsidR="003462A7" w:rsidRDefault="00A06EB9" w:rsidP="008151E8">
      <w:pPr>
        <w:spacing w:line="240" w:lineRule="auto"/>
        <w:rPr>
          <w:rFonts w:cs="Times New Roman"/>
          <w:sz w:val="22"/>
        </w:rPr>
      </w:pPr>
      <w:r w:rsidRPr="00B361C9">
        <w:rPr>
          <w:rFonts w:cs="Times New Roman"/>
          <w:sz w:val="22"/>
        </w:rPr>
        <w:t xml:space="preserve">The repackaged material became available </w:t>
      </w:r>
      <w:r w:rsidR="00123461">
        <w:rPr>
          <w:rFonts w:cs="Times New Roman"/>
          <w:sz w:val="22"/>
        </w:rPr>
        <w:t xml:space="preserve">through NBL </w:t>
      </w:r>
      <w:r w:rsidRPr="00B361C9">
        <w:rPr>
          <w:rFonts w:cs="Times New Roman"/>
          <w:sz w:val="22"/>
        </w:rPr>
        <w:t>in mid-2009</w:t>
      </w:r>
      <w:r w:rsidR="00FA5401">
        <w:rPr>
          <w:rFonts w:cs="Times New Roman"/>
          <w:sz w:val="22"/>
        </w:rPr>
        <w:t xml:space="preserve">. </w:t>
      </w:r>
      <w:r w:rsidRPr="00B361C9">
        <w:rPr>
          <w:rFonts w:cs="Times New Roman"/>
          <w:sz w:val="22"/>
        </w:rPr>
        <w:t xml:space="preserve"> Figure </w:t>
      </w:r>
      <w:r w:rsidR="00FE6C3C">
        <w:rPr>
          <w:rFonts w:cs="Times New Roman"/>
          <w:sz w:val="22"/>
        </w:rPr>
        <w:t>2</w:t>
      </w:r>
      <w:r w:rsidR="00FE6C3C" w:rsidRPr="00B361C9">
        <w:rPr>
          <w:rFonts w:cs="Times New Roman"/>
          <w:sz w:val="22"/>
        </w:rPr>
        <w:t xml:space="preserve"> </w:t>
      </w:r>
      <w:r w:rsidRPr="00B361C9">
        <w:rPr>
          <w:rFonts w:cs="Times New Roman"/>
          <w:sz w:val="22"/>
        </w:rPr>
        <w:t>shows the material</w:t>
      </w:r>
      <w:r w:rsidR="00294B8F">
        <w:rPr>
          <w:rFonts w:cs="Times New Roman"/>
          <w:sz w:val="22"/>
        </w:rPr>
        <w:t>s</w:t>
      </w:r>
      <w:r w:rsidRPr="00B361C9">
        <w:rPr>
          <w:rFonts w:cs="Times New Roman"/>
          <w:sz w:val="22"/>
        </w:rPr>
        <w:t xml:space="preserve"> as </w:t>
      </w:r>
      <w:r w:rsidR="007632ED">
        <w:rPr>
          <w:rFonts w:cs="Times New Roman"/>
          <w:sz w:val="22"/>
        </w:rPr>
        <w:t>they</w:t>
      </w:r>
      <w:r w:rsidR="007632ED" w:rsidRPr="00B361C9">
        <w:rPr>
          <w:rFonts w:cs="Times New Roman"/>
          <w:sz w:val="22"/>
        </w:rPr>
        <w:t xml:space="preserve"> </w:t>
      </w:r>
      <w:r w:rsidR="007632ED">
        <w:rPr>
          <w:rFonts w:cs="Times New Roman"/>
          <w:sz w:val="22"/>
        </w:rPr>
        <w:t>are currently</w:t>
      </w:r>
      <w:r w:rsidR="007632ED" w:rsidRPr="00B361C9">
        <w:rPr>
          <w:rFonts w:cs="Times New Roman"/>
          <w:sz w:val="22"/>
        </w:rPr>
        <w:t xml:space="preserve"> </w:t>
      </w:r>
      <w:r w:rsidRPr="00B361C9">
        <w:rPr>
          <w:rFonts w:cs="Times New Roman"/>
          <w:sz w:val="22"/>
        </w:rPr>
        <w:t xml:space="preserve">packaged.  </w:t>
      </w:r>
    </w:p>
    <w:p w:rsidR="0075700E" w:rsidRPr="00B361C9" w:rsidRDefault="00A06EB9" w:rsidP="008151E8">
      <w:pPr>
        <w:spacing w:line="240" w:lineRule="auto"/>
        <w:rPr>
          <w:rFonts w:cs="Times New Roman"/>
          <w:sz w:val="22"/>
        </w:rPr>
      </w:pPr>
      <w:r w:rsidRPr="00B361C9">
        <w:rPr>
          <w:rFonts w:cs="Times New Roman"/>
          <w:b/>
          <w:sz w:val="22"/>
        </w:rPr>
        <w:t xml:space="preserve">Figure </w:t>
      </w:r>
      <w:r w:rsidR="001643DA" w:rsidRPr="00B361C9">
        <w:rPr>
          <w:rFonts w:cs="Times New Roman"/>
          <w:b/>
          <w:sz w:val="22"/>
        </w:rPr>
        <w:t>2</w:t>
      </w:r>
      <w:r w:rsidRPr="00B361C9">
        <w:rPr>
          <w:rFonts w:cs="Times New Roman"/>
          <w:sz w:val="22"/>
        </w:rPr>
        <w:t>:  Newly re</w:t>
      </w:r>
      <w:r w:rsidR="003927BC">
        <w:rPr>
          <w:rFonts w:cs="Times New Roman"/>
          <w:sz w:val="22"/>
        </w:rPr>
        <w:t>-</w:t>
      </w:r>
      <w:r w:rsidRPr="00B361C9">
        <w:rPr>
          <w:rFonts w:cs="Times New Roman"/>
          <w:sz w:val="22"/>
        </w:rPr>
        <w:t xml:space="preserve">packaged standards in </w:t>
      </w:r>
      <w:r w:rsidR="0075700E" w:rsidRPr="00B361C9">
        <w:rPr>
          <w:rFonts w:cs="Times New Roman"/>
          <w:sz w:val="22"/>
        </w:rPr>
        <w:t>A</w:t>
      </w:r>
      <w:r w:rsidRPr="00B361C9">
        <w:rPr>
          <w:rFonts w:cs="Times New Roman"/>
          <w:sz w:val="22"/>
        </w:rPr>
        <w:t xml:space="preserve">) first </w:t>
      </w:r>
      <w:r w:rsidR="00855875">
        <w:rPr>
          <w:rFonts w:cs="Times New Roman"/>
          <w:sz w:val="22"/>
        </w:rPr>
        <w:t xml:space="preserve">tape </w:t>
      </w:r>
      <w:r w:rsidRPr="00B361C9">
        <w:rPr>
          <w:rFonts w:cs="Times New Roman"/>
          <w:sz w:val="22"/>
        </w:rPr>
        <w:t xml:space="preserve">sealed, </w:t>
      </w:r>
      <w:r w:rsidR="0075700E" w:rsidRPr="00B361C9">
        <w:rPr>
          <w:rFonts w:cs="Times New Roman"/>
          <w:sz w:val="22"/>
        </w:rPr>
        <w:t>zip lock</w:t>
      </w:r>
      <w:r w:rsidRPr="00B361C9">
        <w:rPr>
          <w:rFonts w:cs="Times New Roman"/>
          <w:sz w:val="22"/>
        </w:rPr>
        <w:t xml:space="preserve"> bag, </w:t>
      </w:r>
      <w:r w:rsidR="0075700E" w:rsidRPr="00B361C9">
        <w:rPr>
          <w:rFonts w:cs="Times New Roman"/>
          <w:sz w:val="22"/>
        </w:rPr>
        <w:t>B</w:t>
      </w:r>
      <w:r w:rsidRPr="00B361C9">
        <w:rPr>
          <w:rFonts w:cs="Times New Roman"/>
          <w:sz w:val="22"/>
        </w:rPr>
        <w:t>) second, heat</w:t>
      </w:r>
      <w:r w:rsidR="007632ED">
        <w:rPr>
          <w:rFonts w:cs="Times New Roman"/>
          <w:sz w:val="22"/>
        </w:rPr>
        <w:t>-</w:t>
      </w:r>
      <w:r w:rsidRPr="00B361C9">
        <w:rPr>
          <w:rFonts w:cs="Times New Roman"/>
          <w:sz w:val="22"/>
        </w:rPr>
        <w:t xml:space="preserve">sealed, Mylar bag, </w:t>
      </w:r>
      <w:r w:rsidR="003927BC">
        <w:rPr>
          <w:rFonts w:cs="Times New Roman"/>
          <w:sz w:val="22"/>
        </w:rPr>
        <w:t>and</w:t>
      </w:r>
      <w:r w:rsidRPr="00B361C9">
        <w:rPr>
          <w:rFonts w:cs="Times New Roman"/>
          <w:sz w:val="22"/>
        </w:rPr>
        <w:t xml:space="preserve"> </w:t>
      </w:r>
      <w:r w:rsidR="0075700E" w:rsidRPr="00B361C9">
        <w:rPr>
          <w:rFonts w:cs="Times New Roman"/>
          <w:sz w:val="22"/>
        </w:rPr>
        <w:t>C) final container ready for shipping.</w:t>
      </w:r>
    </w:p>
    <w:p w:rsidR="00876F93" w:rsidRPr="00B361C9" w:rsidRDefault="00855875" w:rsidP="008151E8">
      <w:pPr>
        <w:spacing w:line="240" w:lineRule="auto"/>
        <w:ind w:right="27"/>
        <w:jc w:val="center"/>
        <w:rPr>
          <w:rFonts w:cs="Times New Roman"/>
          <w:sz w:val="22"/>
        </w:rPr>
      </w:pPr>
      <w:r w:rsidRPr="006F78CC">
        <w:rPr>
          <w:rFonts w:cs="Times New Roman"/>
          <w:noProof/>
          <w:sz w:val="22"/>
        </w:rPr>
        <mc:AlternateContent>
          <mc:Choice Requires="wps">
            <w:drawing>
              <wp:anchor distT="0" distB="0" distL="114300" distR="114300" simplePos="0" relativeHeight="251667456" behindDoc="0" locked="0" layoutInCell="1" allowOverlap="1" wp14:anchorId="0A6CEAE9" wp14:editId="0F7CAC90">
                <wp:simplePos x="0" y="0"/>
                <wp:positionH relativeFrom="column">
                  <wp:posOffset>3438027</wp:posOffset>
                </wp:positionH>
                <wp:positionV relativeFrom="paragraph">
                  <wp:posOffset>1377315</wp:posOffset>
                </wp:positionV>
                <wp:extent cx="281305" cy="256540"/>
                <wp:effectExtent l="0" t="0" r="444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256540"/>
                        </a:xfrm>
                        <a:prstGeom prst="rect">
                          <a:avLst/>
                        </a:prstGeom>
                        <a:solidFill>
                          <a:srgbClr val="FFFFFF"/>
                        </a:solidFill>
                        <a:ln w="9525">
                          <a:noFill/>
                          <a:miter lim="800000"/>
                          <a:headEnd/>
                          <a:tailEnd/>
                        </a:ln>
                      </wps:spPr>
                      <wps:txbx>
                        <w:txbxContent>
                          <w:p w:rsidR="00131A45" w:rsidRPr="006F78CC" w:rsidRDefault="00131A45" w:rsidP="006F78CC">
                            <w:pPr>
                              <w:jc w:val="center"/>
                              <w:rPr>
                                <w:sz w:val="22"/>
                              </w:rPr>
                            </w:pPr>
                            <w:r>
                              <w:rPr>
                                <w:sz w:val="22"/>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0.7pt;margin-top:108.45pt;width:22.15pt;height:2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" stroked="f">
                <v:textbox>
                  <w:txbxContent>
                    <w:p w:rsidR="00131A45" w:rsidRPr="006F78CC" w:rsidRDefault="00131A45" w:rsidP="006F78CC">
                      <w:pPr>
                        <w:jc w:val="center"/>
                        <w:rPr>
                          <w:sz w:val="22"/>
                        </w:rPr>
                      </w:pPr>
                      <w:r>
                        <w:rPr>
                          <w:sz w:val="22"/>
                        </w:rPr>
                        <w:t>C</w:t>
                      </w:r>
                    </w:p>
                  </w:txbxContent>
                </v:textbox>
              </v:shape>
            </w:pict>
          </mc:Fallback>
        </mc:AlternateContent>
      </w:r>
      <w:r w:rsidRPr="006F78CC">
        <w:rPr>
          <w:rFonts w:cs="Times New Roman"/>
          <w:noProof/>
          <w:sz w:val="22"/>
        </w:rPr>
        <mc:AlternateContent>
          <mc:Choice Requires="wps">
            <w:drawing>
              <wp:anchor distT="0" distB="0" distL="114300" distR="114300" simplePos="0" relativeHeight="251665408" behindDoc="0" locked="0" layoutInCell="1" allowOverlap="1" wp14:anchorId="3CF4C177" wp14:editId="14AED211">
                <wp:simplePos x="0" y="0"/>
                <wp:positionH relativeFrom="column">
                  <wp:posOffset>1931241</wp:posOffset>
                </wp:positionH>
                <wp:positionV relativeFrom="paragraph">
                  <wp:posOffset>1379512</wp:posOffset>
                </wp:positionV>
                <wp:extent cx="281305" cy="256540"/>
                <wp:effectExtent l="0" t="0" r="444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256540"/>
                        </a:xfrm>
                        <a:prstGeom prst="rect">
                          <a:avLst/>
                        </a:prstGeom>
                        <a:solidFill>
                          <a:srgbClr val="FFFFFF"/>
                        </a:solidFill>
                        <a:ln w="9525">
                          <a:noFill/>
                          <a:miter lim="800000"/>
                          <a:headEnd/>
                          <a:tailEnd/>
                        </a:ln>
                      </wps:spPr>
                      <wps:txbx>
                        <w:txbxContent>
                          <w:p w:rsidR="00131A45" w:rsidRPr="006F78CC" w:rsidRDefault="00131A45" w:rsidP="006F78CC">
                            <w:pPr>
                              <w:jc w:val="center"/>
                              <w:rPr>
                                <w:sz w:val="22"/>
                              </w:rPr>
                            </w:pPr>
                            <w:r>
                              <w:rPr>
                                <w:sz w:val="22"/>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2.05pt;margin-top:108.6pt;width:22.15pt;height:2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" stroked="f">
                <v:textbox>
                  <w:txbxContent>
                    <w:p w:rsidR="00131A45" w:rsidRPr="006F78CC" w:rsidRDefault="00131A45" w:rsidP="006F78CC">
                      <w:pPr>
                        <w:jc w:val="center"/>
                        <w:rPr>
                          <w:sz w:val="22"/>
                        </w:rPr>
                      </w:pPr>
                      <w:r>
                        <w:rPr>
                          <w:sz w:val="22"/>
                        </w:rPr>
                        <w:t>B</w:t>
                      </w:r>
                    </w:p>
                  </w:txbxContent>
                </v:textbox>
              </v:shape>
            </w:pict>
          </mc:Fallback>
        </mc:AlternateContent>
      </w:r>
      <w:r w:rsidRPr="006F78CC">
        <w:rPr>
          <w:rFonts w:cs="Times New Roman"/>
          <w:noProof/>
          <w:sz w:val="22"/>
        </w:rPr>
        <mc:AlternateContent>
          <mc:Choice Requires="wps">
            <w:drawing>
              <wp:anchor distT="0" distB="0" distL="114300" distR="114300" simplePos="0" relativeHeight="251663360" behindDoc="0" locked="0" layoutInCell="1" allowOverlap="1" wp14:anchorId="11BD95DE" wp14:editId="312B2843">
                <wp:simplePos x="0" y="0"/>
                <wp:positionH relativeFrom="column">
                  <wp:posOffset>48895</wp:posOffset>
                </wp:positionH>
                <wp:positionV relativeFrom="paragraph">
                  <wp:posOffset>1380147</wp:posOffset>
                </wp:positionV>
                <wp:extent cx="281305" cy="256540"/>
                <wp:effectExtent l="0" t="0" r="444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256540"/>
                        </a:xfrm>
                        <a:prstGeom prst="rect">
                          <a:avLst/>
                        </a:prstGeom>
                        <a:solidFill>
                          <a:srgbClr val="FFFFFF"/>
                        </a:solidFill>
                        <a:ln w="9525">
                          <a:noFill/>
                          <a:miter lim="800000"/>
                          <a:headEnd/>
                          <a:tailEnd/>
                        </a:ln>
                      </wps:spPr>
                      <wps:txbx>
                        <w:txbxContent>
                          <w:p w:rsidR="00131A45" w:rsidRPr="006F78CC" w:rsidRDefault="00131A45" w:rsidP="006F78CC">
                            <w:pPr>
                              <w:jc w:val="center"/>
                              <w:rPr>
                                <w:sz w:val="22"/>
                              </w:rPr>
                            </w:pPr>
                            <w:r w:rsidRPr="006F78CC">
                              <w:rPr>
                                <w:sz w:val="22"/>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85pt;margin-top:108.65pt;width:22.15pt;height:2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" stroked="f">
                <v:textbox>
                  <w:txbxContent>
                    <w:p w:rsidR="00131A45" w:rsidRPr="006F78CC" w:rsidRDefault="00131A45" w:rsidP="006F78CC">
                      <w:pPr>
                        <w:jc w:val="center"/>
                        <w:rPr>
                          <w:sz w:val="22"/>
                        </w:rPr>
                      </w:pPr>
                      <w:r w:rsidRPr="006F78CC">
                        <w:rPr>
                          <w:sz w:val="22"/>
                        </w:rPr>
                        <w:t>A</w:t>
                      </w:r>
                    </w:p>
                  </w:txbxContent>
                </v:textbox>
              </v:shape>
            </w:pict>
          </mc:Fallback>
        </mc:AlternateContent>
      </w:r>
      <w:r w:rsidRPr="006F78CC">
        <w:rPr>
          <w:rFonts w:cs="Times New Roman"/>
          <w:noProof/>
          <w:sz w:val="22"/>
        </w:rPr>
        <w:drawing>
          <wp:inline distT="0" distB="0" distL="0" distR="0" wp14:anchorId="5FB4582C" wp14:editId="24A774EA">
            <wp:extent cx="5619853" cy="163668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853" cy="1636685"/>
                    </a:xfrm>
                    <a:prstGeom prst="rect">
                      <a:avLst/>
                    </a:prstGeom>
                    <a:noFill/>
                  </pic:spPr>
                </pic:pic>
              </a:graphicData>
            </a:graphic>
          </wp:inline>
        </w:drawing>
      </w:r>
    </w:p>
    <w:p w:rsidR="008C0F92" w:rsidRPr="008C0F92" w:rsidRDefault="008C0F92" w:rsidP="008151E8">
      <w:pPr>
        <w:spacing w:line="240" w:lineRule="auto"/>
        <w:rPr>
          <w:rFonts w:cs="Times New Roman"/>
          <w:i/>
          <w:sz w:val="22"/>
        </w:rPr>
      </w:pPr>
      <w:r w:rsidRPr="008C0F92">
        <w:rPr>
          <w:rFonts w:cs="Times New Roman"/>
          <w:i/>
          <w:sz w:val="22"/>
        </w:rPr>
        <w:t>2.2</w:t>
      </w:r>
      <w:r>
        <w:rPr>
          <w:rFonts w:cs="Times New Roman"/>
          <w:i/>
          <w:sz w:val="22"/>
        </w:rPr>
        <w:tab/>
      </w:r>
      <w:r w:rsidRPr="008C0F92">
        <w:rPr>
          <w:rFonts w:cs="Times New Roman"/>
          <w:i/>
          <w:sz w:val="22"/>
        </w:rPr>
        <w:t>Recertification</w:t>
      </w:r>
    </w:p>
    <w:p w:rsidR="00DE7EB9" w:rsidRDefault="00A06EB9" w:rsidP="008151E8">
      <w:pPr>
        <w:spacing w:line="240" w:lineRule="auto"/>
        <w:rPr>
          <w:rFonts w:cs="Times New Roman"/>
          <w:sz w:val="22"/>
        </w:rPr>
      </w:pPr>
      <w:r w:rsidRPr="00B361C9">
        <w:rPr>
          <w:rFonts w:cs="Times New Roman"/>
          <w:sz w:val="22"/>
        </w:rPr>
        <w:t xml:space="preserve">Another more </w:t>
      </w:r>
      <w:r w:rsidR="00B00EDF">
        <w:rPr>
          <w:rFonts w:cs="Times New Roman"/>
          <w:sz w:val="22"/>
        </w:rPr>
        <w:t xml:space="preserve">involved </w:t>
      </w:r>
      <w:r w:rsidRPr="00B361C9">
        <w:rPr>
          <w:rFonts w:cs="Times New Roman"/>
          <w:sz w:val="22"/>
        </w:rPr>
        <w:t xml:space="preserve"> approach is to recertify existing stocks of </w:t>
      </w:r>
      <w:r w:rsidR="001214EC" w:rsidRPr="00B361C9">
        <w:rPr>
          <w:rFonts w:cs="Times New Roman"/>
          <w:sz w:val="22"/>
        </w:rPr>
        <w:t>CRM</w:t>
      </w:r>
      <w:r w:rsidR="004E72BD" w:rsidRPr="00B361C9">
        <w:rPr>
          <w:rFonts w:cs="Times New Roman"/>
          <w:sz w:val="22"/>
        </w:rPr>
        <w:t>s</w:t>
      </w:r>
      <w:r w:rsidRPr="00B361C9">
        <w:rPr>
          <w:rFonts w:cs="Times New Roman"/>
          <w:sz w:val="22"/>
        </w:rPr>
        <w:t xml:space="preserve"> with more modern </w:t>
      </w:r>
      <w:r w:rsidR="004E72BD" w:rsidRPr="00B361C9">
        <w:rPr>
          <w:rFonts w:cs="Times New Roman"/>
          <w:sz w:val="22"/>
        </w:rPr>
        <w:t xml:space="preserve">analytical </w:t>
      </w:r>
      <w:r w:rsidRPr="00B361C9">
        <w:rPr>
          <w:rFonts w:cs="Times New Roman"/>
          <w:sz w:val="22"/>
        </w:rPr>
        <w:t xml:space="preserve">methods and technologies </w:t>
      </w:r>
      <w:r w:rsidR="00F7698C" w:rsidRPr="00B361C9">
        <w:rPr>
          <w:rFonts w:cs="Times New Roman"/>
          <w:sz w:val="22"/>
        </w:rPr>
        <w:t xml:space="preserve">while </w:t>
      </w:r>
      <w:r w:rsidR="004E72BD" w:rsidRPr="00B361C9">
        <w:rPr>
          <w:rFonts w:cs="Times New Roman"/>
          <w:sz w:val="22"/>
        </w:rPr>
        <w:t>applying</w:t>
      </w:r>
      <w:r w:rsidR="0054251D" w:rsidRPr="00B361C9">
        <w:rPr>
          <w:rFonts w:cs="Times New Roman"/>
          <w:sz w:val="22"/>
        </w:rPr>
        <w:t xml:space="preserve"> principles from the</w:t>
      </w:r>
      <w:r w:rsidR="004E72BD" w:rsidRPr="00B361C9">
        <w:rPr>
          <w:rFonts w:cs="Times New Roman"/>
          <w:sz w:val="22"/>
        </w:rPr>
        <w:t xml:space="preserve"> </w:t>
      </w:r>
      <w:r w:rsidR="0054251D" w:rsidRPr="00B361C9">
        <w:rPr>
          <w:rFonts w:cs="Times New Roman"/>
          <w:sz w:val="22"/>
        </w:rPr>
        <w:t>Guide to the Expression of Uncertainty in Measurement (GUM), also known as ISO/IEC Guide 98-3</w:t>
      </w:r>
      <w:r w:rsidR="008C0F92">
        <w:rPr>
          <w:rFonts w:cs="Times New Roman"/>
          <w:sz w:val="22"/>
        </w:rPr>
        <w:t>.</w:t>
      </w:r>
      <w:r w:rsidRPr="00B361C9">
        <w:rPr>
          <w:rFonts w:cs="Times New Roman"/>
          <w:sz w:val="22"/>
        </w:rPr>
        <w:t xml:space="preserve">  In </w:t>
      </w:r>
      <w:r w:rsidR="008303BA" w:rsidRPr="00B361C9">
        <w:rPr>
          <w:rFonts w:cs="Times New Roman"/>
          <w:sz w:val="22"/>
        </w:rPr>
        <w:t>2011,</w:t>
      </w:r>
      <w:r w:rsidRPr="00B361C9">
        <w:rPr>
          <w:rFonts w:cs="Times New Roman"/>
          <w:sz w:val="22"/>
        </w:rPr>
        <w:t xml:space="preserve"> LANL worked with NBL </w:t>
      </w:r>
      <w:r w:rsidR="00FA5401">
        <w:rPr>
          <w:rFonts w:cs="Times New Roman"/>
          <w:sz w:val="22"/>
        </w:rPr>
        <w:t>to</w:t>
      </w:r>
      <w:r w:rsidR="00FA5401" w:rsidRPr="00B361C9">
        <w:rPr>
          <w:rFonts w:cs="Times New Roman"/>
          <w:sz w:val="22"/>
        </w:rPr>
        <w:t xml:space="preserve"> </w:t>
      </w:r>
      <w:r w:rsidRPr="00B361C9">
        <w:rPr>
          <w:rFonts w:cs="Times New Roman"/>
          <w:sz w:val="22"/>
        </w:rPr>
        <w:t xml:space="preserve">analyze CRM 125a for </w:t>
      </w:r>
      <w:r w:rsidR="00635742">
        <w:rPr>
          <w:rFonts w:cs="Times New Roman"/>
          <w:sz w:val="22"/>
        </w:rPr>
        <w:t xml:space="preserve">U </w:t>
      </w:r>
      <w:r w:rsidRPr="00B361C9">
        <w:rPr>
          <w:rFonts w:cs="Times New Roman"/>
          <w:sz w:val="22"/>
        </w:rPr>
        <w:t xml:space="preserve">assay values using a modified Davies-Gray analysis.  The original U125a assay values are from the 1997 certificate </w:t>
      </w:r>
      <w:r w:rsidR="00B00EDF">
        <w:rPr>
          <w:rFonts w:cs="Times New Roman"/>
          <w:sz w:val="22"/>
        </w:rPr>
        <w:t xml:space="preserve">determined </w:t>
      </w:r>
      <w:r w:rsidRPr="00B361C9">
        <w:rPr>
          <w:rFonts w:cs="Times New Roman"/>
          <w:sz w:val="22"/>
        </w:rPr>
        <w:t xml:space="preserve">using </w:t>
      </w:r>
      <w:r w:rsidR="00B00EDF">
        <w:rPr>
          <w:rFonts w:cs="Times New Roman"/>
          <w:sz w:val="22"/>
        </w:rPr>
        <w:t xml:space="preserve">the </w:t>
      </w:r>
      <w:r w:rsidRPr="00B361C9">
        <w:rPr>
          <w:rFonts w:cs="Times New Roman"/>
          <w:sz w:val="22"/>
        </w:rPr>
        <w:t xml:space="preserve">high </w:t>
      </w:r>
      <w:r w:rsidR="00197EB0">
        <w:rPr>
          <w:rFonts w:cs="Times New Roman"/>
          <w:sz w:val="22"/>
        </w:rPr>
        <w:t xml:space="preserve">accuracy and </w:t>
      </w:r>
      <w:r w:rsidRPr="00B361C9">
        <w:rPr>
          <w:rFonts w:cs="Times New Roman"/>
          <w:sz w:val="22"/>
        </w:rPr>
        <w:t xml:space="preserve">precision </w:t>
      </w:r>
      <w:r w:rsidR="00B00EDF">
        <w:rPr>
          <w:rFonts w:cs="Times New Roman"/>
          <w:sz w:val="22"/>
        </w:rPr>
        <w:t xml:space="preserve">NBL </w:t>
      </w:r>
      <w:r w:rsidRPr="00B361C9">
        <w:rPr>
          <w:rFonts w:cs="Times New Roman"/>
          <w:sz w:val="22"/>
        </w:rPr>
        <w:t xml:space="preserve">titration method </w:t>
      </w:r>
      <w:r w:rsidR="00B00EDF">
        <w:rPr>
          <w:rFonts w:cs="Times New Roman"/>
          <w:sz w:val="22"/>
        </w:rPr>
        <w:t xml:space="preserve">that was </w:t>
      </w:r>
      <w:r w:rsidRPr="00B361C9">
        <w:rPr>
          <w:rFonts w:cs="Times New Roman"/>
          <w:sz w:val="22"/>
        </w:rPr>
        <w:t>traceable to NBL’s CRM 99 Potassium dichromate standard</w:t>
      </w:r>
      <w:r w:rsidR="00B00EDF">
        <w:rPr>
          <w:rFonts w:cs="Times New Roman"/>
          <w:sz w:val="22"/>
        </w:rPr>
        <w:t xml:space="preserve">.The </w:t>
      </w:r>
      <w:r w:rsidRPr="00B361C9">
        <w:rPr>
          <w:rFonts w:cs="Times New Roman"/>
          <w:sz w:val="22"/>
        </w:rPr>
        <w:t>LANL</w:t>
      </w:r>
      <w:r w:rsidR="008C0F92">
        <w:rPr>
          <w:rFonts w:cs="Times New Roman"/>
          <w:sz w:val="22"/>
        </w:rPr>
        <w:t xml:space="preserve"> modified Davies-Gray </w:t>
      </w:r>
      <w:r w:rsidRPr="00B361C9">
        <w:rPr>
          <w:rFonts w:cs="Times New Roman"/>
          <w:sz w:val="22"/>
        </w:rPr>
        <w:t xml:space="preserve">method </w:t>
      </w:r>
      <w:r w:rsidR="00B00EDF">
        <w:rPr>
          <w:rFonts w:cs="Times New Roman"/>
          <w:sz w:val="22"/>
        </w:rPr>
        <w:t>wa</w:t>
      </w:r>
      <w:r w:rsidRPr="00B361C9">
        <w:rPr>
          <w:rFonts w:cs="Times New Roman"/>
          <w:sz w:val="22"/>
        </w:rPr>
        <w:t>s traceable to NBL CRM 112a U metal standard.  LANL assay values</w:t>
      </w:r>
      <w:r w:rsidR="008B0DCD" w:rsidRPr="00B361C9">
        <w:rPr>
          <w:rFonts w:cs="Times New Roman"/>
          <w:sz w:val="22"/>
        </w:rPr>
        <w:t xml:space="preserve"> (Table 2)</w:t>
      </w:r>
      <w:r w:rsidRPr="00B361C9">
        <w:rPr>
          <w:rFonts w:cs="Times New Roman"/>
          <w:sz w:val="22"/>
        </w:rPr>
        <w:t xml:space="preserve"> </w:t>
      </w:r>
      <w:r w:rsidR="004E72BD" w:rsidRPr="00B361C9">
        <w:rPr>
          <w:rFonts w:cs="Times New Roman"/>
          <w:sz w:val="22"/>
        </w:rPr>
        <w:t>show</w:t>
      </w:r>
      <w:r w:rsidR="008B0DCD" w:rsidRPr="00B361C9">
        <w:rPr>
          <w:rFonts w:cs="Times New Roman"/>
          <w:sz w:val="22"/>
        </w:rPr>
        <w:t>ed</w:t>
      </w:r>
      <w:r w:rsidR="004E72BD" w:rsidRPr="00B361C9">
        <w:rPr>
          <w:rFonts w:cs="Times New Roman"/>
          <w:sz w:val="22"/>
        </w:rPr>
        <w:t xml:space="preserve"> </w:t>
      </w:r>
      <w:r w:rsidR="00F7698C" w:rsidRPr="00B361C9">
        <w:rPr>
          <w:rFonts w:cs="Times New Roman"/>
          <w:sz w:val="22"/>
        </w:rPr>
        <w:t>no statistical</w:t>
      </w:r>
      <w:r w:rsidR="00197EB0">
        <w:rPr>
          <w:rFonts w:cs="Times New Roman"/>
          <w:sz w:val="22"/>
        </w:rPr>
        <w:t>ly significant</w:t>
      </w:r>
      <w:r w:rsidRPr="00B361C9">
        <w:rPr>
          <w:rFonts w:cs="Times New Roman"/>
          <w:sz w:val="22"/>
        </w:rPr>
        <w:t xml:space="preserve"> </w:t>
      </w:r>
      <w:r w:rsidR="00D833AD" w:rsidRPr="00B361C9">
        <w:rPr>
          <w:rFonts w:cs="Times New Roman"/>
          <w:sz w:val="22"/>
        </w:rPr>
        <w:t>differen</w:t>
      </w:r>
      <w:r w:rsidR="004E72BD" w:rsidRPr="00B361C9">
        <w:rPr>
          <w:rFonts w:cs="Times New Roman"/>
          <w:sz w:val="22"/>
        </w:rPr>
        <w:t>ce</w:t>
      </w:r>
      <w:r w:rsidR="00D833AD" w:rsidRPr="00B361C9">
        <w:rPr>
          <w:rFonts w:cs="Times New Roman"/>
          <w:sz w:val="22"/>
        </w:rPr>
        <w:t xml:space="preserve"> </w:t>
      </w:r>
      <w:r w:rsidR="004E72BD" w:rsidRPr="00B361C9">
        <w:rPr>
          <w:rFonts w:cs="Times New Roman"/>
          <w:sz w:val="22"/>
        </w:rPr>
        <w:t>from</w:t>
      </w:r>
      <w:r w:rsidRPr="00B361C9">
        <w:rPr>
          <w:rFonts w:cs="Times New Roman"/>
          <w:sz w:val="22"/>
        </w:rPr>
        <w:t xml:space="preserve"> the </w:t>
      </w:r>
      <w:r w:rsidR="004E72BD" w:rsidRPr="00B361C9">
        <w:rPr>
          <w:rFonts w:cs="Times New Roman"/>
          <w:sz w:val="22"/>
        </w:rPr>
        <w:t xml:space="preserve">original </w:t>
      </w:r>
      <w:r w:rsidRPr="00B361C9">
        <w:rPr>
          <w:rFonts w:cs="Times New Roman"/>
          <w:sz w:val="22"/>
        </w:rPr>
        <w:t xml:space="preserve">certified value </w:t>
      </w:r>
      <w:r w:rsidR="004E72BD" w:rsidRPr="00B361C9">
        <w:rPr>
          <w:rFonts w:cs="Times New Roman"/>
          <w:sz w:val="22"/>
        </w:rPr>
        <w:t>within the</w:t>
      </w:r>
      <w:r w:rsidR="00F7698C" w:rsidRPr="00B361C9">
        <w:rPr>
          <w:rFonts w:cs="Times New Roman"/>
          <w:sz w:val="22"/>
        </w:rPr>
        <w:t xml:space="preserve"> uncertainty of the measurement</w:t>
      </w:r>
      <w:r w:rsidR="008C0F92">
        <w:rPr>
          <w:rFonts w:cs="Times New Roman"/>
          <w:sz w:val="22"/>
        </w:rPr>
        <w:t>s</w:t>
      </w:r>
      <w:r w:rsidR="00742D35">
        <w:rPr>
          <w:rFonts w:cs="Times New Roman"/>
          <w:sz w:val="22"/>
        </w:rPr>
        <w:t>,</w:t>
      </w:r>
      <w:r w:rsidR="004E72BD" w:rsidRPr="00B361C9">
        <w:rPr>
          <w:rFonts w:cs="Times New Roman"/>
          <w:sz w:val="22"/>
        </w:rPr>
        <w:t xml:space="preserve"> </w:t>
      </w:r>
      <w:r w:rsidRPr="00B361C9">
        <w:rPr>
          <w:rFonts w:cs="Times New Roman"/>
          <w:sz w:val="22"/>
        </w:rPr>
        <w:t xml:space="preserve">and supported </w:t>
      </w:r>
      <w:r w:rsidR="00B00EDF">
        <w:rPr>
          <w:rFonts w:cs="Times New Roman"/>
          <w:sz w:val="22"/>
        </w:rPr>
        <w:t xml:space="preserve">an </w:t>
      </w:r>
      <w:r w:rsidRPr="00B361C9">
        <w:rPr>
          <w:rFonts w:cs="Times New Roman"/>
          <w:sz w:val="22"/>
        </w:rPr>
        <w:t>NBL decision</w:t>
      </w:r>
      <w:r w:rsidR="0054251D" w:rsidRPr="00B361C9">
        <w:rPr>
          <w:rFonts w:cs="Times New Roman"/>
          <w:sz w:val="22"/>
        </w:rPr>
        <w:t xml:space="preserve"> </w:t>
      </w:r>
      <w:r w:rsidRPr="00B361C9">
        <w:rPr>
          <w:rFonts w:cs="Times New Roman"/>
          <w:sz w:val="22"/>
        </w:rPr>
        <w:t>to continue using the original certified assay values</w:t>
      </w:r>
      <w:r w:rsidR="008C0F92">
        <w:rPr>
          <w:rFonts w:cs="Times New Roman"/>
          <w:sz w:val="22"/>
        </w:rPr>
        <w:t xml:space="preserve"> produced by the high accuracy and precision titration method</w:t>
      </w:r>
      <w:r w:rsidRPr="00B361C9">
        <w:rPr>
          <w:rFonts w:cs="Times New Roman"/>
          <w:sz w:val="22"/>
        </w:rPr>
        <w:t xml:space="preserve">.  </w:t>
      </w:r>
    </w:p>
    <w:p w:rsidR="00DE7EB9" w:rsidRDefault="00DE7EB9">
      <w:pPr>
        <w:rPr>
          <w:rFonts w:cs="Times New Roman"/>
          <w:sz w:val="22"/>
        </w:rPr>
      </w:pPr>
      <w:r>
        <w:rPr>
          <w:rFonts w:cs="Times New Roman"/>
          <w:sz w:val="22"/>
        </w:rPr>
        <w:br w:type="page"/>
      </w:r>
    </w:p>
    <w:p w:rsidR="002B2A8D" w:rsidRPr="00B361C9" w:rsidRDefault="00A06EB9" w:rsidP="008151E8">
      <w:pPr>
        <w:spacing w:line="240" w:lineRule="auto"/>
        <w:ind w:right="27"/>
        <w:rPr>
          <w:rFonts w:cs="Times New Roman"/>
          <w:sz w:val="22"/>
        </w:rPr>
      </w:pPr>
      <w:r w:rsidRPr="00B361C9">
        <w:rPr>
          <w:rFonts w:cs="Times New Roman"/>
          <w:b/>
          <w:sz w:val="22"/>
        </w:rPr>
        <w:lastRenderedPageBreak/>
        <w:t xml:space="preserve">Table </w:t>
      </w:r>
      <w:r w:rsidR="008B0DCD" w:rsidRPr="00B361C9">
        <w:rPr>
          <w:rFonts w:cs="Times New Roman"/>
          <w:b/>
          <w:sz w:val="22"/>
        </w:rPr>
        <w:t>2</w:t>
      </w:r>
      <w:r w:rsidRPr="00B361C9">
        <w:rPr>
          <w:rFonts w:cs="Times New Roman"/>
          <w:sz w:val="22"/>
        </w:rPr>
        <w:t>:  Example of verification data provided to NBL for CRM 125a</w:t>
      </w:r>
      <w:r w:rsidR="00F7698C" w:rsidRPr="00B361C9">
        <w:rPr>
          <w:rFonts w:cs="Times New Roman"/>
          <w:sz w:val="22"/>
        </w:rPr>
        <w:t>.</w:t>
      </w:r>
      <w:r w:rsidR="00601073" w:rsidRPr="00B361C9">
        <w:rPr>
          <w:rFonts w:cs="Times New Roman"/>
          <w:sz w:val="22"/>
        </w:rPr>
        <w:t xml:space="preserve">  </w:t>
      </w:r>
      <w:r w:rsidR="00D833AD" w:rsidRPr="00B361C9">
        <w:rPr>
          <w:rFonts w:cs="Times New Roman"/>
          <w:sz w:val="22"/>
        </w:rPr>
        <w:t>Ea</w:t>
      </w:r>
      <w:r w:rsidR="0075700E" w:rsidRPr="00B361C9">
        <w:rPr>
          <w:rFonts w:cs="Times New Roman"/>
          <w:sz w:val="22"/>
        </w:rPr>
        <w:t>ch analyst</w:t>
      </w:r>
      <w:r w:rsidR="00D833AD" w:rsidRPr="00B361C9">
        <w:rPr>
          <w:rFonts w:cs="Times New Roman"/>
          <w:sz w:val="22"/>
        </w:rPr>
        <w:t xml:space="preserve"> </w:t>
      </w:r>
      <w:r w:rsidRPr="00B361C9">
        <w:rPr>
          <w:rFonts w:cs="Times New Roman"/>
          <w:sz w:val="22"/>
        </w:rPr>
        <w:t>had n = 5</w:t>
      </w:r>
      <w:r w:rsidR="007E3CFE">
        <w:rPr>
          <w:rFonts w:cs="Times New Roman"/>
          <w:sz w:val="22"/>
        </w:rPr>
        <w:t xml:space="preserve"> and</w:t>
      </w:r>
      <w:r w:rsidR="007E3CFE" w:rsidRPr="00B361C9">
        <w:rPr>
          <w:rFonts w:cs="Times New Roman"/>
          <w:sz w:val="22"/>
        </w:rPr>
        <w:t xml:space="preserve"> </w:t>
      </w:r>
      <w:r w:rsidRPr="00B361C9">
        <w:rPr>
          <w:rFonts w:cs="Times New Roman"/>
          <w:sz w:val="22"/>
        </w:rPr>
        <w:t xml:space="preserve">performed </w:t>
      </w:r>
      <w:r w:rsidR="00653B1F" w:rsidRPr="00B361C9">
        <w:rPr>
          <w:rFonts w:cs="Times New Roman"/>
          <w:sz w:val="22"/>
        </w:rPr>
        <w:t>his or her</w:t>
      </w:r>
      <w:r w:rsidRPr="00B361C9">
        <w:rPr>
          <w:rFonts w:cs="Times New Roman"/>
          <w:sz w:val="22"/>
        </w:rPr>
        <w:t xml:space="preserve"> work on different days.</w:t>
      </w:r>
    </w:p>
    <w:tbl>
      <w:tblPr>
        <w:tblW w:w="7320" w:type="dxa"/>
        <w:jc w:val="center"/>
        <w:tblLook w:val="04A0" w:firstRow="1" w:lastRow="0" w:firstColumn="1" w:lastColumn="0" w:noHBand="0" w:noVBand="1"/>
      </w:tblPr>
      <w:tblGrid>
        <w:gridCol w:w="3100"/>
        <w:gridCol w:w="2400"/>
        <w:gridCol w:w="1820"/>
      </w:tblGrid>
      <w:tr w:rsidR="00601073" w:rsidRPr="00B361C9" w:rsidTr="0075700E">
        <w:trPr>
          <w:trHeight w:val="909"/>
          <w:jc w:val="center"/>
        </w:trPr>
        <w:tc>
          <w:tcPr>
            <w:tcW w:w="3100" w:type="dxa"/>
            <w:tcBorders>
              <w:top w:val="single" w:sz="4" w:space="0" w:color="auto"/>
              <w:left w:val="nil"/>
              <w:bottom w:val="single" w:sz="8" w:space="0" w:color="auto"/>
              <w:right w:val="nil"/>
            </w:tcBorders>
            <w:shd w:val="clear" w:color="auto" w:fill="auto"/>
            <w:vAlign w:val="center"/>
            <w:hideMark/>
          </w:tcPr>
          <w:p w:rsidR="00601073" w:rsidRPr="00B361C9" w:rsidRDefault="00A06EB9" w:rsidP="008151E8">
            <w:pPr>
              <w:spacing w:after="0" w:line="240" w:lineRule="auto"/>
              <w:rPr>
                <w:rFonts w:eastAsia="Times New Roman" w:cs="Times New Roman"/>
                <w:b/>
                <w:bCs/>
                <w:color w:val="000000"/>
              </w:rPr>
            </w:pPr>
            <w:r w:rsidRPr="00B361C9">
              <w:rPr>
                <w:rFonts w:cs="Times New Roman"/>
                <w:b/>
                <w:color w:val="000000"/>
                <w:sz w:val="22"/>
              </w:rPr>
              <w:t>CRM 125a</w:t>
            </w:r>
          </w:p>
        </w:tc>
        <w:tc>
          <w:tcPr>
            <w:tcW w:w="2400" w:type="dxa"/>
            <w:tcBorders>
              <w:top w:val="single" w:sz="4" w:space="0" w:color="auto"/>
              <w:left w:val="nil"/>
              <w:bottom w:val="single" w:sz="8" w:space="0" w:color="auto"/>
              <w:right w:val="nil"/>
            </w:tcBorders>
            <w:shd w:val="clear" w:color="auto" w:fill="auto"/>
            <w:vAlign w:val="center"/>
            <w:hideMark/>
          </w:tcPr>
          <w:p w:rsidR="00601073" w:rsidRPr="00B361C9" w:rsidRDefault="00A06EB9" w:rsidP="008151E8">
            <w:pPr>
              <w:spacing w:after="0" w:line="240" w:lineRule="auto"/>
              <w:jc w:val="center"/>
              <w:rPr>
                <w:rFonts w:eastAsia="Times New Roman" w:cs="Times New Roman"/>
                <w:b/>
                <w:bCs/>
                <w:color w:val="000000"/>
              </w:rPr>
            </w:pPr>
            <w:r w:rsidRPr="00B361C9">
              <w:rPr>
                <w:rFonts w:cs="Times New Roman"/>
                <w:b/>
                <w:color w:val="000000"/>
                <w:sz w:val="22"/>
              </w:rPr>
              <w:t xml:space="preserve">U Assay </w:t>
            </w:r>
            <w:r w:rsidR="00601073" w:rsidRPr="00B361C9">
              <w:rPr>
                <w:rFonts w:eastAsia="Times New Roman" w:cs="Times New Roman"/>
                <w:b/>
                <w:bCs/>
                <w:color w:val="000000"/>
                <w:sz w:val="22"/>
              </w:rPr>
              <w:t>(</w:t>
            </w:r>
            <w:r w:rsidR="001655AE" w:rsidRPr="00B361C9">
              <w:rPr>
                <w:rFonts w:eastAsia="Times New Roman" w:cs="Times New Roman"/>
                <w:b/>
                <w:bCs/>
                <w:color w:val="000000"/>
                <w:sz w:val="22"/>
              </w:rPr>
              <w:t>wt. %</w:t>
            </w:r>
            <w:r w:rsidR="00601073" w:rsidRPr="00B361C9">
              <w:rPr>
                <w:rFonts w:eastAsia="Times New Roman" w:cs="Times New Roman"/>
                <w:b/>
                <w:bCs/>
                <w:color w:val="000000"/>
                <w:sz w:val="22"/>
              </w:rPr>
              <w:t>)</w:t>
            </w:r>
          </w:p>
        </w:tc>
        <w:tc>
          <w:tcPr>
            <w:tcW w:w="1820" w:type="dxa"/>
            <w:tcBorders>
              <w:top w:val="single" w:sz="4" w:space="0" w:color="auto"/>
              <w:left w:val="nil"/>
              <w:bottom w:val="single" w:sz="8" w:space="0" w:color="auto"/>
              <w:right w:val="nil"/>
            </w:tcBorders>
            <w:shd w:val="clear" w:color="auto" w:fill="auto"/>
            <w:vAlign w:val="center"/>
            <w:hideMark/>
          </w:tcPr>
          <w:p w:rsidR="00601073" w:rsidRPr="00B361C9" w:rsidRDefault="00A06EB9" w:rsidP="008151E8">
            <w:pPr>
              <w:spacing w:after="0" w:line="240" w:lineRule="auto"/>
              <w:jc w:val="center"/>
              <w:rPr>
                <w:rFonts w:eastAsia="Times New Roman" w:cs="Times New Roman"/>
                <w:b/>
                <w:bCs/>
                <w:color w:val="000000"/>
              </w:rPr>
            </w:pPr>
            <w:r w:rsidRPr="00B361C9">
              <w:rPr>
                <w:rFonts w:cs="Times New Roman"/>
                <w:b/>
                <w:color w:val="000000"/>
                <w:sz w:val="22"/>
              </w:rPr>
              <w:t>Expanded uncertainty,         k = 2</w:t>
            </w:r>
            <w:r w:rsidR="00D861B9" w:rsidRPr="00B361C9">
              <w:rPr>
                <w:rFonts w:eastAsia="Times New Roman" w:cs="Times New Roman"/>
                <w:b/>
                <w:bCs/>
                <w:color w:val="000000"/>
                <w:sz w:val="22"/>
              </w:rPr>
              <w:t xml:space="preserve"> (</w:t>
            </w:r>
            <w:r w:rsidR="001655AE" w:rsidRPr="00B361C9">
              <w:rPr>
                <w:rFonts w:eastAsia="Times New Roman" w:cs="Times New Roman"/>
                <w:b/>
                <w:bCs/>
                <w:color w:val="000000"/>
                <w:sz w:val="22"/>
              </w:rPr>
              <w:t>wt. %</w:t>
            </w:r>
            <w:r w:rsidR="00D861B9" w:rsidRPr="00B361C9">
              <w:rPr>
                <w:rFonts w:eastAsia="Times New Roman" w:cs="Times New Roman"/>
                <w:b/>
                <w:bCs/>
                <w:color w:val="000000"/>
                <w:sz w:val="22"/>
              </w:rPr>
              <w:t>)</w:t>
            </w:r>
          </w:p>
        </w:tc>
      </w:tr>
      <w:tr w:rsidR="00601073" w:rsidRPr="00B361C9" w:rsidTr="0075700E">
        <w:trPr>
          <w:trHeight w:val="309"/>
          <w:jc w:val="center"/>
        </w:trPr>
        <w:tc>
          <w:tcPr>
            <w:tcW w:w="3100" w:type="dxa"/>
            <w:tcBorders>
              <w:top w:val="nil"/>
              <w:left w:val="nil"/>
              <w:bottom w:val="single" w:sz="4" w:space="0" w:color="auto"/>
              <w:right w:val="nil"/>
            </w:tcBorders>
            <w:shd w:val="clear" w:color="auto" w:fill="auto"/>
            <w:noWrap/>
            <w:vAlign w:val="bottom"/>
            <w:hideMark/>
          </w:tcPr>
          <w:p w:rsidR="00601073" w:rsidRPr="00B361C9" w:rsidRDefault="00A06EB9" w:rsidP="008151E8">
            <w:pPr>
              <w:spacing w:after="0" w:line="240" w:lineRule="auto"/>
              <w:rPr>
                <w:rFonts w:eastAsia="Times New Roman" w:cs="Times New Roman"/>
                <w:color w:val="000000"/>
              </w:rPr>
            </w:pPr>
            <w:r w:rsidRPr="00B361C9">
              <w:rPr>
                <w:rFonts w:cs="Times New Roman"/>
                <w:color w:val="000000"/>
                <w:sz w:val="22"/>
              </w:rPr>
              <w:t xml:space="preserve">Certified value 1997 </w:t>
            </w:r>
          </w:p>
        </w:tc>
        <w:tc>
          <w:tcPr>
            <w:tcW w:w="2400" w:type="dxa"/>
            <w:tcBorders>
              <w:top w:val="nil"/>
              <w:left w:val="nil"/>
              <w:bottom w:val="single" w:sz="4" w:space="0" w:color="auto"/>
              <w:right w:val="nil"/>
            </w:tcBorders>
            <w:shd w:val="clear" w:color="auto" w:fill="auto"/>
            <w:noWrap/>
            <w:vAlign w:val="bottom"/>
            <w:hideMark/>
          </w:tcPr>
          <w:p w:rsidR="00601073" w:rsidRPr="00B361C9" w:rsidRDefault="00A06EB9" w:rsidP="008151E8">
            <w:pPr>
              <w:spacing w:after="0" w:line="240" w:lineRule="auto"/>
              <w:jc w:val="center"/>
              <w:rPr>
                <w:rFonts w:eastAsia="Times New Roman" w:cs="Times New Roman"/>
                <w:color w:val="000000"/>
              </w:rPr>
            </w:pPr>
            <w:r w:rsidRPr="00B361C9">
              <w:rPr>
                <w:rFonts w:cs="Times New Roman"/>
                <w:color w:val="000000"/>
                <w:sz w:val="22"/>
              </w:rPr>
              <w:t>88.129</w:t>
            </w:r>
          </w:p>
        </w:tc>
        <w:tc>
          <w:tcPr>
            <w:tcW w:w="1820" w:type="dxa"/>
            <w:tcBorders>
              <w:top w:val="nil"/>
              <w:left w:val="nil"/>
              <w:bottom w:val="single" w:sz="4" w:space="0" w:color="auto"/>
              <w:right w:val="nil"/>
            </w:tcBorders>
            <w:shd w:val="clear" w:color="auto" w:fill="auto"/>
            <w:noWrap/>
            <w:vAlign w:val="bottom"/>
            <w:hideMark/>
          </w:tcPr>
          <w:p w:rsidR="00601073" w:rsidRPr="00B361C9" w:rsidRDefault="00A06EB9" w:rsidP="008151E8">
            <w:pPr>
              <w:spacing w:after="0" w:line="240" w:lineRule="auto"/>
              <w:jc w:val="center"/>
              <w:rPr>
                <w:rFonts w:eastAsia="Times New Roman" w:cs="Times New Roman"/>
                <w:color w:val="000000"/>
              </w:rPr>
            </w:pPr>
            <w:r w:rsidRPr="00B361C9">
              <w:rPr>
                <w:rFonts w:cs="Times New Roman"/>
                <w:color w:val="000000"/>
                <w:sz w:val="22"/>
              </w:rPr>
              <w:t>0.014</w:t>
            </w:r>
          </w:p>
        </w:tc>
      </w:tr>
      <w:tr w:rsidR="00601073" w:rsidRPr="00B361C9" w:rsidTr="0075700E">
        <w:trPr>
          <w:trHeight w:val="103"/>
          <w:jc w:val="center"/>
        </w:trPr>
        <w:tc>
          <w:tcPr>
            <w:tcW w:w="3100" w:type="dxa"/>
            <w:tcBorders>
              <w:top w:val="nil"/>
              <w:left w:val="nil"/>
              <w:bottom w:val="single" w:sz="4" w:space="0" w:color="auto"/>
              <w:right w:val="nil"/>
            </w:tcBorders>
            <w:shd w:val="clear" w:color="auto" w:fill="auto"/>
            <w:noWrap/>
            <w:vAlign w:val="center"/>
            <w:hideMark/>
          </w:tcPr>
          <w:p w:rsidR="00601073" w:rsidRPr="00B361C9" w:rsidRDefault="00A06EB9" w:rsidP="008151E8">
            <w:pPr>
              <w:spacing w:after="0" w:line="240" w:lineRule="auto"/>
              <w:rPr>
                <w:rFonts w:eastAsia="Times New Roman" w:cs="Times New Roman"/>
                <w:color w:val="000000"/>
              </w:rPr>
            </w:pPr>
            <w:r w:rsidRPr="00B361C9">
              <w:rPr>
                <w:rFonts w:cs="Times New Roman"/>
                <w:color w:val="000000"/>
                <w:sz w:val="22"/>
              </w:rPr>
              <w:t>LANL, analyst 1, avg.</w:t>
            </w:r>
          </w:p>
        </w:tc>
        <w:tc>
          <w:tcPr>
            <w:tcW w:w="2400" w:type="dxa"/>
            <w:tcBorders>
              <w:top w:val="nil"/>
              <w:left w:val="nil"/>
              <w:bottom w:val="single" w:sz="4" w:space="0" w:color="auto"/>
              <w:right w:val="nil"/>
            </w:tcBorders>
            <w:shd w:val="clear" w:color="auto" w:fill="auto"/>
            <w:noWrap/>
            <w:vAlign w:val="center"/>
            <w:hideMark/>
          </w:tcPr>
          <w:p w:rsidR="00601073" w:rsidRPr="00B361C9" w:rsidRDefault="00A06EB9" w:rsidP="008151E8">
            <w:pPr>
              <w:spacing w:after="0" w:line="240" w:lineRule="auto"/>
              <w:jc w:val="center"/>
              <w:rPr>
                <w:rFonts w:eastAsia="Times New Roman" w:cs="Times New Roman"/>
                <w:color w:val="000000"/>
              </w:rPr>
            </w:pPr>
            <w:r w:rsidRPr="00B361C9">
              <w:rPr>
                <w:rFonts w:cs="Times New Roman"/>
                <w:color w:val="000000"/>
                <w:sz w:val="22"/>
              </w:rPr>
              <w:t>88.112</w:t>
            </w:r>
          </w:p>
        </w:tc>
        <w:tc>
          <w:tcPr>
            <w:tcW w:w="1820" w:type="dxa"/>
            <w:tcBorders>
              <w:top w:val="nil"/>
              <w:left w:val="nil"/>
              <w:bottom w:val="single" w:sz="4" w:space="0" w:color="auto"/>
              <w:right w:val="nil"/>
            </w:tcBorders>
            <w:shd w:val="clear" w:color="auto" w:fill="auto"/>
            <w:noWrap/>
            <w:vAlign w:val="center"/>
            <w:hideMark/>
          </w:tcPr>
          <w:p w:rsidR="00601073" w:rsidRPr="00B361C9" w:rsidRDefault="00A06EB9" w:rsidP="008151E8">
            <w:pPr>
              <w:spacing w:after="0" w:line="240" w:lineRule="auto"/>
              <w:jc w:val="center"/>
              <w:rPr>
                <w:rFonts w:eastAsia="Times New Roman" w:cs="Times New Roman"/>
                <w:color w:val="000000"/>
              </w:rPr>
            </w:pPr>
            <w:r w:rsidRPr="00B361C9">
              <w:rPr>
                <w:rFonts w:cs="Times New Roman"/>
                <w:color w:val="000000"/>
                <w:sz w:val="22"/>
              </w:rPr>
              <w:t>0.062</w:t>
            </w:r>
          </w:p>
        </w:tc>
      </w:tr>
      <w:tr w:rsidR="00601073" w:rsidRPr="00B361C9" w:rsidTr="0075700E">
        <w:trPr>
          <w:trHeight w:val="309"/>
          <w:jc w:val="center"/>
        </w:trPr>
        <w:tc>
          <w:tcPr>
            <w:tcW w:w="3100" w:type="dxa"/>
            <w:tcBorders>
              <w:top w:val="nil"/>
              <w:left w:val="nil"/>
              <w:bottom w:val="single" w:sz="4" w:space="0" w:color="auto"/>
              <w:right w:val="nil"/>
            </w:tcBorders>
            <w:shd w:val="clear" w:color="auto" w:fill="auto"/>
            <w:noWrap/>
            <w:vAlign w:val="center"/>
            <w:hideMark/>
          </w:tcPr>
          <w:p w:rsidR="00601073" w:rsidRPr="00B361C9" w:rsidRDefault="00A06EB9" w:rsidP="008151E8">
            <w:pPr>
              <w:spacing w:after="0" w:line="240" w:lineRule="auto"/>
              <w:rPr>
                <w:rFonts w:eastAsia="Times New Roman" w:cs="Times New Roman"/>
                <w:color w:val="000000"/>
              </w:rPr>
            </w:pPr>
            <w:r w:rsidRPr="00B361C9">
              <w:rPr>
                <w:rFonts w:cs="Times New Roman"/>
                <w:color w:val="000000"/>
                <w:sz w:val="22"/>
              </w:rPr>
              <w:t>LANL, analyst 2, avg.</w:t>
            </w:r>
          </w:p>
        </w:tc>
        <w:tc>
          <w:tcPr>
            <w:tcW w:w="2400" w:type="dxa"/>
            <w:tcBorders>
              <w:top w:val="nil"/>
              <w:left w:val="nil"/>
              <w:bottom w:val="single" w:sz="4" w:space="0" w:color="auto"/>
              <w:right w:val="nil"/>
            </w:tcBorders>
            <w:shd w:val="clear" w:color="auto" w:fill="auto"/>
            <w:noWrap/>
            <w:vAlign w:val="center"/>
            <w:hideMark/>
          </w:tcPr>
          <w:p w:rsidR="00601073" w:rsidRPr="00B361C9" w:rsidRDefault="00A06EB9" w:rsidP="008151E8">
            <w:pPr>
              <w:spacing w:after="0" w:line="240" w:lineRule="auto"/>
              <w:jc w:val="center"/>
              <w:rPr>
                <w:rFonts w:eastAsia="Times New Roman" w:cs="Times New Roman"/>
                <w:color w:val="000000"/>
              </w:rPr>
            </w:pPr>
            <w:r w:rsidRPr="00B361C9">
              <w:rPr>
                <w:rFonts w:cs="Times New Roman"/>
                <w:color w:val="000000"/>
                <w:sz w:val="22"/>
              </w:rPr>
              <w:t>88.117</w:t>
            </w:r>
          </w:p>
        </w:tc>
        <w:tc>
          <w:tcPr>
            <w:tcW w:w="1820" w:type="dxa"/>
            <w:tcBorders>
              <w:top w:val="nil"/>
              <w:left w:val="nil"/>
              <w:bottom w:val="single" w:sz="4" w:space="0" w:color="auto"/>
              <w:right w:val="nil"/>
            </w:tcBorders>
            <w:shd w:val="clear" w:color="auto" w:fill="auto"/>
            <w:noWrap/>
            <w:vAlign w:val="center"/>
            <w:hideMark/>
          </w:tcPr>
          <w:p w:rsidR="00601073" w:rsidRPr="00B361C9" w:rsidRDefault="00A06EB9" w:rsidP="008151E8">
            <w:pPr>
              <w:spacing w:after="0" w:line="240" w:lineRule="auto"/>
              <w:jc w:val="center"/>
              <w:rPr>
                <w:rFonts w:eastAsia="Times New Roman" w:cs="Times New Roman"/>
                <w:color w:val="000000"/>
              </w:rPr>
            </w:pPr>
            <w:r w:rsidRPr="00B361C9">
              <w:rPr>
                <w:rFonts w:cs="Times New Roman"/>
                <w:color w:val="000000"/>
                <w:sz w:val="22"/>
              </w:rPr>
              <w:t>0.065</w:t>
            </w:r>
          </w:p>
        </w:tc>
      </w:tr>
      <w:tr w:rsidR="00601073" w:rsidRPr="00B361C9" w:rsidTr="0075700E">
        <w:trPr>
          <w:trHeight w:val="309"/>
          <w:jc w:val="center"/>
        </w:trPr>
        <w:tc>
          <w:tcPr>
            <w:tcW w:w="3100" w:type="dxa"/>
            <w:tcBorders>
              <w:top w:val="nil"/>
              <w:left w:val="nil"/>
              <w:bottom w:val="single" w:sz="4" w:space="0" w:color="auto"/>
              <w:right w:val="nil"/>
            </w:tcBorders>
            <w:shd w:val="clear" w:color="auto" w:fill="auto"/>
            <w:noWrap/>
            <w:vAlign w:val="bottom"/>
            <w:hideMark/>
          </w:tcPr>
          <w:p w:rsidR="00601073" w:rsidRPr="00B361C9" w:rsidRDefault="00A06EB9" w:rsidP="008151E8">
            <w:pPr>
              <w:spacing w:after="0" w:line="240" w:lineRule="auto"/>
              <w:rPr>
                <w:rFonts w:eastAsia="Times New Roman" w:cs="Times New Roman"/>
                <w:color w:val="000000"/>
              </w:rPr>
            </w:pPr>
            <w:r w:rsidRPr="00B361C9">
              <w:rPr>
                <w:rFonts w:cs="Times New Roman"/>
                <w:color w:val="000000"/>
                <w:sz w:val="22"/>
              </w:rPr>
              <w:t>Absolute difference, analyst 1</w:t>
            </w:r>
          </w:p>
        </w:tc>
        <w:tc>
          <w:tcPr>
            <w:tcW w:w="2400" w:type="dxa"/>
            <w:tcBorders>
              <w:top w:val="nil"/>
              <w:left w:val="nil"/>
              <w:bottom w:val="single" w:sz="4" w:space="0" w:color="auto"/>
              <w:right w:val="nil"/>
            </w:tcBorders>
            <w:shd w:val="clear" w:color="auto" w:fill="auto"/>
            <w:noWrap/>
            <w:vAlign w:val="bottom"/>
            <w:hideMark/>
          </w:tcPr>
          <w:p w:rsidR="00601073" w:rsidRPr="00B361C9" w:rsidRDefault="00A06EB9" w:rsidP="008151E8">
            <w:pPr>
              <w:spacing w:after="0" w:line="240" w:lineRule="auto"/>
              <w:jc w:val="center"/>
              <w:rPr>
                <w:rFonts w:eastAsia="Times New Roman" w:cs="Times New Roman"/>
                <w:color w:val="000000"/>
              </w:rPr>
            </w:pPr>
            <w:r w:rsidRPr="00B361C9">
              <w:rPr>
                <w:rFonts w:cs="Times New Roman"/>
                <w:color w:val="000000"/>
                <w:sz w:val="22"/>
              </w:rPr>
              <w:t>-0.017</w:t>
            </w:r>
          </w:p>
        </w:tc>
        <w:tc>
          <w:tcPr>
            <w:tcW w:w="1820" w:type="dxa"/>
            <w:tcBorders>
              <w:top w:val="nil"/>
              <w:left w:val="nil"/>
              <w:bottom w:val="single" w:sz="4" w:space="0" w:color="auto"/>
              <w:right w:val="nil"/>
            </w:tcBorders>
            <w:shd w:val="clear" w:color="auto" w:fill="auto"/>
            <w:noWrap/>
            <w:vAlign w:val="bottom"/>
            <w:hideMark/>
          </w:tcPr>
          <w:p w:rsidR="00601073" w:rsidRPr="00B361C9" w:rsidRDefault="00A06EB9" w:rsidP="008151E8">
            <w:pPr>
              <w:spacing w:after="0" w:line="240" w:lineRule="auto"/>
              <w:jc w:val="center"/>
              <w:rPr>
                <w:rFonts w:eastAsia="Times New Roman" w:cs="Times New Roman"/>
                <w:color w:val="000000"/>
              </w:rPr>
            </w:pPr>
            <w:r w:rsidRPr="00B361C9">
              <w:rPr>
                <w:rFonts w:cs="Times New Roman"/>
                <w:color w:val="000000"/>
                <w:sz w:val="22"/>
              </w:rPr>
              <w:t>N/A</w:t>
            </w:r>
          </w:p>
        </w:tc>
      </w:tr>
      <w:tr w:rsidR="00601073" w:rsidRPr="00B361C9" w:rsidTr="0075700E">
        <w:trPr>
          <w:trHeight w:val="309"/>
          <w:jc w:val="center"/>
        </w:trPr>
        <w:tc>
          <w:tcPr>
            <w:tcW w:w="3100" w:type="dxa"/>
            <w:tcBorders>
              <w:top w:val="nil"/>
              <w:left w:val="nil"/>
              <w:bottom w:val="single" w:sz="4" w:space="0" w:color="auto"/>
              <w:right w:val="nil"/>
            </w:tcBorders>
            <w:shd w:val="clear" w:color="auto" w:fill="auto"/>
            <w:noWrap/>
            <w:vAlign w:val="bottom"/>
            <w:hideMark/>
          </w:tcPr>
          <w:p w:rsidR="00601073" w:rsidRPr="00B361C9" w:rsidRDefault="00A06EB9" w:rsidP="008151E8">
            <w:pPr>
              <w:spacing w:after="0" w:line="240" w:lineRule="auto"/>
              <w:rPr>
                <w:rFonts w:eastAsia="Times New Roman" w:cs="Times New Roman"/>
                <w:color w:val="000000"/>
              </w:rPr>
            </w:pPr>
            <w:r w:rsidRPr="00B361C9">
              <w:rPr>
                <w:rFonts w:cs="Times New Roman"/>
                <w:color w:val="000000"/>
                <w:sz w:val="22"/>
              </w:rPr>
              <w:t>Absolute difference, analyst 2</w:t>
            </w:r>
          </w:p>
        </w:tc>
        <w:tc>
          <w:tcPr>
            <w:tcW w:w="2400" w:type="dxa"/>
            <w:tcBorders>
              <w:top w:val="nil"/>
              <w:left w:val="nil"/>
              <w:bottom w:val="single" w:sz="4" w:space="0" w:color="auto"/>
              <w:right w:val="nil"/>
            </w:tcBorders>
            <w:shd w:val="clear" w:color="auto" w:fill="auto"/>
            <w:noWrap/>
            <w:vAlign w:val="bottom"/>
            <w:hideMark/>
          </w:tcPr>
          <w:p w:rsidR="00601073" w:rsidRPr="00B361C9" w:rsidRDefault="00A06EB9" w:rsidP="008151E8">
            <w:pPr>
              <w:spacing w:after="0" w:line="240" w:lineRule="auto"/>
              <w:jc w:val="center"/>
              <w:rPr>
                <w:rFonts w:eastAsia="Times New Roman" w:cs="Times New Roman"/>
                <w:color w:val="000000"/>
              </w:rPr>
            </w:pPr>
            <w:r w:rsidRPr="00B361C9">
              <w:rPr>
                <w:rFonts w:cs="Times New Roman"/>
                <w:color w:val="000000"/>
                <w:sz w:val="22"/>
              </w:rPr>
              <w:t>-0.012</w:t>
            </w:r>
          </w:p>
        </w:tc>
        <w:tc>
          <w:tcPr>
            <w:tcW w:w="1820" w:type="dxa"/>
            <w:tcBorders>
              <w:top w:val="nil"/>
              <w:left w:val="nil"/>
              <w:bottom w:val="single" w:sz="4" w:space="0" w:color="auto"/>
              <w:right w:val="nil"/>
            </w:tcBorders>
            <w:shd w:val="clear" w:color="auto" w:fill="auto"/>
            <w:noWrap/>
            <w:vAlign w:val="bottom"/>
            <w:hideMark/>
          </w:tcPr>
          <w:p w:rsidR="00601073" w:rsidRPr="00B361C9" w:rsidRDefault="00A06EB9" w:rsidP="008151E8">
            <w:pPr>
              <w:spacing w:after="0" w:line="240" w:lineRule="auto"/>
              <w:jc w:val="center"/>
              <w:rPr>
                <w:rFonts w:eastAsia="Times New Roman" w:cs="Times New Roman"/>
                <w:color w:val="000000"/>
              </w:rPr>
            </w:pPr>
            <w:r w:rsidRPr="00B361C9">
              <w:rPr>
                <w:rFonts w:cs="Times New Roman"/>
                <w:color w:val="000000"/>
                <w:sz w:val="22"/>
              </w:rPr>
              <w:t>N/A</w:t>
            </w:r>
          </w:p>
        </w:tc>
      </w:tr>
    </w:tbl>
    <w:p w:rsidR="00601073" w:rsidRPr="00B361C9" w:rsidRDefault="00601073" w:rsidP="008151E8">
      <w:pPr>
        <w:spacing w:line="240" w:lineRule="auto"/>
        <w:rPr>
          <w:rFonts w:cs="Times New Roman"/>
          <w:sz w:val="22"/>
        </w:rPr>
      </w:pPr>
    </w:p>
    <w:p w:rsidR="00C20E74" w:rsidRPr="00B361C9" w:rsidRDefault="00A06EB9" w:rsidP="008151E8">
      <w:pPr>
        <w:spacing w:line="240" w:lineRule="auto"/>
        <w:rPr>
          <w:rFonts w:cs="Times New Roman"/>
          <w:sz w:val="22"/>
        </w:rPr>
      </w:pPr>
      <w:r w:rsidRPr="00B361C9">
        <w:rPr>
          <w:rFonts w:cs="Times New Roman"/>
          <w:sz w:val="22"/>
        </w:rPr>
        <w:t>In 2013, NBL reissued the certificate of analysis</w:t>
      </w:r>
      <w:r w:rsidR="004E72BD" w:rsidRPr="00B361C9">
        <w:rPr>
          <w:rFonts w:cs="Times New Roman"/>
          <w:sz w:val="22"/>
        </w:rPr>
        <w:t xml:space="preserve"> </w:t>
      </w:r>
      <w:r w:rsidR="007E3CFE">
        <w:rPr>
          <w:rFonts w:cs="Times New Roman"/>
          <w:sz w:val="22"/>
        </w:rPr>
        <w:t>including</w:t>
      </w:r>
      <w:r w:rsidR="007E3CFE" w:rsidRPr="00B361C9">
        <w:rPr>
          <w:rFonts w:cs="Times New Roman"/>
          <w:sz w:val="22"/>
        </w:rPr>
        <w:t xml:space="preserve"> </w:t>
      </w:r>
      <w:r w:rsidR="004E72BD" w:rsidRPr="00B361C9">
        <w:rPr>
          <w:rFonts w:cs="Times New Roman"/>
          <w:sz w:val="22"/>
        </w:rPr>
        <w:t xml:space="preserve">expanded information </w:t>
      </w:r>
      <w:r w:rsidR="00E61F37" w:rsidRPr="00B361C9">
        <w:rPr>
          <w:rFonts w:cs="Times New Roman"/>
          <w:sz w:val="22"/>
        </w:rPr>
        <w:t>with many orders of magnitude improvement in the certified isotopic accuracy and associated uncertainties.</w:t>
      </w:r>
      <w:r w:rsidR="00F7698C" w:rsidRPr="00B361C9">
        <w:rPr>
          <w:rFonts w:cs="Times New Roman"/>
          <w:sz w:val="22"/>
        </w:rPr>
        <w:t xml:space="preserve">  </w:t>
      </w:r>
      <w:r w:rsidR="00852EF6" w:rsidRPr="00B361C9">
        <w:rPr>
          <w:rFonts w:cs="Times New Roman"/>
          <w:sz w:val="22"/>
        </w:rPr>
        <w:t xml:space="preserve">Also included on the </w:t>
      </w:r>
      <w:r w:rsidR="007632ED">
        <w:rPr>
          <w:rFonts w:cs="Times New Roman"/>
          <w:sz w:val="22"/>
        </w:rPr>
        <w:t xml:space="preserve">reissued </w:t>
      </w:r>
      <w:r w:rsidR="00852EF6" w:rsidRPr="00B361C9">
        <w:rPr>
          <w:rFonts w:cs="Times New Roman"/>
          <w:sz w:val="22"/>
        </w:rPr>
        <w:t xml:space="preserve">certificate is a </w:t>
      </w:r>
      <w:r w:rsidR="001C7766" w:rsidRPr="00B361C9">
        <w:rPr>
          <w:rFonts w:cs="Times New Roman"/>
          <w:sz w:val="22"/>
        </w:rPr>
        <w:t>model purification date</w:t>
      </w:r>
      <w:r w:rsidR="00E240A6" w:rsidRPr="00B361C9">
        <w:rPr>
          <w:rFonts w:cs="Times New Roman"/>
          <w:sz w:val="22"/>
        </w:rPr>
        <w:t xml:space="preserve">.  </w:t>
      </w:r>
      <w:r w:rsidR="00A52596">
        <w:rPr>
          <w:rFonts w:cs="Times New Roman"/>
          <w:sz w:val="22"/>
        </w:rPr>
        <w:t>This revised</w:t>
      </w:r>
      <w:r w:rsidR="00613AB9">
        <w:rPr>
          <w:rFonts w:cs="Times New Roman"/>
          <w:sz w:val="22"/>
        </w:rPr>
        <w:t xml:space="preserve"> </w:t>
      </w:r>
      <w:r w:rsidR="00852EF6" w:rsidRPr="00B361C9">
        <w:rPr>
          <w:rFonts w:cs="Times New Roman"/>
          <w:sz w:val="22"/>
        </w:rPr>
        <w:t>lat</w:t>
      </w:r>
      <w:r w:rsidR="00FE318E">
        <w:rPr>
          <w:rFonts w:cs="Times New Roman"/>
          <w:sz w:val="22"/>
        </w:rPr>
        <w:t>t</w:t>
      </w:r>
      <w:r w:rsidR="00852EF6" w:rsidRPr="00B361C9">
        <w:rPr>
          <w:rFonts w:cs="Times New Roman"/>
          <w:sz w:val="22"/>
        </w:rPr>
        <w:t xml:space="preserve">er information is extremely important for nuclear forensics applications since for the first time </w:t>
      </w:r>
      <w:r w:rsidR="00F7698C" w:rsidRPr="00B361C9">
        <w:rPr>
          <w:rFonts w:cs="Times New Roman"/>
          <w:sz w:val="22"/>
        </w:rPr>
        <w:t xml:space="preserve">it </w:t>
      </w:r>
      <w:r w:rsidR="00852EF6" w:rsidRPr="00B361C9">
        <w:rPr>
          <w:rFonts w:cs="Times New Roman"/>
          <w:sz w:val="22"/>
        </w:rPr>
        <w:t>pr</w:t>
      </w:r>
      <w:r w:rsidR="00E61F37" w:rsidRPr="00B361C9">
        <w:rPr>
          <w:rFonts w:cs="Times New Roman"/>
          <w:sz w:val="22"/>
        </w:rPr>
        <w:t xml:space="preserve">ovides a </w:t>
      </w:r>
      <w:r w:rsidR="00635742">
        <w:rPr>
          <w:rFonts w:cs="Times New Roman"/>
          <w:sz w:val="22"/>
        </w:rPr>
        <w:t>U</w:t>
      </w:r>
      <w:r w:rsidR="00E61F37" w:rsidRPr="00B361C9">
        <w:rPr>
          <w:rFonts w:cs="Times New Roman"/>
          <w:sz w:val="22"/>
        </w:rPr>
        <w:t xml:space="preserve"> chronometry RM </w:t>
      </w:r>
      <w:r w:rsidR="006A7A4E">
        <w:rPr>
          <w:rFonts w:cs="Times New Roman"/>
          <w:sz w:val="22"/>
        </w:rPr>
        <w:t>[8]</w:t>
      </w:r>
      <w:r w:rsidRPr="00B361C9">
        <w:rPr>
          <w:rFonts w:cs="Times New Roman"/>
          <w:sz w:val="22"/>
        </w:rPr>
        <w:t xml:space="preserve">.  </w:t>
      </w:r>
      <w:r w:rsidR="001655AE" w:rsidRPr="00B361C9">
        <w:rPr>
          <w:rFonts w:cs="Times New Roman"/>
          <w:sz w:val="22"/>
        </w:rPr>
        <w:t>The great</w:t>
      </w:r>
      <w:r w:rsidR="007632ED">
        <w:rPr>
          <w:rFonts w:cs="Times New Roman"/>
          <w:sz w:val="22"/>
        </w:rPr>
        <w:t xml:space="preserve"> improvement in</w:t>
      </w:r>
      <w:r w:rsidR="001655AE" w:rsidRPr="00B361C9">
        <w:rPr>
          <w:rFonts w:cs="Times New Roman"/>
          <w:sz w:val="22"/>
        </w:rPr>
        <w:t xml:space="preserve"> accuracy and uncertainty information</w:t>
      </w:r>
      <w:r w:rsidR="001655AE">
        <w:rPr>
          <w:rFonts w:cs="Times New Roman"/>
          <w:sz w:val="22"/>
        </w:rPr>
        <w:t>,</w:t>
      </w:r>
      <w:r w:rsidR="001655AE" w:rsidRPr="00B361C9">
        <w:rPr>
          <w:rFonts w:cs="Times New Roman"/>
          <w:sz w:val="22"/>
        </w:rPr>
        <w:t xml:space="preserve"> as well as</w:t>
      </w:r>
      <w:r w:rsidR="001655AE">
        <w:rPr>
          <w:rFonts w:cs="Times New Roman"/>
          <w:sz w:val="22"/>
        </w:rPr>
        <w:t xml:space="preserve"> </w:t>
      </w:r>
      <w:r w:rsidR="001655AE" w:rsidRPr="00B361C9">
        <w:rPr>
          <w:rFonts w:cs="Times New Roman"/>
          <w:sz w:val="22"/>
        </w:rPr>
        <w:t>the certified purificat</w:t>
      </w:r>
      <w:r w:rsidR="001655AE">
        <w:rPr>
          <w:rFonts w:cs="Times New Roman"/>
          <w:sz w:val="22"/>
        </w:rPr>
        <w:t>ion date, allow this standar</w:t>
      </w:r>
      <w:r w:rsidR="001655AE" w:rsidRPr="00B361C9">
        <w:rPr>
          <w:rFonts w:cs="Times New Roman"/>
          <w:sz w:val="22"/>
        </w:rPr>
        <w:t xml:space="preserve">d to be used in many more applications and provide the traceability </w:t>
      </w:r>
      <w:r w:rsidR="007632ED">
        <w:rPr>
          <w:rFonts w:cs="Times New Roman"/>
          <w:sz w:val="22"/>
        </w:rPr>
        <w:t xml:space="preserve">that </w:t>
      </w:r>
      <w:r w:rsidR="001655AE" w:rsidRPr="00B361C9">
        <w:rPr>
          <w:rFonts w:cs="Times New Roman"/>
          <w:sz w:val="22"/>
        </w:rPr>
        <w:t>many new forensic methods require.</w:t>
      </w:r>
    </w:p>
    <w:p w:rsidR="002440DA" w:rsidRDefault="002440DA" w:rsidP="008151E8">
      <w:pPr>
        <w:spacing w:line="240" w:lineRule="auto"/>
        <w:rPr>
          <w:rFonts w:cs="Times New Roman"/>
          <w:sz w:val="22"/>
        </w:rPr>
      </w:pPr>
      <w:r>
        <w:rPr>
          <w:rFonts w:cs="Times New Roman"/>
          <w:sz w:val="22"/>
        </w:rPr>
        <w:t>2.3</w:t>
      </w:r>
      <w:r>
        <w:rPr>
          <w:rFonts w:cs="Times New Roman"/>
          <w:sz w:val="22"/>
        </w:rPr>
        <w:tab/>
      </w:r>
      <w:r w:rsidRPr="002440DA">
        <w:rPr>
          <w:rFonts w:cs="Times New Roman"/>
          <w:i/>
          <w:sz w:val="22"/>
        </w:rPr>
        <w:t>Production</w:t>
      </w:r>
    </w:p>
    <w:p w:rsidR="004C336D" w:rsidRDefault="00A06EB9" w:rsidP="008151E8">
      <w:pPr>
        <w:spacing w:line="240" w:lineRule="auto"/>
        <w:rPr>
          <w:rFonts w:cs="Times New Roman"/>
          <w:sz w:val="22"/>
        </w:rPr>
      </w:pPr>
      <w:r w:rsidRPr="00B361C9">
        <w:rPr>
          <w:rFonts w:cs="Times New Roman"/>
          <w:sz w:val="22"/>
        </w:rPr>
        <w:t xml:space="preserve">Finally, the most difficult and costly approach is to </w:t>
      </w:r>
      <w:r w:rsidR="005C0BD2" w:rsidRPr="00B361C9">
        <w:rPr>
          <w:rFonts w:cs="Times New Roman"/>
          <w:sz w:val="22"/>
        </w:rPr>
        <w:t>produce</w:t>
      </w:r>
      <w:r w:rsidRPr="00B361C9">
        <w:rPr>
          <w:rFonts w:cs="Times New Roman"/>
          <w:sz w:val="22"/>
        </w:rPr>
        <w:t xml:space="preserve"> new </w:t>
      </w:r>
      <w:r w:rsidR="005C0BD2" w:rsidRPr="00B361C9">
        <w:rPr>
          <w:rFonts w:cs="Times New Roman"/>
          <w:sz w:val="22"/>
        </w:rPr>
        <w:t>RM</w:t>
      </w:r>
      <w:r w:rsidRPr="00B361C9">
        <w:rPr>
          <w:rFonts w:cs="Times New Roman"/>
          <w:sz w:val="22"/>
        </w:rPr>
        <w:t xml:space="preserve">s.  The analytical chemistry group and the wider </w:t>
      </w:r>
      <w:r w:rsidR="00C20E74" w:rsidRPr="00B361C9">
        <w:rPr>
          <w:rFonts w:cs="Times New Roman"/>
          <w:sz w:val="22"/>
        </w:rPr>
        <w:t>L</w:t>
      </w:r>
      <w:r w:rsidR="005C0BD2" w:rsidRPr="00B361C9">
        <w:rPr>
          <w:rFonts w:cs="Times New Roman"/>
          <w:sz w:val="22"/>
        </w:rPr>
        <w:t xml:space="preserve">os Alamos assets </w:t>
      </w:r>
      <w:r w:rsidRPr="00B361C9">
        <w:rPr>
          <w:rFonts w:cs="Times New Roman"/>
          <w:sz w:val="22"/>
        </w:rPr>
        <w:t xml:space="preserve">have been involved in the </w:t>
      </w:r>
      <w:r w:rsidR="00331446" w:rsidRPr="00B361C9">
        <w:rPr>
          <w:rFonts w:cs="Times New Roman"/>
          <w:sz w:val="22"/>
        </w:rPr>
        <w:t xml:space="preserve">production </w:t>
      </w:r>
      <w:r w:rsidRPr="00B361C9">
        <w:rPr>
          <w:rFonts w:cs="Times New Roman"/>
          <w:sz w:val="22"/>
        </w:rPr>
        <w:t xml:space="preserve">and </w:t>
      </w:r>
      <w:r w:rsidR="00331446" w:rsidRPr="00B361C9">
        <w:rPr>
          <w:rFonts w:cs="Times New Roman"/>
          <w:sz w:val="22"/>
        </w:rPr>
        <w:t xml:space="preserve">independent </w:t>
      </w:r>
      <w:r w:rsidRPr="00B361C9">
        <w:rPr>
          <w:rFonts w:cs="Times New Roman"/>
          <w:sz w:val="22"/>
        </w:rPr>
        <w:t xml:space="preserve">characterization of </w:t>
      </w:r>
      <w:r w:rsidR="00635742">
        <w:rPr>
          <w:rFonts w:cs="Times New Roman"/>
          <w:sz w:val="22"/>
        </w:rPr>
        <w:t>Pu</w:t>
      </w:r>
      <w:r w:rsidRPr="00B361C9">
        <w:rPr>
          <w:rFonts w:cs="Times New Roman"/>
          <w:sz w:val="22"/>
        </w:rPr>
        <w:t xml:space="preserve">-based </w:t>
      </w:r>
      <w:r w:rsidR="00331446" w:rsidRPr="00B361C9">
        <w:rPr>
          <w:rFonts w:cs="Times New Roman"/>
          <w:sz w:val="22"/>
        </w:rPr>
        <w:t>RMs</w:t>
      </w:r>
      <w:r w:rsidR="00452DD0">
        <w:rPr>
          <w:rFonts w:cs="Times New Roman"/>
          <w:sz w:val="22"/>
        </w:rPr>
        <w:t xml:space="preserve"> – </w:t>
      </w:r>
      <w:r w:rsidR="007632ED">
        <w:rPr>
          <w:rFonts w:cs="Times New Roman"/>
          <w:sz w:val="22"/>
        </w:rPr>
        <w:t>f</w:t>
      </w:r>
      <w:r w:rsidR="00331446" w:rsidRPr="00B361C9">
        <w:rPr>
          <w:rFonts w:cs="Times New Roman"/>
          <w:sz w:val="22"/>
        </w:rPr>
        <w:t xml:space="preserve">or  </w:t>
      </w:r>
      <w:r w:rsidR="001655AE" w:rsidRPr="00B361C9">
        <w:rPr>
          <w:rFonts w:cs="Times New Roman"/>
          <w:sz w:val="22"/>
        </w:rPr>
        <w:t>example,</w:t>
      </w:r>
      <w:r w:rsidR="00331446" w:rsidRPr="00B361C9">
        <w:rPr>
          <w:rFonts w:cs="Times New Roman"/>
          <w:sz w:val="22"/>
        </w:rPr>
        <w:t xml:space="preserve"> the</w:t>
      </w:r>
      <w:r w:rsidRPr="00B361C9">
        <w:rPr>
          <w:rFonts w:cs="Times New Roman"/>
          <w:sz w:val="22"/>
        </w:rPr>
        <w:t xml:space="preserve"> </w:t>
      </w:r>
      <w:r w:rsidR="00331446" w:rsidRPr="00B361C9">
        <w:rPr>
          <w:rFonts w:cs="Times New Roman"/>
          <w:sz w:val="22"/>
        </w:rPr>
        <w:t xml:space="preserve">Pu metal CRM126a </w:t>
      </w:r>
      <w:r w:rsidR="00452DD0">
        <w:rPr>
          <w:rFonts w:cs="Times New Roman"/>
          <w:sz w:val="22"/>
        </w:rPr>
        <w:t>(</w:t>
      </w:r>
      <w:r w:rsidR="00331446" w:rsidRPr="00B361C9">
        <w:rPr>
          <w:rFonts w:cs="Times New Roman"/>
          <w:sz w:val="22"/>
        </w:rPr>
        <w:t>an isotopic and assay standard</w:t>
      </w:r>
      <w:r w:rsidR="00452DD0">
        <w:rPr>
          <w:rFonts w:cs="Times New Roman"/>
          <w:sz w:val="22"/>
        </w:rPr>
        <w:t>)</w:t>
      </w:r>
      <w:r w:rsidR="00197EB0">
        <w:rPr>
          <w:rFonts w:cs="Times New Roman"/>
          <w:sz w:val="22"/>
        </w:rPr>
        <w:t xml:space="preserve"> was produced and certified in</w:t>
      </w:r>
      <w:r w:rsidR="007E3CFE">
        <w:rPr>
          <w:rFonts w:cs="Times New Roman"/>
          <w:sz w:val="22"/>
        </w:rPr>
        <w:t xml:space="preserve"> 2004</w:t>
      </w:r>
      <w:r w:rsidR="00331446" w:rsidRPr="00B361C9">
        <w:rPr>
          <w:rFonts w:cs="Times New Roman"/>
          <w:sz w:val="22"/>
        </w:rPr>
        <w:t>.</w:t>
      </w:r>
      <w:r w:rsidR="00670891">
        <w:rPr>
          <w:rFonts w:cs="Times New Roman"/>
          <w:sz w:val="22"/>
        </w:rPr>
        <w:t xml:space="preserve"> </w:t>
      </w:r>
      <w:r w:rsidR="00670891" w:rsidRPr="00B361C9">
        <w:rPr>
          <w:rFonts w:cs="Times New Roman"/>
          <w:sz w:val="22"/>
        </w:rPr>
        <w:t xml:space="preserve"> </w:t>
      </w:r>
      <w:r w:rsidR="001655AE" w:rsidRPr="00B361C9">
        <w:rPr>
          <w:rFonts w:cs="Times New Roman"/>
          <w:sz w:val="22"/>
        </w:rPr>
        <w:t xml:space="preserve">More recently, LANL produced, packaged, and characterized two </w:t>
      </w:r>
      <w:r w:rsidR="00635742">
        <w:rPr>
          <w:rFonts w:cs="Times New Roman"/>
          <w:sz w:val="22"/>
        </w:rPr>
        <w:t>Pu</w:t>
      </w:r>
      <w:r w:rsidR="001655AE" w:rsidRPr="00B361C9">
        <w:rPr>
          <w:rFonts w:cs="Times New Roman"/>
          <w:sz w:val="22"/>
        </w:rPr>
        <w:t xml:space="preserve"> </w:t>
      </w:r>
      <w:r w:rsidR="008303BA" w:rsidRPr="00B361C9">
        <w:rPr>
          <w:rFonts w:cs="Times New Roman"/>
          <w:sz w:val="22"/>
        </w:rPr>
        <w:t>oxide</w:t>
      </w:r>
      <w:r w:rsidR="001655AE" w:rsidRPr="00B361C9">
        <w:rPr>
          <w:rFonts w:cs="Times New Roman"/>
          <w:sz w:val="22"/>
        </w:rPr>
        <w:t xml:space="preserve"> reference materials. </w:t>
      </w:r>
      <w:r w:rsidR="007632ED">
        <w:rPr>
          <w:rFonts w:cs="Times New Roman"/>
          <w:sz w:val="22"/>
        </w:rPr>
        <w:t xml:space="preserve"> </w:t>
      </w:r>
      <w:r w:rsidR="00331446" w:rsidRPr="00B361C9">
        <w:rPr>
          <w:rFonts w:cs="Times New Roman"/>
          <w:sz w:val="22"/>
        </w:rPr>
        <w:t xml:space="preserve">These will be certified for </w:t>
      </w:r>
      <w:r w:rsidR="00D53F9E" w:rsidRPr="00B361C9">
        <w:rPr>
          <w:rFonts w:cs="Times New Roman"/>
          <w:sz w:val="22"/>
        </w:rPr>
        <w:t>t</w:t>
      </w:r>
      <w:r w:rsidRPr="00B361C9">
        <w:rPr>
          <w:rFonts w:cs="Times New Roman"/>
          <w:sz w:val="22"/>
        </w:rPr>
        <w:t>he trace actinide</w:t>
      </w:r>
      <w:r w:rsidR="00D53F9E" w:rsidRPr="00B361C9">
        <w:rPr>
          <w:rFonts w:cs="Times New Roman"/>
          <w:sz w:val="22"/>
        </w:rPr>
        <w:t>s</w:t>
      </w:r>
      <w:r w:rsidRPr="00B361C9">
        <w:rPr>
          <w:rFonts w:cs="Times New Roman"/>
          <w:sz w:val="22"/>
        </w:rPr>
        <w:t xml:space="preserve"> </w:t>
      </w:r>
      <w:r w:rsidR="00331446" w:rsidRPr="00B361C9">
        <w:rPr>
          <w:rFonts w:cs="Times New Roman"/>
          <w:sz w:val="22"/>
        </w:rPr>
        <w:t>in Pu along</w:t>
      </w:r>
      <w:r w:rsidR="006D7F2E" w:rsidRPr="00B361C9">
        <w:rPr>
          <w:rFonts w:cs="Times New Roman"/>
          <w:sz w:val="22"/>
        </w:rPr>
        <w:t xml:space="preserve"> with</w:t>
      </w:r>
      <w:r w:rsidR="00D53F9E" w:rsidRPr="00B361C9">
        <w:rPr>
          <w:rFonts w:cs="Times New Roman"/>
          <w:sz w:val="22"/>
        </w:rPr>
        <w:t xml:space="preserve"> </w:t>
      </w:r>
      <w:r w:rsidRPr="00B361C9">
        <w:rPr>
          <w:rFonts w:cs="Times New Roman"/>
          <w:sz w:val="22"/>
        </w:rPr>
        <w:t xml:space="preserve">Pu assay and isotopic compositions.  </w:t>
      </w:r>
    </w:p>
    <w:p w:rsidR="008C0F92" w:rsidRDefault="000A61AE" w:rsidP="008151E8">
      <w:pPr>
        <w:spacing w:line="240" w:lineRule="auto"/>
        <w:rPr>
          <w:rFonts w:cs="Times New Roman"/>
          <w:sz w:val="22"/>
        </w:rPr>
      </w:pPr>
      <w:r w:rsidRPr="000A61AE">
        <w:rPr>
          <w:rFonts w:cs="Times New Roman"/>
          <w:sz w:val="22"/>
        </w:rPr>
        <w:t>The first proposed RM material started as doubly electro</w:t>
      </w:r>
      <w:r w:rsidR="006F003D">
        <w:rPr>
          <w:rFonts w:cs="Times New Roman"/>
          <w:sz w:val="22"/>
        </w:rPr>
        <w:t>-</w:t>
      </w:r>
      <w:r w:rsidRPr="000A61AE">
        <w:rPr>
          <w:rFonts w:cs="Times New Roman"/>
          <w:sz w:val="22"/>
        </w:rPr>
        <w:t xml:space="preserve">refined (very high purity) </w:t>
      </w:r>
      <w:r w:rsidR="006F003D">
        <w:rPr>
          <w:rFonts w:cs="Times New Roman"/>
          <w:sz w:val="22"/>
        </w:rPr>
        <w:t xml:space="preserve">Pu </w:t>
      </w:r>
      <w:r w:rsidRPr="000A61AE">
        <w:rPr>
          <w:rFonts w:cs="Times New Roman"/>
          <w:sz w:val="22"/>
        </w:rPr>
        <w:t>metal</w:t>
      </w:r>
      <w:r w:rsidR="00A06EB9" w:rsidRPr="00B361C9">
        <w:rPr>
          <w:rFonts w:cs="Times New Roman"/>
          <w:sz w:val="22"/>
        </w:rPr>
        <w:t xml:space="preserve">. </w:t>
      </w:r>
      <w:r>
        <w:rPr>
          <w:rFonts w:cs="Times New Roman"/>
          <w:sz w:val="22"/>
        </w:rPr>
        <w:t xml:space="preserve"> </w:t>
      </w:r>
      <w:r w:rsidR="00A06EB9" w:rsidRPr="00B361C9">
        <w:rPr>
          <w:rFonts w:cs="Times New Roman"/>
          <w:sz w:val="22"/>
        </w:rPr>
        <w:t xml:space="preserve">This material was converted to oxide by exposure to air.  The second proposed RM material was prepared from kilogram quantities of </w:t>
      </w:r>
      <w:r w:rsidR="00893BC5" w:rsidRPr="00B361C9">
        <w:rPr>
          <w:rFonts w:cs="Times New Roman"/>
          <w:sz w:val="22"/>
        </w:rPr>
        <w:t>oxide</w:t>
      </w:r>
      <w:r w:rsidR="00A06EB9" w:rsidRPr="00B361C9">
        <w:rPr>
          <w:rFonts w:cs="Times New Roman"/>
          <w:sz w:val="22"/>
        </w:rPr>
        <w:t xml:space="preserve"> that </w:t>
      </w:r>
      <w:r w:rsidR="00893BC5" w:rsidRPr="00B361C9">
        <w:rPr>
          <w:rFonts w:cs="Times New Roman"/>
          <w:sz w:val="22"/>
        </w:rPr>
        <w:t xml:space="preserve">went through extensive </w:t>
      </w:r>
      <w:r w:rsidR="007632ED" w:rsidRPr="00B361C9">
        <w:rPr>
          <w:rFonts w:cs="Times New Roman"/>
          <w:sz w:val="22"/>
        </w:rPr>
        <w:t>cleanup</w:t>
      </w:r>
      <w:r w:rsidR="00893BC5" w:rsidRPr="00B361C9">
        <w:rPr>
          <w:rFonts w:cs="Times New Roman"/>
          <w:sz w:val="22"/>
        </w:rPr>
        <w:t xml:space="preserve"> </w:t>
      </w:r>
      <w:r w:rsidR="00197EB0">
        <w:rPr>
          <w:rFonts w:cs="Times New Roman"/>
          <w:sz w:val="22"/>
        </w:rPr>
        <w:t xml:space="preserve">for actinides and trace element </w:t>
      </w:r>
      <w:r w:rsidR="00893BC5" w:rsidRPr="00B361C9">
        <w:rPr>
          <w:rFonts w:cs="Times New Roman"/>
          <w:sz w:val="22"/>
        </w:rPr>
        <w:t>including</w:t>
      </w:r>
      <w:r w:rsidR="00D53F9E" w:rsidRPr="00B361C9">
        <w:rPr>
          <w:rFonts w:cs="Times New Roman"/>
          <w:sz w:val="22"/>
        </w:rPr>
        <w:t xml:space="preserve"> dissolution and</w:t>
      </w:r>
      <w:r w:rsidR="00893BC5" w:rsidRPr="00B361C9">
        <w:rPr>
          <w:rFonts w:cs="Times New Roman"/>
          <w:sz w:val="22"/>
        </w:rPr>
        <w:t xml:space="preserve"> ion exchange followed by </w:t>
      </w:r>
      <w:r w:rsidR="00A06EB9" w:rsidRPr="00B361C9">
        <w:rPr>
          <w:rFonts w:cs="Times New Roman"/>
          <w:sz w:val="22"/>
        </w:rPr>
        <w:t xml:space="preserve">oxalate </w:t>
      </w:r>
      <w:r w:rsidR="001A08A4" w:rsidRPr="00B361C9">
        <w:rPr>
          <w:rFonts w:cs="Times New Roman"/>
          <w:sz w:val="22"/>
        </w:rPr>
        <w:t>precipitati</w:t>
      </w:r>
      <w:r w:rsidR="00893BC5" w:rsidRPr="00B361C9">
        <w:rPr>
          <w:rFonts w:cs="Times New Roman"/>
          <w:sz w:val="22"/>
        </w:rPr>
        <w:t>on</w:t>
      </w:r>
      <w:r w:rsidR="001A08A4" w:rsidRPr="00B361C9">
        <w:rPr>
          <w:rFonts w:cs="Times New Roman"/>
          <w:sz w:val="22"/>
        </w:rPr>
        <w:t xml:space="preserve"> </w:t>
      </w:r>
      <w:r w:rsidR="00893BC5" w:rsidRPr="00B361C9">
        <w:rPr>
          <w:rFonts w:cs="Times New Roman"/>
          <w:sz w:val="22"/>
        </w:rPr>
        <w:t>and</w:t>
      </w:r>
      <w:r w:rsidR="00A06EB9" w:rsidRPr="00B361C9">
        <w:rPr>
          <w:rFonts w:cs="Times New Roman"/>
          <w:sz w:val="22"/>
        </w:rPr>
        <w:t xml:space="preserve"> oxide conversion.  In both </w:t>
      </w:r>
      <w:r w:rsidR="00A50421" w:rsidRPr="00B361C9">
        <w:rPr>
          <w:rFonts w:cs="Times New Roman"/>
          <w:sz w:val="22"/>
        </w:rPr>
        <w:t>case</w:t>
      </w:r>
      <w:r w:rsidR="00893BC5" w:rsidRPr="00B361C9">
        <w:rPr>
          <w:rFonts w:cs="Times New Roman"/>
          <w:sz w:val="22"/>
        </w:rPr>
        <w:t>s</w:t>
      </w:r>
      <w:r w:rsidR="00A06EB9" w:rsidRPr="00B361C9">
        <w:rPr>
          <w:rFonts w:cs="Times New Roman"/>
          <w:sz w:val="22"/>
        </w:rPr>
        <w:t xml:space="preserve">, the entire </w:t>
      </w:r>
      <w:r w:rsidR="004C336D">
        <w:rPr>
          <w:rFonts w:cs="Times New Roman"/>
          <w:sz w:val="22"/>
        </w:rPr>
        <w:t>processing</w:t>
      </w:r>
      <w:r w:rsidR="00A06EB9" w:rsidRPr="00B361C9">
        <w:rPr>
          <w:rFonts w:cs="Times New Roman"/>
          <w:sz w:val="22"/>
        </w:rPr>
        <w:t xml:space="preserve"> history of the material is known </w:t>
      </w:r>
      <w:r w:rsidR="00893BC5" w:rsidRPr="00B361C9">
        <w:rPr>
          <w:rFonts w:cs="Times New Roman"/>
          <w:sz w:val="22"/>
        </w:rPr>
        <w:t xml:space="preserve">including the dates </w:t>
      </w:r>
      <w:r w:rsidR="00ED7EC1">
        <w:rPr>
          <w:rFonts w:cs="Times New Roman"/>
          <w:sz w:val="22"/>
        </w:rPr>
        <w:t xml:space="preserve">of </w:t>
      </w:r>
      <w:r w:rsidR="00893BC5" w:rsidRPr="00B361C9">
        <w:rPr>
          <w:rFonts w:cs="Times New Roman"/>
          <w:sz w:val="22"/>
        </w:rPr>
        <w:t xml:space="preserve"> chemical separation</w:t>
      </w:r>
      <w:r w:rsidR="00A06EB9" w:rsidRPr="00B361C9">
        <w:rPr>
          <w:rFonts w:cs="Times New Roman"/>
          <w:sz w:val="22"/>
        </w:rPr>
        <w:t>.  Both RM</w:t>
      </w:r>
      <w:r w:rsidR="009C409E">
        <w:rPr>
          <w:rFonts w:cs="Times New Roman"/>
          <w:sz w:val="22"/>
        </w:rPr>
        <w:t>s</w:t>
      </w:r>
      <w:r w:rsidR="00A06EB9" w:rsidRPr="00B361C9">
        <w:rPr>
          <w:rFonts w:cs="Times New Roman"/>
          <w:sz w:val="22"/>
        </w:rPr>
        <w:t xml:space="preserve"> were stabilized by </w:t>
      </w:r>
      <w:r w:rsidR="003048A3" w:rsidRPr="00B361C9">
        <w:rPr>
          <w:rFonts w:cs="Times New Roman"/>
          <w:sz w:val="22"/>
        </w:rPr>
        <w:t xml:space="preserve">calcining with slow ramp </w:t>
      </w:r>
      <w:r w:rsidR="00A06EB9" w:rsidRPr="00B361C9">
        <w:rPr>
          <w:rFonts w:cs="Times New Roman"/>
          <w:sz w:val="22"/>
        </w:rPr>
        <w:t xml:space="preserve">heating </w:t>
      </w:r>
      <w:r w:rsidR="003048A3" w:rsidRPr="00B361C9">
        <w:rPr>
          <w:rFonts w:cs="Times New Roman"/>
          <w:sz w:val="22"/>
        </w:rPr>
        <w:t xml:space="preserve">and then holding the </w:t>
      </w:r>
      <w:r w:rsidR="00D53F9E" w:rsidRPr="00B361C9">
        <w:rPr>
          <w:rFonts w:cs="Times New Roman"/>
          <w:sz w:val="22"/>
        </w:rPr>
        <w:t xml:space="preserve">final </w:t>
      </w:r>
      <w:r w:rsidR="003048A3" w:rsidRPr="00B361C9">
        <w:rPr>
          <w:rFonts w:cs="Times New Roman"/>
          <w:sz w:val="22"/>
        </w:rPr>
        <w:t xml:space="preserve">temperature </w:t>
      </w:r>
      <w:r w:rsidR="00A06EB9" w:rsidRPr="00B361C9">
        <w:rPr>
          <w:rFonts w:cs="Times New Roman"/>
          <w:sz w:val="22"/>
        </w:rPr>
        <w:t xml:space="preserve">for </w:t>
      </w:r>
      <w:r w:rsidR="003048A3" w:rsidRPr="00B361C9">
        <w:rPr>
          <w:rFonts w:cs="Times New Roman"/>
          <w:sz w:val="22"/>
        </w:rPr>
        <w:t xml:space="preserve">two </w:t>
      </w:r>
      <w:r w:rsidR="00A06EB9" w:rsidRPr="00B361C9">
        <w:rPr>
          <w:rFonts w:cs="Times New Roman"/>
          <w:sz w:val="22"/>
        </w:rPr>
        <w:t>hours</w:t>
      </w:r>
      <w:r w:rsidR="00D53F9E" w:rsidRPr="00B361C9">
        <w:rPr>
          <w:rFonts w:cs="Times New Roman"/>
          <w:sz w:val="22"/>
        </w:rPr>
        <w:t xml:space="preserve"> at</w:t>
      </w:r>
      <w:r w:rsidR="00A06EB9" w:rsidRPr="00B361C9">
        <w:rPr>
          <w:rFonts w:cs="Times New Roman"/>
          <w:sz w:val="22"/>
        </w:rPr>
        <w:t xml:space="preserve"> 750 </w:t>
      </w:r>
      <w:r w:rsidR="00A06EB9" w:rsidRPr="00B361C9">
        <w:rPr>
          <w:rFonts w:cs="Times New Roman"/>
          <w:sz w:val="22"/>
          <w:vertAlign w:val="superscript"/>
        </w:rPr>
        <w:t>o</w:t>
      </w:r>
      <w:r w:rsidR="00A06EB9" w:rsidRPr="00B361C9">
        <w:rPr>
          <w:rFonts w:cs="Times New Roman"/>
          <w:sz w:val="22"/>
        </w:rPr>
        <w:t xml:space="preserve">C and 650 </w:t>
      </w:r>
      <w:r w:rsidR="00A06EB9" w:rsidRPr="00B361C9">
        <w:rPr>
          <w:rFonts w:cs="Times New Roman"/>
          <w:sz w:val="22"/>
          <w:vertAlign w:val="superscript"/>
        </w:rPr>
        <w:t>o</w:t>
      </w:r>
      <w:r w:rsidR="00A06EB9" w:rsidRPr="00B361C9">
        <w:rPr>
          <w:rFonts w:cs="Times New Roman"/>
          <w:sz w:val="22"/>
        </w:rPr>
        <w:t>C</w:t>
      </w:r>
      <w:r w:rsidR="003048A3" w:rsidRPr="00B361C9">
        <w:rPr>
          <w:rFonts w:cs="Times New Roman"/>
          <w:sz w:val="22"/>
        </w:rPr>
        <w:t xml:space="preserve"> respectively</w:t>
      </w:r>
      <w:r w:rsidR="0048770C" w:rsidRPr="00B361C9">
        <w:rPr>
          <w:rFonts w:cs="Times New Roman"/>
          <w:sz w:val="22"/>
        </w:rPr>
        <w:t>.</w:t>
      </w:r>
      <w:r w:rsidR="00072E3A" w:rsidRPr="00B361C9">
        <w:rPr>
          <w:rFonts w:cs="Times New Roman"/>
          <w:sz w:val="22"/>
        </w:rPr>
        <w:t xml:space="preserve"> </w:t>
      </w:r>
      <w:r w:rsidR="00C43B57" w:rsidRPr="00B361C9">
        <w:rPr>
          <w:rFonts w:cs="Times New Roman"/>
          <w:sz w:val="22"/>
        </w:rPr>
        <w:t xml:space="preserve"> </w:t>
      </w:r>
      <w:r w:rsidR="003048A3" w:rsidRPr="00B361C9">
        <w:rPr>
          <w:rFonts w:cs="Times New Roman"/>
          <w:sz w:val="22"/>
        </w:rPr>
        <w:t>For relatively pure PuO</w:t>
      </w:r>
      <w:r w:rsidR="003048A3" w:rsidRPr="00B361C9">
        <w:rPr>
          <w:rFonts w:cs="Times New Roman"/>
          <w:sz w:val="22"/>
          <w:vertAlign w:val="subscript"/>
        </w:rPr>
        <w:t>2</w:t>
      </w:r>
      <w:r w:rsidR="003048A3" w:rsidRPr="00B361C9">
        <w:rPr>
          <w:rFonts w:cs="Times New Roman"/>
          <w:sz w:val="22"/>
        </w:rPr>
        <w:t xml:space="preserve"> RMs</w:t>
      </w:r>
      <w:r w:rsidR="00AF3562" w:rsidRPr="00B361C9">
        <w:rPr>
          <w:rFonts w:cs="Times New Roman"/>
          <w:sz w:val="22"/>
        </w:rPr>
        <w:t>,</w:t>
      </w:r>
      <w:r w:rsidR="003048A3" w:rsidRPr="00B361C9">
        <w:rPr>
          <w:rFonts w:cs="Times New Roman"/>
          <w:sz w:val="22"/>
        </w:rPr>
        <w:t xml:space="preserve"> </w:t>
      </w:r>
      <w:r w:rsidR="00D53F9E" w:rsidRPr="00B361C9">
        <w:rPr>
          <w:rFonts w:cs="Times New Roman"/>
          <w:sz w:val="22"/>
        </w:rPr>
        <w:t>these temperature</w:t>
      </w:r>
      <w:r w:rsidR="00AF3562" w:rsidRPr="00B361C9">
        <w:rPr>
          <w:rFonts w:cs="Times New Roman"/>
          <w:sz w:val="22"/>
        </w:rPr>
        <w:t>s ensure</w:t>
      </w:r>
      <w:r w:rsidR="00A06EB9" w:rsidRPr="00B361C9">
        <w:rPr>
          <w:rFonts w:cs="Times New Roman"/>
          <w:sz w:val="22"/>
        </w:rPr>
        <w:t xml:space="preserve"> </w:t>
      </w:r>
      <w:r w:rsidR="00D53F9E" w:rsidRPr="00B361C9">
        <w:rPr>
          <w:rFonts w:cs="Times New Roman"/>
          <w:sz w:val="22"/>
        </w:rPr>
        <w:t>the materials</w:t>
      </w:r>
      <w:r w:rsidR="00A06EB9" w:rsidRPr="00B361C9">
        <w:rPr>
          <w:rFonts w:cs="Times New Roman"/>
          <w:sz w:val="22"/>
        </w:rPr>
        <w:t xml:space="preserve"> are stable as determined by loss</w:t>
      </w:r>
      <w:r w:rsidR="004C336D">
        <w:rPr>
          <w:rFonts w:cs="Times New Roman"/>
          <w:sz w:val="22"/>
        </w:rPr>
        <w:t>-</w:t>
      </w:r>
      <w:r w:rsidR="00A06EB9" w:rsidRPr="00B361C9">
        <w:rPr>
          <w:rFonts w:cs="Times New Roman"/>
          <w:sz w:val="22"/>
        </w:rPr>
        <w:t>on</w:t>
      </w:r>
      <w:r w:rsidR="004C336D">
        <w:rPr>
          <w:rFonts w:cs="Times New Roman"/>
          <w:sz w:val="22"/>
        </w:rPr>
        <w:t>-</w:t>
      </w:r>
      <w:r w:rsidR="001655AE" w:rsidRPr="00B361C9">
        <w:rPr>
          <w:rFonts w:cs="Times New Roman"/>
          <w:sz w:val="22"/>
        </w:rPr>
        <w:t>ignition</w:t>
      </w:r>
      <w:r w:rsidR="004C336D">
        <w:rPr>
          <w:rFonts w:cs="Times New Roman"/>
          <w:sz w:val="22"/>
        </w:rPr>
        <w:t xml:space="preserve"> measurement</w:t>
      </w:r>
      <w:r w:rsidR="00FF3B2D">
        <w:rPr>
          <w:rFonts w:cs="Times New Roman"/>
          <w:sz w:val="22"/>
        </w:rPr>
        <w:t>.</w:t>
      </w:r>
      <w:r w:rsidR="00A06EB9" w:rsidRPr="00B361C9">
        <w:rPr>
          <w:rFonts w:cs="Times New Roman"/>
          <w:sz w:val="22"/>
        </w:rPr>
        <w:t xml:space="preserve">  Higher </w:t>
      </w:r>
      <w:r w:rsidR="004C336D">
        <w:rPr>
          <w:rFonts w:cs="Times New Roman"/>
          <w:sz w:val="22"/>
        </w:rPr>
        <w:t>calcination</w:t>
      </w:r>
      <w:r w:rsidR="00A06EB9" w:rsidRPr="00B361C9">
        <w:rPr>
          <w:rFonts w:cs="Times New Roman"/>
          <w:sz w:val="22"/>
        </w:rPr>
        <w:t xml:space="preserve"> temperatures could have been used</w:t>
      </w:r>
      <w:r w:rsidR="00AF3562" w:rsidRPr="00B361C9">
        <w:rPr>
          <w:rFonts w:cs="Times New Roman"/>
          <w:sz w:val="22"/>
        </w:rPr>
        <w:t>,</w:t>
      </w:r>
      <w:r w:rsidR="00A06EB9" w:rsidRPr="00B361C9">
        <w:rPr>
          <w:rFonts w:cs="Times New Roman"/>
          <w:sz w:val="22"/>
        </w:rPr>
        <w:t xml:space="preserve"> but</w:t>
      </w:r>
      <w:r w:rsidR="00E4128E" w:rsidRPr="00B361C9">
        <w:rPr>
          <w:rFonts w:cs="Times New Roman"/>
          <w:sz w:val="22"/>
        </w:rPr>
        <w:t xml:space="preserve"> </w:t>
      </w:r>
      <w:r w:rsidR="003048A3" w:rsidRPr="00B361C9">
        <w:rPr>
          <w:rFonts w:cs="Times New Roman"/>
          <w:sz w:val="22"/>
        </w:rPr>
        <w:t>this</w:t>
      </w:r>
      <w:r w:rsidR="00A06EB9" w:rsidRPr="00B361C9">
        <w:rPr>
          <w:rFonts w:cs="Times New Roman"/>
          <w:sz w:val="22"/>
        </w:rPr>
        <w:t xml:space="preserve"> can result in a material that is much more difficult to dissolve</w:t>
      </w:r>
      <w:r w:rsidR="003048A3" w:rsidRPr="00B361C9">
        <w:rPr>
          <w:rFonts w:cs="Times New Roman"/>
          <w:sz w:val="22"/>
        </w:rPr>
        <w:t xml:space="preserve"> with standard acid dissolution protocols utilized globally</w:t>
      </w:r>
      <w:r w:rsidR="00A06EB9" w:rsidRPr="00B361C9">
        <w:rPr>
          <w:rFonts w:cs="Times New Roman"/>
          <w:sz w:val="22"/>
        </w:rPr>
        <w:t>.  T</w:t>
      </w:r>
      <w:r w:rsidR="00A54089">
        <w:rPr>
          <w:rFonts w:cs="Times New Roman"/>
          <w:sz w:val="22"/>
        </w:rPr>
        <w:t xml:space="preserve">hese </w:t>
      </w:r>
      <w:r w:rsidR="00A06EB9" w:rsidRPr="00B361C9">
        <w:rPr>
          <w:rFonts w:cs="Times New Roman"/>
          <w:sz w:val="22"/>
        </w:rPr>
        <w:t>temperatures</w:t>
      </w:r>
      <w:r w:rsidR="00A54089">
        <w:rPr>
          <w:rFonts w:cs="Times New Roman"/>
          <w:sz w:val="22"/>
        </w:rPr>
        <w:t xml:space="preserve"> are high enough to</w:t>
      </w:r>
      <w:r w:rsidR="003048A3" w:rsidRPr="00B361C9">
        <w:rPr>
          <w:rFonts w:cs="Times New Roman"/>
          <w:sz w:val="22"/>
        </w:rPr>
        <w:t xml:space="preserve"> </w:t>
      </w:r>
      <w:r w:rsidR="00FF3B2D">
        <w:rPr>
          <w:rFonts w:cs="Times New Roman"/>
          <w:sz w:val="22"/>
        </w:rPr>
        <w:t>e</w:t>
      </w:r>
      <w:r w:rsidR="00FF3B2D" w:rsidRPr="00B361C9">
        <w:rPr>
          <w:rFonts w:cs="Times New Roman"/>
          <w:sz w:val="22"/>
        </w:rPr>
        <w:t xml:space="preserve">nsure </w:t>
      </w:r>
      <w:r w:rsidR="00A06EB9" w:rsidRPr="00B361C9">
        <w:rPr>
          <w:rFonts w:cs="Times New Roman"/>
          <w:sz w:val="22"/>
        </w:rPr>
        <w:t xml:space="preserve">the </w:t>
      </w:r>
      <w:r w:rsidR="003048A3" w:rsidRPr="00B361C9">
        <w:rPr>
          <w:rFonts w:cs="Times New Roman"/>
          <w:sz w:val="22"/>
        </w:rPr>
        <w:t>RMs</w:t>
      </w:r>
      <w:r w:rsidR="00A06EB9" w:rsidRPr="00B361C9">
        <w:rPr>
          <w:rFonts w:cs="Times New Roman"/>
          <w:sz w:val="22"/>
        </w:rPr>
        <w:t xml:space="preserve"> remain stable over time</w:t>
      </w:r>
      <w:r w:rsidR="003048A3" w:rsidRPr="00B361C9">
        <w:rPr>
          <w:rFonts w:cs="Times New Roman"/>
          <w:sz w:val="22"/>
        </w:rPr>
        <w:t xml:space="preserve"> in the current storage/packaging environment</w:t>
      </w:r>
      <w:r w:rsidR="00A06EB9" w:rsidRPr="00B361C9">
        <w:rPr>
          <w:rFonts w:cs="Times New Roman"/>
          <w:sz w:val="22"/>
        </w:rPr>
        <w:t>.</w:t>
      </w:r>
      <w:r w:rsidR="00406154">
        <w:rPr>
          <w:rFonts w:cs="Times New Roman"/>
          <w:sz w:val="22"/>
        </w:rPr>
        <w:t xml:space="preserve"> </w:t>
      </w:r>
    </w:p>
    <w:p w:rsidR="002B2A8D" w:rsidRPr="00B361C9" w:rsidRDefault="00A06EB9" w:rsidP="008151E8">
      <w:pPr>
        <w:spacing w:line="240" w:lineRule="auto"/>
        <w:rPr>
          <w:rFonts w:cs="Times New Roman"/>
          <w:sz w:val="22"/>
        </w:rPr>
      </w:pPr>
      <w:r w:rsidRPr="00B361C9">
        <w:rPr>
          <w:rFonts w:cs="Times New Roman"/>
          <w:sz w:val="22"/>
        </w:rPr>
        <w:t>These</w:t>
      </w:r>
      <w:r w:rsidR="00E4128E" w:rsidRPr="00B361C9">
        <w:rPr>
          <w:rFonts w:cs="Times New Roman"/>
          <w:sz w:val="22"/>
        </w:rPr>
        <w:t xml:space="preserve"> </w:t>
      </w:r>
      <w:r w:rsidR="00FF3B2D">
        <w:rPr>
          <w:rFonts w:cs="Times New Roman"/>
          <w:sz w:val="22"/>
        </w:rPr>
        <w:t>new RMs</w:t>
      </w:r>
      <w:r w:rsidRPr="00B361C9">
        <w:rPr>
          <w:rFonts w:cs="Times New Roman"/>
          <w:sz w:val="22"/>
        </w:rPr>
        <w:t xml:space="preserve"> were </w:t>
      </w:r>
      <w:r w:rsidR="00B7145A">
        <w:rPr>
          <w:rFonts w:cs="Times New Roman"/>
          <w:sz w:val="22"/>
        </w:rPr>
        <w:t>portioned</w:t>
      </w:r>
      <w:r w:rsidRPr="00B361C9">
        <w:rPr>
          <w:rFonts w:cs="Times New Roman"/>
          <w:sz w:val="22"/>
        </w:rPr>
        <w:t xml:space="preserve"> in labeled</w:t>
      </w:r>
      <w:r w:rsidR="00ED7EC1">
        <w:rPr>
          <w:rFonts w:cs="Times New Roman"/>
          <w:sz w:val="22"/>
        </w:rPr>
        <w:t>,</w:t>
      </w:r>
      <w:r w:rsidRPr="00B361C9">
        <w:rPr>
          <w:rFonts w:cs="Times New Roman"/>
          <w:sz w:val="22"/>
        </w:rPr>
        <w:t xml:space="preserve"> </w:t>
      </w:r>
      <w:r w:rsidR="00670891">
        <w:rPr>
          <w:rFonts w:cs="Times New Roman"/>
          <w:sz w:val="22"/>
        </w:rPr>
        <w:t xml:space="preserve">sealed </w:t>
      </w:r>
      <w:r w:rsidRPr="00B361C9">
        <w:rPr>
          <w:rFonts w:cs="Times New Roman"/>
          <w:sz w:val="22"/>
        </w:rPr>
        <w:t xml:space="preserve">containers.  Each container </w:t>
      </w:r>
      <w:r w:rsidR="00FF3B2D">
        <w:rPr>
          <w:rFonts w:cs="Times New Roman"/>
          <w:sz w:val="22"/>
        </w:rPr>
        <w:t>h</w:t>
      </w:r>
      <w:r w:rsidR="00ED7EC1">
        <w:rPr>
          <w:rFonts w:cs="Times New Roman"/>
          <w:sz w:val="22"/>
        </w:rPr>
        <w:t>e</w:t>
      </w:r>
      <w:r w:rsidR="00FF3B2D">
        <w:rPr>
          <w:rFonts w:cs="Times New Roman"/>
          <w:sz w:val="22"/>
        </w:rPr>
        <w:t>ld</w:t>
      </w:r>
      <w:r w:rsidR="00FF3B2D" w:rsidRPr="00B361C9">
        <w:rPr>
          <w:rFonts w:cs="Times New Roman"/>
          <w:sz w:val="22"/>
        </w:rPr>
        <w:t xml:space="preserve"> </w:t>
      </w:r>
      <w:r w:rsidRPr="00B361C9">
        <w:rPr>
          <w:rFonts w:cs="Times New Roman"/>
          <w:sz w:val="22"/>
        </w:rPr>
        <w:t xml:space="preserve">between 160 to 200 mg of </w:t>
      </w:r>
      <w:r w:rsidR="00B7145A">
        <w:rPr>
          <w:rFonts w:cs="Times New Roman"/>
          <w:sz w:val="22"/>
        </w:rPr>
        <w:t xml:space="preserve">Pu </w:t>
      </w:r>
      <w:r w:rsidR="00AF3562" w:rsidRPr="00B361C9">
        <w:rPr>
          <w:rFonts w:cs="Times New Roman"/>
          <w:sz w:val="22"/>
        </w:rPr>
        <w:t>oxide</w:t>
      </w:r>
      <w:r w:rsidR="00406154">
        <w:rPr>
          <w:rFonts w:cs="Times New Roman"/>
          <w:sz w:val="22"/>
        </w:rPr>
        <w:t xml:space="preserve"> </w:t>
      </w:r>
      <w:r w:rsidR="00ED7EC1">
        <w:rPr>
          <w:rFonts w:cs="Times New Roman"/>
          <w:sz w:val="22"/>
        </w:rPr>
        <w:t>with</w:t>
      </w:r>
      <w:r w:rsidR="00670891">
        <w:rPr>
          <w:rFonts w:cs="Times New Roman"/>
          <w:sz w:val="22"/>
        </w:rPr>
        <w:t xml:space="preserve"> 150 units total </w:t>
      </w:r>
      <w:r w:rsidR="00406154">
        <w:rPr>
          <w:rFonts w:cs="Times New Roman"/>
          <w:sz w:val="22"/>
        </w:rPr>
        <w:t>prepared</w:t>
      </w:r>
      <w:r w:rsidRPr="00B361C9">
        <w:rPr>
          <w:rFonts w:cs="Times New Roman"/>
          <w:sz w:val="22"/>
        </w:rPr>
        <w:t xml:space="preserve">.  Characterization measurements were performed using </w:t>
      </w:r>
      <w:r w:rsidR="003048A3" w:rsidRPr="00B361C9">
        <w:rPr>
          <w:rFonts w:cs="Times New Roman"/>
          <w:sz w:val="22"/>
        </w:rPr>
        <w:t xml:space="preserve">analysis </w:t>
      </w:r>
      <w:r w:rsidRPr="00B361C9">
        <w:rPr>
          <w:rFonts w:cs="Times New Roman"/>
          <w:sz w:val="22"/>
        </w:rPr>
        <w:t>protocols developed with NBL that ensure</w:t>
      </w:r>
      <w:r w:rsidR="00ED7EC1">
        <w:rPr>
          <w:rFonts w:cs="Times New Roman"/>
          <w:sz w:val="22"/>
        </w:rPr>
        <w:t>d</w:t>
      </w:r>
      <w:r w:rsidRPr="00B361C9">
        <w:rPr>
          <w:rFonts w:cs="Times New Roman"/>
          <w:sz w:val="22"/>
        </w:rPr>
        <w:t xml:space="preserve"> high quality results </w:t>
      </w:r>
      <w:r w:rsidR="00B7145A">
        <w:rPr>
          <w:rFonts w:cs="Times New Roman"/>
          <w:sz w:val="22"/>
        </w:rPr>
        <w:t>with</w:t>
      </w:r>
      <w:r w:rsidRPr="00B361C9">
        <w:rPr>
          <w:rFonts w:cs="Times New Roman"/>
          <w:sz w:val="22"/>
        </w:rPr>
        <w:t xml:space="preserve"> traceability to existing certified standards.</w:t>
      </w:r>
      <w:r w:rsidR="0083283D">
        <w:rPr>
          <w:rFonts w:cs="Times New Roman"/>
          <w:sz w:val="22"/>
        </w:rPr>
        <w:t xml:space="preserve"> </w:t>
      </w:r>
      <w:r w:rsidR="005E0530" w:rsidRPr="00B361C9">
        <w:rPr>
          <w:rFonts w:cs="Times New Roman"/>
          <w:sz w:val="22"/>
        </w:rPr>
        <w:t xml:space="preserve"> </w:t>
      </w:r>
      <w:r w:rsidR="002856C5" w:rsidRPr="00B361C9">
        <w:rPr>
          <w:rFonts w:cs="Times New Roman"/>
          <w:sz w:val="22"/>
        </w:rPr>
        <w:t>T</w:t>
      </w:r>
      <w:r w:rsidR="00AD4955" w:rsidRPr="00B361C9">
        <w:rPr>
          <w:rFonts w:cs="Times New Roman"/>
          <w:sz w:val="22"/>
        </w:rPr>
        <w:t>he</w:t>
      </w:r>
      <w:r w:rsidR="002856C5" w:rsidRPr="00B361C9">
        <w:rPr>
          <w:rFonts w:cs="Times New Roman"/>
          <w:sz w:val="22"/>
        </w:rPr>
        <w:t xml:space="preserve">se methods have been </w:t>
      </w:r>
      <w:r w:rsidR="00AD4955" w:rsidRPr="00B361C9">
        <w:rPr>
          <w:rFonts w:cs="Times New Roman"/>
          <w:sz w:val="22"/>
        </w:rPr>
        <w:t xml:space="preserve">validated </w:t>
      </w:r>
      <w:r w:rsidR="002856C5" w:rsidRPr="00B361C9">
        <w:rPr>
          <w:rFonts w:cs="Times New Roman"/>
          <w:sz w:val="22"/>
        </w:rPr>
        <w:t>through participation in inter</w:t>
      </w:r>
      <w:r w:rsidR="00FF3B2D">
        <w:rPr>
          <w:rFonts w:cs="Times New Roman"/>
          <w:sz w:val="22"/>
        </w:rPr>
        <w:t>-l</w:t>
      </w:r>
      <w:r w:rsidR="00AF3562" w:rsidRPr="00B361C9">
        <w:rPr>
          <w:rFonts w:cs="Times New Roman"/>
          <w:sz w:val="22"/>
        </w:rPr>
        <w:t xml:space="preserve">aboratory comparison programs </w:t>
      </w:r>
      <w:r w:rsidR="002856C5" w:rsidRPr="00B361C9">
        <w:rPr>
          <w:rFonts w:cs="Times New Roman"/>
          <w:sz w:val="22"/>
        </w:rPr>
        <w:t xml:space="preserve">where these attributes </w:t>
      </w:r>
      <w:r w:rsidR="007B5A77">
        <w:rPr>
          <w:rFonts w:cs="Times New Roman"/>
          <w:sz w:val="22"/>
        </w:rPr>
        <w:t xml:space="preserve">have been </w:t>
      </w:r>
      <w:r w:rsidR="002856C5" w:rsidRPr="00B361C9">
        <w:rPr>
          <w:rFonts w:cs="Times New Roman"/>
          <w:sz w:val="22"/>
        </w:rPr>
        <w:t xml:space="preserve">tested </w:t>
      </w:r>
      <w:r w:rsidR="00B7145A">
        <w:rPr>
          <w:rFonts w:cs="Times New Roman"/>
          <w:sz w:val="22"/>
        </w:rPr>
        <w:t xml:space="preserve">annually </w:t>
      </w:r>
      <w:r w:rsidR="006D7F2E" w:rsidRPr="00B361C9">
        <w:rPr>
          <w:rFonts w:cs="Times New Roman"/>
          <w:sz w:val="22"/>
        </w:rPr>
        <w:t>for the</w:t>
      </w:r>
      <w:r w:rsidR="002856C5" w:rsidRPr="00B361C9">
        <w:rPr>
          <w:rFonts w:cs="Times New Roman"/>
          <w:sz w:val="22"/>
        </w:rPr>
        <w:t xml:space="preserve"> last </w:t>
      </w:r>
      <w:r w:rsidR="00B7145A">
        <w:rPr>
          <w:rFonts w:cs="Times New Roman"/>
          <w:sz w:val="22"/>
        </w:rPr>
        <w:t>decade</w:t>
      </w:r>
      <w:r w:rsidR="002856C5" w:rsidRPr="00B361C9">
        <w:rPr>
          <w:rFonts w:cs="Times New Roman"/>
          <w:sz w:val="22"/>
        </w:rPr>
        <w:t xml:space="preserve">. </w:t>
      </w:r>
      <w:r w:rsidR="0083283D">
        <w:rPr>
          <w:rFonts w:cs="Times New Roman"/>
          <w:sz w:val="22"/>
        </w:rPr>
        <w:t xml:space="preserve"> </w:t>
      </w:r>
      <w:r w:rsidR="005E0530" w:rsidRPr="00B361C9">
        <w:rPr>
          <w:rFonts w:cs="Times New Roman"/>
          <w:sz w:val="22"/>
        </w:rPr>
        <w:t>Measurements</w:t>
      </w:r>
      <w:r w:rsidRPr="00B361C9">
        <w:rPr>
          <w:rFonts w:cs="Times New Roman"/>
          <w:sz w:val="22"/>
        </w:rPr>
        <w:t xml:space="preserve"> performed included</w:t>
      </w:r>
      <w:r w:rsidR="007B5A77">
        <w:rPr>
          <w:rFonts w:cs="Times New Roman"/>
          <w:sz w:val="22"/>
        </w:rPr>
        <w:t xml:space="preserve"> (1)</w:t>
      </w:r>
      <w:r w:rsidRPr="00B361C9">
        <w:rPr>
          <w:rFonts w:cs="Times New Roman"/>
          <w:sz w:val="22"/>
        </w:rPr>
        <w:t xml:space="preserve"> Pu assay by controlled potential coulometry</w:t>
      </w:r>
      <w:r w:rsidR="00452DD0">
        <w:rPr>
          <w:rFonts w:cs="Times New Roman"/>
          <w:sz w:val="22"/>
        </w:rPr>
        <w:t>;</w:t>
      </w:r>
      <w:r w:rsidRPr="00B361C9">
        <w:rPr>
          <w:rFonts w:cs="Times New Roman"/>
          <w:sz w:val="22"/>
        </w:rPr>
        <w:t xml:space="preserve"> </w:t>
      </w:r>
      <w:r w:rsidR="007B5A77">
        <w:rPr>
          <w:rFonts w:cs="Times New Roman"/>
          <w:sz w:val="22"/>
        </w:rPr>
        <w:t xml:space="preserve">(2) </w:t>
      </w:r>
      <w:r w:rsidRPr="00B361C9">
        <w:rPr>
          <w:rFonts w:cs="Times New Roman"/>
          <w:sz w:val="22"/>
        </w:rPr>
        <w:t>U assay by isotopic dilution mass spectrometry</w:t>
      </w:r>
      <w:r w:rsidR="00452DD0">
        <w:rPr>
          <w:rFonts w:cs="Times New Roman"/>
          <w:sz w:val="22"/>
        </w:rPr>
        <w:t>;</w:t>
      </w:r>
      <w:r w:rsidR="007B5A77">
        <w:rPr>
          <w:rFonts w:cs="Times New Roman"/>
          <w:sz w:val="22"/>
        </w:rPr>
        <w:t xml:space="preserve"> (3) </w:t>
      </w:r>
      <w:r w:rsidRPr="00B361C9">
        <w:rPr>
          <w:rFonts w:cs="Times New Roman"/>
          <w:sz w:val="22"/>
        </w:rPr>
        <w:t>Pu/U isotopic analysis by thermal ionization mass spectrometry</w:t>
      </w:r>
      <w:r w:rsidR="00452DD0">
        <w:rPr>
          <w:rFonts w:cs="Times New Roman"/>
          <w:sz w:val="22"/>
        </w:rPr>
        <w:t>;</w:t>
      </w:r>
      <w:r w:rsidRPr="00B361C9">
        <w:rPr>
          <w:rFonts w:cs="Times New Roman"/>
          <w:sz w:val="22"/>
        </w:rPr>
        <w:t xml:space="preserve"> </w:t>
      </w:r>
      <w:r w:rsidR="007B5A77">
        <w:rPr>
          <w:rFonts w:cs="Times New Roman"/>
          <w:sz w:val="22"/>
        </w:rPr>
        <w:t xml:space="preserve">(4) </w:t>
      </w:r>
      <w:r w:rsidRPr="00B361C9">
        <w:rPr>
          <w:rFonts w:cs="Times New Roman"/>
          <w:sz w:val="22"/>
        </w:rPr>
        <w:t>Am by gamma spectrometry</w:t>
      </w:r>
      <w:r w:rsidR="00452DD0">
        <w:rPr>
          <w:rFonts w:cs="Times New Roman"/>
          <w:sz w:val="22"/>
        </w:rPr>
        <w:t>;</w:t>
      </w:r>
      <w:r w:rsidRPr="00B361C9">
        <w:rPr>
          <w:rFonts w:cs="Times New Roman"/>
          <w:sz w:val="22"/>
        </w:rPr>
        <w:t xml:space="preserve"> </w:t>
      </w:r>
      <w:r w:rsidR="007B5A77">
        <w:rPr>
          <w:rFonts w:cs="Times New Roman"/>
          <w:sz w:val="22"/>
        </w:rPr>
        <w:t xml:space="preserve">and (5) </w:t>
      </w:r>
      <w:r w:rsidRPr="00B361C9">
        <w:rPr>
          <w:rFonts w:cs="Times New Roman"/>
          <w:sz w:val="22"/>
        </w:rPr>
        <w:t>Np by total alpha counting and alpha spectrometry</w:t>
      </w:r>
      <w:r w:rsidR="00C5555F">
        <w:rPr>
          <w:rFonts w:cs="Times New Roman"/>
          <w:sz w:val="22"/>
        </w:rPr>
        <w:t xml:space="preserve"> and </w:t>
      </w:r>
      <w:r w:rsidRPr="00B361C9">
        <w:rPr>
          <w:rFonts w:cs="Times New Roman"/>
          <w:sz w:val="22"/>
        </w:rPr>
        <w:t xml:space="preserve">inductively coupled plasma mass spectrometry.  </w:t>
      </w:r>
      <w:r w:rsidR="001655AE" w:rsidRPr="00B361C9">
        <w:rPr>
          <w:rFonts w:cs="Times New Roman"/>
          <w:sz w:val="22"/>
        </w:rPr>
        <w:t>Measurements were performed on multiple vials</w:t>
      </w:r>
      <w:r w:rsidR="001655AE">
        <w:rPr>
          <w:rFonts w:cs="Times New Roman"/>
          <w:sz w:val="22"/>
        </w:rPr>
        <w:t>,</w:t>
      </w:r>
      <w:r w:rsidR="001655AE" w:rsidRPr="00B361C9">
        <w:rPr>
          <w:rFonts w:cs="Times New Roman"/>
          <w:sz w:val="22"/>
        </w:rPr>
        <w:t xml:space="preserve"> in duplicate for each sample for all measurements.  </w:t>
      </w:r>
      <w:r w:rsidRPr="00B361C9">
        <w:rPr>
          <w:rFonts w:cs="Times New Roman"/>
          <w:sz w:val="22"/>
        </w:rPr>
        <w:t>A final report on these materials was submitted to NBL to initiate the formal certification process in October</w:t>
      </w:r>
      <w:r w:rsidR="007B5A77">
        <w:rPr>
          <w:rFonts w:cs="Times New Roman"/>
          <w:sz w:val="22"/>
        </w:rPr>
        <w:t xml:space="preserve"> </w:t>
      </w:r>
      <w:r w:rsidRPr="00B361C9">
        <w:rPr>
          <w:rFonts w:cs="Times New Roman"/>
          <w:sz w:val="22"/>
        </w:rPr>
        <w:t xml:space="preserve">2013.  </w:t>
      </w:r>
    </w:p>
    <w:p w:rsidR="00153A99" w:rsidRDefault="00A06EB9" w:rsidP="002440DA">
      <w:pPr>
        <w:pStyle w:val="ListParagraph"/>
        <w:numPr>
          <w:ilvl w:val="0"/>
          <w:numId w:val="1"/>
        </w:numPr>
        <w:spacing w:line="240" w:lineRule="auto"/>
        <w:rPr>
          <w:rFonts w:cs="Times New Roman"/>
          <w:b/>
          <w:sz w:val="22"/>
        </w:rPr>
      </w:pPr>
      <w:r w:rsidRPr="002440DA">
        <w:rPr>
          <w:rFonts w:cs="Times New Roman"/>
          <w:b/>
          <w:sz w:val="22"/>
        </w:rPr>
        <w:t>ISO</w:t>
      </w:r>
      <w:r w:rsidR="00452DD0" w:rsidRPr="002440DA">
        <w:rPr>
          <w:rFonts w:cs="Times New Roman"/>
          <w:b/>
          <w:sz w:val="22"/>
        </w:rPr>
        <w:t xml:space="preserve"> </w:t>
      </w:r>
      <w:r w:rsidRPr="002440DA">
        <w:rPr>
          <w:rFonts w:cs="Times New Roman"/>
          <w:b/>
          <w:sz w:val="22"/>
        </w:rPr>
        <w:t xml:space="preserve">17025 Transition Challenges </w:t>
      </w:r>
    </w:p>
    <w:p w:rsidR="002440DA" w:rsidRPr="002440DA" w:rsidRDefault="002440DA" w:rsidP="002440DA">
      <w:pPr>
        <w:pStyle w:val="ListParagraph"/>
        <w:spacing w:line="240" w:lineRule="auto"/>
        <w:ind w:left="360"/>
        <w:rPr>
          <w:rFonts w:cs="Times New Roman"/>
          <w:sz w:val="22"/>
        </w:rPr>
      </w:pPr>
    </w:p>
    <w:p w:rsidR="00A601F6" w:rsidRPr="00B361C9" w:rsidRDefault="00A06EB9" w:rsidP="008151E8">
      <w:pPr>
        <w:pStyle w:val="ListParagraph"/>
        <w:spacing w:line="240" w:lineRule="auto"/>
        <w:ind w:left="0"/>
        <w:rPr>
          <w:rFonts w:cs="Times New Roman"/>
          <w:sz w:val="22"/>
        </w:rPr>
      </w:pPr>
      <w:r w:rsidRPr="00B361C9">
        <w:rPr>
          <w:rFonts w:cs="Times New Roman"/>
          <w:sz w:val="22"/>
        </w:rPr>
        <w:t xml:space="preserve">LANL </w:t>
      </w:r>
      <w:r w:rsidR="005D2B20">
        <w:rPr>
          <w:rFonts w:cs="Times New Roman"/>
          <w:sz w:val="22"/>
        </w:rPr>
        <w:t xml:space="preserve">analytical chemistry </w:t>
      </w:r>
      <w:r w:rsidRPr="00B361C9">
        <w:rPr>
          <w:rFonts w:cs="Times New Roman"/>
          <w:sz w:val="22"/>
        </w:rPr>
        <w:t xml:space="preserve">has always </w:t>
      </w:r>
      <w:r w:rsidR="005D2B20">
        <w:rPr>
          <w:rFonts w:cs="Times New Roman"/>
          <w:sz w:val="22"/>
        </w:rPr>
        <w:t>maintained</w:t>
      </w:r>
      <w:r w:rsidRPr="00B361C9">
        <w:rPr>
          <w:rFonts w:cs="Times New Roman"/>
          <w:sz w:val="22"/>
        </w:rPr>
        <w:t xml:space="preserve"> a robust QA program due to the consistent work for nuclear </w:t>
      </w:r>
      <w:r w:rsidR="00197EB0">
        <w:rPr>
          <w:rFonts w:cs="Times New Roman"/>
          <w:sz w:val="22"/>
        </w:rPr>
        <w:t>energy</w:t>
      </w:r>
      <w:r w:rsidRPr="00B361C9">
        <w:rPr>
          <w:rFonts w:cs="Times New Roman"/>
          <w:sz w:val="22"/>
        </w:rPr>
        <w:t xml:space="preserve"> (NQA-1 </w:t>
      </w:r>
      <w:r w:rsidR="007B5A77" w:rsidRPr="006F78CC">
        <w:rPr>
          <w:rFonts w:cs="Times New Roman"/>
          <w:i/>
          <w:sz w:val="22"/>
        </w:rPr>
        <w:t>Quality Assurance Requirements for Nuclear Facility Applications</w:t>
      </w:r>
      <w:r w:rsidR="007B5A77" w:rsidRPr="007B5A77">
        <w:rPr>
          <w:rFonts w:cs="Times New Roman"/>
          <w:sz w:val="22"/>
        </w:rPr>
        <w:t xml:space="preserve"> </w:t>
      </w:r>
      <w:r w:rsidRPr="00B361C9">
        <w:rPr>
          <w:rFonts w:cs="Times New Roman"/>
          <w:sz w:val="22"/>
        </w:rPr>
        <w:t>requirement</w:t>
      </w:r>
      <w:r w:rsidR="007B5A77">
        <w:rPr>
          <w:rFonts w:cs="Times New Roman"/>
          <w:sz w:val="22"/>
        </w:rPr>
        <w:t>s</w:t>
      </w:r>
      <w:r w:rsidRPr="00B361C9">
        <w:rPr>
          <w:rFonts w:cs="Times New Roman"/>
          <w:sz w:val="22"/>
        </w:rPr>
        <w:t>) and defense programs (QC-1</w:t>
      </w:r>
      <w:r w:rsidR="007B5A77">
        <w:rPr>
          <w:rFonts w:cs="Times New Roman"/>
          <w:sz w:val="22"/>
        </w:rPr>
        <w:t>,</w:t>
      </w:r>
      <w:r w:rsidRPr="00B361C9">
        <w:rPr>
          <w:rFonts w:cs="Times New Roman"/>
          <w:sz w:val="22"/>
        </w:rPr>
        <w:t xml:space="preserve"> </w:t>
      </w:r>
      <w:r w:rsidR="007B5A77" w:rsidRPr="006F78CC">
        <w:rPr>
          <w:rFonts w:cs="Times New Roman"/>
          <w:i/>
          <w:sz w:val="22"/>
        </w:rPr>
        <w:t>Weapon Quality Policy</w:t>
      </w:r>
      <w:r w:rsidR="007B5A77" w:rsidRPr="007B5A77">
        <w:rPr>
          <w:rFonts w:cs="Times New Roman"/>
          <w:sz w:val="22"/>
        </w:rPr>
        <w:t xml:space="preserve"> </w:t>
      </w:r>
      <w:r w:rsidRPr="00B361C9">
        <w:rPr>
          <w:rFonts w:cs="Times New Roman"/>
          <w:sz w:val="22"/>
        </w:rPr>
        <w:t xml:space="preserve">requirements).  </w:t>
      </w:r>
      <w:r w:rsidR="00DA7154" w:rsidRPr="00B361C9">
        <w:rPr>
          <w:rFonts w:cs="Times New Roman"/>
          <w:sz w:val="22"/>
        </w:rPr>
        <w:t xml:space="preserve">Analytical methods and associated procedures have defined </w:t>
      </w:r>
      <w:r w:rsidR="00197EB0">
        <w:rPr>
          <w:rFonts w:cs="Times New Roman"/>
          <w:sz w:val="22"/>
        </w:rPr>
        <w:t>QC</w:t>
      </w:r>
      <w:r w:rsidR="00DA7154" w:rsidRPr="00B361C9">
        <w:rPr>
          <w:rFonts w:cs="Times New Roman"/>
          <w:sz w:val="22"/>
        </w:rPr>
        <w:t xml:space="preserve"> measures to assure validity of a method’s precision, accuracy, and sensitivity.  Quali</w:t>
      </w:r>
      <w:r w:rsidR="0083283D">
        <w:rPr>
          <w:rFonts w:cs="Times New Roman"/>
          <w:sz w:val="22"/>
        </w:rPr>
        <w:t xml:space="preserve">ty control measures may include, </w:t>
      </w:r>
      <w:r w:rsidR="00DA7154" w:rsidRPr="00B361C9">
        <w:rPr>
          <w:rFonts w:cs="Times New Roman"/>
          <w:sz w:val="22"/>
        </w:rPr>
        <w:t>but are not limited to</w:t>
      </w:r>
      <w:r w:rsidR="0083283D">
        <w:rPr>
          <w:rFonts w:cs="Times New Roman"/>
          <w:sz w:val="22"/>
        </w:rPr>
        <w:t>,</w:t>
      </w:r>
      <w:r w:rsidR="006D3B23">
        <w:rPr>
          <w:rFonts w:cs="Times New Roman"/>
          <w:sz w:val="22"/>
        </w:rPr>
        <w:t xml:space="preserve"> </w:t>
      </w:r>
      <w:r w:rsidR="00DA7154" w:rsidRPr="00B361C9">
        <w:rPr>
          <w:rFonts w:cs="Times New Roman"/>
          <w:sz w:val="22"/>
        </w:rPr>
        <w:t>method blanks, laboratory control samples, laboratory surrogates, internal standards, matrix spikes and matrix spike duplicates, interference check samples, serial dilution</w:t>
      </w:r>
      <w:r w:rsidR="00DB5024">
        <w:rPr>
          <w:rFonts w:cs="Times New Roman"/>
          <w:sz w:val="22"/>
        </w:rPr>
        <w:t>, and environmental contamination controls</w:t>
      </w:r>
      <w:r w:rsidR="00DA7154" w:rsidRPr="00B361C9">
        <w:rPr>
          <w:rFonts w:cs="Times New Roman"/>
          <w:sz w:val="22"/>
        </w:rPr>
        <w:t xml:space="preserve">.  The acceptance criteria for each </w:t>
      </w:r>
      <w:r w:rsidR="00197EB0">
        <w:rPr>
          <w:rFonts w:cs="Times New Roman"/>
          <w:sz w:val="22"/>
        </w:rPr>
        <w:t>QC</w:t>
      </w:r>
      <w:r w:rsidR="00DA7154" w:rsidRPr="00B361C9">
        <w:rPr>
          <w:rFonts w:cs="Times New Roman"/>
          <w:sz w:val="22"/>
        </w:rPr>
        <w:t xml:space="preserve"> measure are identified and tracked via control charts.  </w:t>
      </w:r>
      <w:r w:rsidRPr="00B361C9">
        <w:rPr>
          <w:rFonts w:cs="Times New Roman"/>
          <w:sz w:val="22"/>
        </w:rPr>
        <w:t>Thus, the additional requirement to become ISO</w:t>
      </w:r>
      <w:r w:rsidR="00452DD0">
        <w:rPr>
          <w:rFonts w:cs="Times New Roman"/>
          <w:sz w:val="22"/>
        </w:rPr>
        <w:t xml:space="preserve"> </w:t>
      </w:r>
      <w:r w:rsidRPr="00B361C9">
        <w:rPr>
          <w:rFonts w:cs="Times New Roman"/>
          <w:sz w:val="22"/>
        </w:rPr>
        <w:t xml:space="preserve">17025 </w:t>
      </w:r>
      <w:r w:rsidR="00E06910">
        <w:rPr>
          <w:rFonts w:cs="Times New Roman"/>
          <w:sz w:val="22"/>
        </w:rPr>
        <w:t>accredited</w:t>
      </w:r>
      <w:r w:rsidRPr="00B361C9">
        <w:rPr>
          <w:rFonts w:cs="Times New Roman"/>
          <w:sz w:val="22"/>
        </w:rPr>
        <w:t xml:space="preserve"> requested by some external customers </w:t>
      </w:r>
      <w:r w:rsidR="00A10F89">
        <w:rPr>
          <w:rFonts w:cs="Times New Roman"/>
          <w:sz w:val="22"/>
        </w:rPr>
        <w:t>did require a philosophical change to the way</w:t>
      </w:r>
      <w:r w:rsidR="003B5A44">
        <w:rPr>
          <w:rFonts w:cs="Times New Roman"/>
          <w:sz w:val="22"/>
        </w:rPr>
        <w:t xml:space="preserve"> the QC program was implemented</w:t>
      </w:r>
      <w:r w:rsidRPr="00B361C9">
        <w:rPr>
          <w:rFonts w:cs="Times New Roman"/>
          <w:sz w:val="22"/>
        </w:rPr>
        <w:t>.  To start the process</w:t>
      </w:r>
      <w:r w:rsidR="00452DD0">
        <w:rPr>
          <w:rFonts w:cs="Times New Roman"/>
          <w:sz w:val="22"/>
        </w:rPr>
        <w:t>,</w:t>
      </w:r>
      <w:r w:rsidRPr="00B361C9">
        <w:rPr>
          <w:rFonts w:cs="Times New Roman"/>
          <w:sz w:val="22"/>
        </w:rPr>
        <w:t xml:space="preserve"> a </w:t>
      </w:r>
      <w:r w:rsidR="007B5A77">
        <w:rPr>
          <w:rFonts w:cs="Times New Roman"/>
          <w:sz w:val="22"/>
        </w:rPr>
        <w:t>review</w:t>
      </w:r>
      <w:r w:rsidRPr="00B361C9">
        <w:rPr>
          <w:rFonts w:cs="Times New Roman"/>
          <w:sz w:val="22"/>
        </w:rPr>
        <w:t xml:space="preserve"> of our existing programs </w:t>
      </w:r>
      <w:r w:rsidR="007B5A77" w:rsidRPr="00B361C9">
        <w:rPr>
          <w:rFonts w:cs="Times New Roman"/>
          <w:sz w:val="22"/>
        </w:rPr>
        <w:t>a</w:t>
      </w:r>
      <w:r w:rsidR="007B5A77">
        <w:rPr>
          <w:rFonts w:cs="Times New Roman"/>
          <w:sz w:val="22"/>
        </w:rPr>
        <w:t>gainst</w:t>
      </w:r>
      <w:r w:rsidR="007B5A77" w:rsidRPr="00B361C9">
        <w:rPr>
          <w:rFonts w:cs="Times New Roman"/>
          <w:sz w:val="22"/>
        </w:rPr>
        <w:t xml:space="preserve"> </w:t>
      </w:r>
      <w:r w:rsidRPr="00B361C9">
        <w:rPr>
          <w:rFonts w:cs="Times New Roman"/>
          <w:sz w:val="22"/>
        </w:rPr>
        <w:t>ISO</w:t>
      </w:r>
      <w:r w:rsidR="00452DD0">
        <w:rPr>
          <w:rFonts w:cs="Times New Roman"/>
          <w:sz w:val="22"/>
        </w:rPr>
        <w:t xml:space="preserve"> </w:t>
      </w:r>
      <w:r w:rsidRPr="00B361C9">
        <w:rPr>
          <w:rFonts w:cs="Times New Roman"/>
          <w:sz w:val="22"/>
        </w:rPr>
        <w:t xml:space="preserve">17025 requirements </w:t>
      </w:r>
      <w:r w:rsidR="009F3B55" w:rsidRPr="00B361C9">
        <w:rPr>
          <w:rFonts w:cs="Times New Roman"/>
          <w:sz w:val="22"/>
        </w:rPr>
        <w:t>w</w:t>
      </w:r>
      <w:r w:rsidR="00D66208" w:rsidRPr="00B361C9">
        <w:rPr>
          <w:rFonts w:cs="Times New Roman"/>
          <w:sz w:val="22"/>
        </w:rPr>
        <w:t>as</w:t>
      </w:r>
      <w:r w:rsidRPr="00B361C9">
        <w:rPr>
          <w:rFonts w:cs="Times New Roman"/>
          <w:sz w:val="22"/>
        </w:rPr>
        <w:t xml:space="preserve"> </w:t>
      </w:r>
      <w:r w:rsidR="006D3B23">
        <w:rPr>
          <w:rFonts w:cs="Times New Roman"/>
          <w:sz w:val="22"/>
        </w:rPr>
        <w:t xml:space="preserve">conducted </w:t>
      </w:r>
      <w:r w:rsidRPr="00B361C9">
        <w:rPr>
          <w:rFonts w:cs="Times New Roman"/>
          <w:sz w:val="22"/>
        </w:rPr>
        <w:t xml:space="preserve">for the group by independent QA specialists.  This section will focus on the analytical </w:t>
      </w:r>
      <w:r w:rsidR="005D2B20">
        <w:rPr>
          <w:rFonts w:cs="Times New Roman"/>
          <w:sz w:val="22"/>
        </w:rPr>
        <w:t>quality activities</w:t>
      </w:r>
      <w:r w:rsidRPr="00B361C9">
        <w:rPr>
          <w:rFonts w:cs="Times New Roman"/>
          <w:sz w:val="22"/>
        </w:rPr>
        <w:t xml:space="preserve"> </w:t>
      </w:r>
      <w:r w:rsidR="00964DA9">
        <w:rPr>
          <w:rFonts w:cs="Times New Roman"/>
          <w:sz w:val="22"/>
        </w:rPr>
        <w:t>that required most effort</w:t>
      </w:r>
      <w:r w:rsidRPr="00B361C9">
        <w:rPr>
          <w:rFonts w:cs="Times New Roman"/>
          <w:sz w:val="22"/>
        </w:rPr>
        <w:t>.</w:t>
      </w:r>
    </w:p>
    <w:p w:rsidR="00DA7154" w:rsidRPr="00B361C9" w:rsidRDefault="00DA7154" w:rsidP="008151E8">
      <w:pPr>
        <w:pStyle w:val="ListParagraph"/>
        <w:spacing w:line="240" w:lineRule="auto"/>
        <w:ind w:left="0"/>
        <w:rPr>
          <w:rFonts w:cs="Times New Roman"/>
          <w:sz w:val="22"/>
        </w:rPr>
      </w:pPr>
    </w:p>
    <w:p w:rsidR="009F3B55" w:rsidRPr="00B361C9" w:rsidRDefault="000C6D6F" w:rsidP="008151E8">
      <w:pPr>
        <w:pStyle w:val="ListParagraph"/>
        <w:spacing w:line="240" w:lineRule="auto"/>
        <w:ind w:left="0"/>
        <w:rPr>
          <w:rFonts w:cs="Times New Roman"/>
          <w:i/>
          <w:sz w:val="22"/>
        </w:rPr>
      </w:pPr>
      <w:r>
        <w:rPr>
          <w:rFonts w:cs="Times New Roman"/>
          <w:i/>
          <w:sz w:val="22"/>
        </w:rPr>
        <w:t>3.1</w:t>
      </w:r>
      <w:r>
        <w:rPr>
          <w:rFonts w:cs="Times New Roman"/>
          <w:i/>
          <w:sz w:val="22"/>
        </w:rPr>
        <w:tab/>
      </w:r>
      <w:r w:rsidR="00A06EB9" w:rsidRPr="00B361C9">
        <w:rPr>
          <w:rFonts w:cs="Times New Roman"/>
          <w:i/>
          <w:sz w:val="22"/>
        </w:rPr>
        <w:t>Validation of ongoing methods</w:t>
      </w:r>
    </w:p>
    <w:p w:rsidR="00A601F6" w:rsidRPr="00B361C9" w:rsidRDefault="00A601F6" w:rsidP="008151E8">
      <w:pPr>
        <w:pStyle w:val="ListParagraph"/>
        <w:spacing w:line="240" w:lineRule="auto"/>
        <w:ind w:left="0"/>
        <w:rPr>
          <w:rFonts w:cs="Times New Roman"/>
          <w:sz w:val="22"/>
        </w:rPr>
      </w:pPr>
    </w:p>
    <w:p w:rsidR="00A601F6" w:rsidRDefault="00DB5024" w:rsidP="008151E8">
      <w:pPr>
        <w:pStyle w:val="ListParagraph"/>
        <w:spacing w:line="240" w:lineRule="auto"/>
        <w:ind w:left="0"/>
        <w:rPr>
          <w:rFonts w:cs="Times New Roman"/>
          <w:sz w:val="22"/>
        </w:rPr>
      </w:pPr>
      <w:r>
        <w:rPr>
          <w:rFonts w:cs="Times New Roman"/>
          <w:sz w:val="22"/>
        </w:rPr>
        <w:t xml:space="preserve">All QA programs at LANL </w:t>
      </w:r>
      <w:r w:rsidR="00A06EB9" w:rsidRPr="00B361C9">
        <w:rPr>
          <w:rFonts w:cs="Times New Roman"/>
          <w:sz w:val="22"/>
        </w:rPr>
        <w:t xml:space="preserve">require that a method be validated </w:t>
      </w:r>
      <w:r w:rsidR="0050757E" w:rsidRPr="00B361C9">
        <w:rPr>
          <w:rFonts w:cs="Times New Roman"/>
          <w:sz w:val="22"/>
        </w:rPr>
        <w:t xml:space="preserve">and tested </w:t>
      </w:r>
      <w:r w:rsidR="00A06EB9" w:rsidRPr="00B361C9">
        <w:rPr>
          <w:rFonts w:cs="Times New Roman"/>
          <w:sz w:val="22"/>
        </w:rPr>
        <w:t>for performance</w:t>
      </w:r>
      <w:r w:rsidR="0050757E" w:rsidRPr="00B361C9">
        <w:rPr>
          <w:rFonts w:cs="Times New Roman"/>
          <w:sz w:val="22"/>
        </w:rPr>
        <w:t xml:space="preserve"> based on accepted</w:t>
      </w:r>
      <w:r w:rsidR="00555324" w:rsidRPr="00B361C9">
        <w:rPr>
          <w:rFonts w:cs="Times New Roman"/>
          <w:sz w:val="22"/>
        </w:rPr>
        <w:t>, peer reviewed,</w:t>
      </w:r>
      <w:r w:rsidR="0050757E" w:rsidRPr="00B361C9">
        <w:rPr>
          <w:rFonts w:cs="Times New Roman"/>
          <w:sz w:val="22"/>
        </w:rPr>
        <w:t xml:space="preserve"> scientific principles</w:t>
      </w:r>
      <w:r w:rsidR="00555324" w:rsidRPr="00B361C9">
        <w:rPr>
          <w:rFonts w:cs="Times New Roman"/>
          <w:sz w:val="22"/>
        </w:rPr>
        <w:t>.</w:t>
      </w:r>
      <w:r w:rsidR="00A06EB9" w:rsidRPr="00B361C9">
        <w:rPr>
          <w:rFonts w:cs="Times New Roman"/>
          <w:sz w:val="22"/>
        </w:rPr>
        <w:t xml:space="preserve">  </w:t>
      </w:r>
      <w:r>
        <w:rPr>
          <w:rFonts w:cs="Times New Roman"/>
          <w:sz w:val="22"/>
        </w:rPr>
        <w:t xml:space="preserve">However, </w:t>
      </w:r>
      <w:r w:rsidRPr="00B361C9">
        <w:rPr>
          <w:rFonts w:cs="Times New Roman"/>
          <w:sz w:val="22"/>
        </w:rPr>
        <w:t>ISO</w:t>
      </w:r>
      <w:r>
        <w:rPr>
          <w:rFonts w:cs="Times New Roman"/>
          <w:sz w:val="22"/>
        </w:rPr>
        <w:t xml:space="preserve"> </w:t>
      </w:r>
      <w:r w:rsidRPr="00B361C9">
        <w:rPr>
          <w:rFonts w:cs="Times New Roman"/>
          <w:sz w:val="22"/>
        </w:rPr>
        <w:t xml:space="preserve">17025 </w:t>
      </w:r>
      <w:r>
        <w:rPr>
          <w:rFonts w:cs="Times New Roman"/>
          <w:sz w:val="22"/>
        </w:rPr>
        <w:t xml:space="preserve">requires that the </w:t>
      </w:r>
      <w:r w:rsidR="00D66208" w:rsidRPr="00B361C9">
        <w:rPr>
          <w:rFonts w:cs="Times New Roman"/>
          <w:sz w:val="22"/>
        </w:rPr>
        <w:t xml:space="preserve">validation </w:t>
      </w:r>
      <w:r>
        <w:rPr>
          <w:rFonts w:cs="Times New Roman"/>
          <w:sz w:val="22"/>
        </w:rPr>
        <w:t xml:space="preserve">of </w:t>
      </w:r>
      <w:r w:rsidR="00A06EB9" w:rsidRPr="00B361C9">
        <w:rPr>
          <w:rFonts w:cs="Times New Roman"/>
          <w:sz w:val="22"/>
        </w:rPr>
        <w:t xml:space="preserve">bias, accuracy, and uncertainty have to be formally documented.  Most of the methods used by the </w:t>
      </w:r>
      <w:r w:rsidR="00F346A2" w:rsidRPr="00B361C9">
        <w:rPr>
          <w:rFonts w:cs="Times New Roman"/>
          <w:sz w:val="22"/>
        </w:rPr>
        <w:t>a</w:t>
      </w:r>
      <w:r w:rsidR="00A06EB9" w:rsidRPr="00B361C9">
        <w:rPr>
          <w:rFonts w:cs="Times New Roman"/>
          <w:sz w:val="22"/>
        </w:rPr>
        <w:t xml:space="preserve">nalytical </w:t>
      </w:r>
      <w:r w:rsidR="00F346A2" w:rsidRPr="00B361C9">
        <w:rPr>
          <w:rFonts w:cs="Times New Roman"/>
          <w:sz w:val="22"/>
        </w:rPr>
        <w:t>c</w:t>
      </w:r>
      <w:r w:rsidR="00A06EB9" w:rsidRPr="00B361C9">
        <w:rPr>
          <w:rFonts w:cs="Times New Roman"/>
          <w:sz w:val="22"/>
        </w:rPr>
        <w:t xml:space="preserve">hemistry at LANL have formal validation reports for operations support </w:t>
      </w:r>
      <w:r>
        <w:rPr>
          <w:rFonts w:cs="Times New Roman"/>
          <w:sz w:val="22"/>
        </w:rPr>
        <w:t xml:space="preserve">documented </w:t>
      </w:r>
      <w:r w:rsidR="00A06EB9" w:rsidRPr="00B361C9">
        <w:rPr>
          <w:rFonts w:cs="Times New Roman"/>
          <w:sz w:val="22"/>
        </w:rPr>
        <w:t xml:space="preserve">over the last </w:t>
      </w:r>
      <w:r w:rsidR="0050757E" w:rsidRPr="00B361C9">
        <w:rPr>
          <w:rFonts w:cs="Times New Roman"/>
          <w:sz w:val="22"/>
        </w:rPr>
        <w:t>several decades.</w:t>
      </w:r>
      <w:r w:rsidR="0083283D">
        <w:rPr>
          <w:rFonts w:cs="Times New Roman"/>
          <w:sz w:val="22"/>
        </w:rPr>
        <w:t xml:space="preserve"> </w:t>
      </w:r>
      <w:r w:rsidR="0050757E" w:rsidRPr="00B361C9">
        <w:rPr>
          <w:rFonts w:cs="Times New Roman"/>
          <w:sz w:val="22"/>
        </w:rPr>
        <w:t xml:space="preserve"> </w:t>
      </w:r>
      <w:r w:rsidR="00452DD0">
        <w:rPr>
          <w:rFonts w:cs="Times New Roman"/>
          <w:sz w:val="22"/>
        </w:rPr>
        <w:t>These validation reports</w:t>
      </w:r>
      <w:r w:rsidR="0050757E" w:rsidRPr="00B361C9">
        <w:rPr>
          <w:rFonts w:cs="Times New Roman"/>
          <w:sz w:val="22"/>
        </w:rPr>
        <w:t xml:space="preserve"> </w:t>
      </w:r>
      <w:r w:rsidR="00A06EB9" w:rsidRPr="00B361C9">
        <w:rPr>
          <w:rFonts w:cs="Times New Roman"/>
          <w:sz w:val="22"/>
        </w:rPr>
        <w:t xml:space="preserve">were </w:t>
      </w:r>
      <w:r w:rsidR="0050757E" w:rsidRPr="00B361C9">
        <w:rPr>
          <w:rFonts w:cs="Times New Roman"/>
          <w:sz w:val="22"/>
        </w:rPr>
        <w:t xml:space="preserve">modified </w:t>
      </w:r>
      <w:r w:rsidR="0036360E" w:rsidRPr="00B361C9">
        <w:rPr>
          <w:rFonts w:cs="Times New Roman"/>
          <w:sz w:val="22"/>
        </w:rPr>
        <w:t xml:space="preserve">as </w:t>
      </w:r>
      <w:r w:rsidR="00A06EB9" w:rsidRPr="00B361C9">
        <w:rPr>
          <w:rFonts w:cs="Times New Roman"/>
          <w:sz w:val="22"/>
        </w:rPr>
        <w:t xml:space="preserve">new </w:t>
      </w:r>
      <w:r w:rsidR="0050757E" w:rsidRPr="00B361C9">
        <w:rPr>
          <w:rFonts w:cs="Times New Roman"/>
          <w:sz w:val="22"/>
        </w:rPr>
        <w:t xml:space="preserve">technologies and </w:t>
      </w:r>
      <w:r w:rsidR="00452DD0" w:rsidRPr="00B361C9">
        <w:rPr>
          <w:rFonts w:cs="Times New Roman"/>
          <w:sz w:val="22"/>
        </w:rPr>
        <w:t>instrument</w:t>
      </w:r>
      <w:r w:rsidR="00452DD0">
        <w:rPr>
          <w:rFonts w:cs="Times New Roman"/>
          <w:sz w:val="22"/>
        </w:rPr>
        <w:t>s</w:t>
      </w:r>
      <w:r w:rsidR="00452DD0" w:rsidRPr="00B361C9">
        <w:rPr>
          <w:rFonts w:cs="Times New Roman"/>
          <w:sz w:val="22"/>
        </w:rPr>
        <w:t xml:space="preserve"> </w:t>
      </w:r>
      <w:r w:rsidR="0027762D" w:rsidRPr="00B361C9">
        <w:rPr>
          <w:rFonts w:cs="Times New Roman"/>
          <w:sz w:val="22"/>
        </w:rPr>
        <w:t>w</w:t>
      </w:r>
      <w:r w:rsidR="0050757E" w:rsidRPr="00B361C9">
        <w:rPr>
          <w:rFonts w:cs="Times New Roman"/>
          <w:sz w:val="22"/>
        </w:rPr>
        <w:t>ere</w:t>
      </w:r>
      <w:r w:rsidR="00A06EB9" w:rsidRPr="00B361C9">
        <w:rPr>
          <w:rFonts w:cs="Times New Roman"/>
          <w:sz w:val="22"/>
        </w:rPr>
        <w:t xml:space="preserve"> </w:t>
      </w:r>
      <w:r w:rsidR="001523F6">
        <w:rPr>
          <w:rFonts w:cs="Times New Roman"/>
          <w:sz w:val="22"/>
        </w:rPr>
        <w:t>implemented within the method</w:t>
      </w:r>
      <w:r w:rsidR="0050757E" w:rsidRPr="00B361C9">
        <w:rPr>
          <w:rFonts w:cs="Times New Roman"/>
          <w:sz w:val="22"/>
        </w:rPr>
        <w:t>.</w:t>
      </w:r>
      <w:r w:rsidR="00A06EB9" w:rsidRPr="00B361C9">
        <w:rPr>
          <w:rFonts w:cs="Times New Roman"/>
          <w:sz w:val="22"/>
        </w:rPr>
        <w:t xml:space="preserve">  However, during preparation for </w:t>
      </w:r>
      <w:r w:rsidR="005E21BF">
        <w:rPr>
          <w:rFonts w:cs="Times New Roman"/>
          <w:sz w:val="22"/>
        </w:rPr>
        <w:t xml:space="preserve">the </w:t>
      </w:r>
      <w:r w:rsidR="00A06EB9" w:rsidRPr="00B361C9">
        <w:rPr>
          <w:rFonts w:cs="Times New Roman"/>
          <w:sz w:val="22"/>
        </w:rPr>
        <w:t>ISO</w:t>
      </w:r>
      <w:r w:rsidR="00452DD0">
        <w:rPr>
          <w:rFonts w:cs="Times New Roman"/>
          <w:sz w:val="22"/>
        </w:rPr>
        <w:t xml:space="preserve"> </w:t>
      </w:r>
      <w:r w:rsidR="00A06EB9" w:rsidRPr="00B361C9">
        <w:rPr>
          <w:rFonts w:cs="Times New Roman"/>
          <w:sz w:val="22"/>
        </w:rPr>
        <w:t xml:space="preserve">17025 audit it was discovered </w:t>
      </w:r>
      <w:r w:rsidR="005E21BF">
        <w:rPr>
          <w:rFonts w:cs="Times New Roman"/>
          <w:sz w:val="22"/>
        </w:rPr>
        <w:t xml:space="preserve">that </w:t>
      </w:r>
      <w:r w:rsidR="00A06EB9" w:rsidRPr="00B361C9">
        <w:rPr>
          <w:rFonts w:cs="Times New Roman"/>
          <w:sz w:val="22"/>
        </w:rPr>
        <w:t xml:space="preserve">no formal validation documentation existed for a few historical/classical methods.  </w:t>
      </w:r>
      <w:r w:rsidR="009F3B55" w:rsidRPr="00B361C9">
        <w:rPr>
          <w:rFonts w:cs="Times New Roman"/>
          <w:sz w:val="22"/>
        </w:rPr>
        <w:t>Further</w:t>
      </w:r>
      <w:r w:rsidR="0050757E" w:rsidRPr="00B361C9">
        <w:rPr>
          <w:rFonts w:cs="Times New Roman"/>
          <w:sz w:val="22"/>
        </w:rPr>
        <w:t>more</w:t>
      </w:r>
      <w:r w:rsidR="00A06EB9" w:rsidRPr="00B361C9">
        <w:rPr>
          <w:rFonts w:cs="Times New Roman"/>
          <w:sz w:val="22"/>
        </w:rPr>
        <w:t>, these methods had been modified slightly due to the evolution in</w:t>
      </w:r>
      <w:r w:rsidR="00036BDC" w:rsidRPr="00B361C9">
        <w:rPr>
          <w:rFonts w:cs="Times New Roman"/>
          <w:sz w:val="22"/>
        </w:rPr>
        <w:t xml:space="preserve"> </w:t>
      </w:r>
      <w:r w:rsidR="005E21BF">
        <w:rPr>
          <w:rFonts w:cs="Times New Roman"/>
          <w:sz w:val="22"/>
        </w:rPr>
        <w:t xml:space="preserve">both </w:t>
      </w:r>
      <w:r w:rsidR="0050757E" w:rsidRPr="00B361C9">
        <w:rPr>
          <w:rFonts w:cs="Times New Roman"/>
          <w:sz w:val="22"/>
        </w:rPr>
        <w:t>environmental law</w:t>
      </w:r>
      <w:r w:rsidR="005E21BF">
        <w:rPr>
          <w:rFonts w:cs="Times New Roman"/>
          <w:sz w:val="22"/>
        </w:rPr>
        <w:t xml:space="preserve"> and</w:t>
      </w:r>
      <w:r w:rsidR="00A06EB9" w:rsidRPr="00B361C9">
        <w:rPr>
          <w:rFonts w:cs="Times New Roman"/>
          <w:sz w:val="22"/>
        </w:rPr>
        <w:t xml:space="preserve"> health</w:t>
      </w:r>
      <w:r w:rsidR="005E21BF">
        <w:rPr>
          <w:rFonts w:cs="Times New Roman"/>
          <w:sz w:val="22"/>
        </w:rPr>
        <w:t>/</w:t>
      </w:r>
      <w:r w:rsidR="00A06EB9" w:rsidRPr="00B361C9">
        <w:rPr>
          <w:rFonts w:cs="Times New Roman"/>
          <w:sz w:val="22"/>
        </w:rPr>
        <w:t xml:space="preserve">safety rules and regulations since the </w:t>
      </w:r>
      <w:r w:rsidR="00452DD0">
        <w:rPr>
          <w:rFonts w:cs="Times New Roman"/>
          <w:sz w:val="22"/>
        </w:rPr>
        <w:t xml:space="preserve">time </w:t>
      </w:r>
      <w:r w:rsidR="00A06EB9" w:rsidRPr="00B361C9">
        <w:rPr>
          <w:rFonts w:cs="Times New Roman"/>
          <w:sz w:val="22"/>
        </w:rPr>
        <w:t xml:space="preserve">the originating peer reviewed papers were published. </w:t>
      </w:r>
    </w:p>
    <w:p w:rsidR="00533D63" w:rsidRPr="00B361C9" w:rsidRDefault="00533D63" w:rsidP="008151E8">
      <w:pPr>
        <w:pStyle w:val="ListParagraph"/>
        <w:spacing w:line="240" w:lineRule="auto"/>
        <w:ind w:left="0"/>
        <w:rPr>
          <w:rFonts w:cs="Times New Roman"/>
          <w:sz w:val="22"/>
        </w:rPr>
      </w:pPr>
    </w:p>
    <w:p w:rsidR="0027762D" w:rsidRPr="00B361C9" w:rsidRDefault="002B3568" w:rsidP="008151E8">
      <w:pPr>
        <w:pStyle w:val="ListParagraph"/>
        <w:spacing w:line="240" w:lineRule="auto"/>
        <w:ind w:left="0"/>
        <w:rPr>
          <w:rFonts w:cs="Times New Roman"/>
          <w:sz w:val="22"/>
        </w:rPr>
      </w:pPr>
      <w:r>
        <w:rPr>
          <w:rFonts w:cs="Times New Roman"/>
          <w:sz w:val="22"/>
        </w:rPr>
        <w:t xml:space="preserve">Due to the inadequate </w:t>
      </w:r>
      <w:r w:rsidR="00A06EB9" w:rsidRPr="00B361C9">
        <w:rPr>
          <w:rFonts w:cs="Times New Roman"/>
          <w:sz w:val="22"/>
        </w:rPr>
        <w:t xml:space="preserve">documentation, analysts </w:t>
      </w:r>
      <w:r w:rsidR="005E21BF">
        <w:rPr>
          <w:rFonts w:cs="Times New Roman"/>
          <w:sz w:val="22"/>
        </w:rPr>
        <w:t>review</w:t>
      </w:r>
      <w:r w:rsidR="00613AB9">
        <w:rPr>
          <w:rFonts w:cs="Times New Roman"/>
          <w:sz w:val="22"/>
        </w:rPr>
        <w:t>ed</w:t>
      </w:r>
      <w:r w:rsidR="005E21BF">
        <w:rPr>
          <w:rFonts w:cs="Times New Roman"/>
          <w:sz w:val="22"/>
        </w:rPr>
        <w:t xml:space="preserve"> </w:t>
      </w:r>
      <w:r w:rsidR="00A06EB9" w:rsidRPr="00B361C9">
        <w:rPr>
          <w:rFonts w:cs="Times New Roman"/>
          <w:sz w:val="22"/>
        </w:rPr>
        <w:t xml:space="preserve">25 years of records and data </w:t>
      </w:r>
      <w:r w:rsidR="001523F6">
        <w:rPr>
          <w:rFonts w:cs="Times New Roman"/>
          <w:sz w:val="22"/>
        </w:rPr>
        <w:t xml:space="preserve">to establish that </w:t>
      </w:r>
      <w:r w:rsidR="00A06EB9" w:rsidRPr="00B361C9">
        <w:rPr>
          <w:rFonts w:cs="Times New Roman"/>
          <w:sz w:val="22"/>
        </w:rPr>
        <w:t xml:space="preserve">the </w:t>
      </w:r>
      <w:r w:rsidR="005E21BF">
        <w:rPr>
          <w:rFonts w:cs="Times New Roman"/>
          <w:sz w:val="22"/>
        </w:rPr>
        <w:t>modifications</w:t>
      </w:r>
      <w:r w:rsidR="00A06EB9" w:rsidRPr="00B361C9">
        <w:rPr>
          <w:rFonts w:cs="Times New Roman"/>
          <w:sz w:val="22"/>
        </w:rPr>
        <w:t xml:space="preserve"> </w:t>
      </w:r>
      <w:r w:rsidR="00452DD0">
        <w:rPr>
          <w:rFonts w:cs="Times New Roman"/>
          <w:sz w:val="22"/>
        </w:rPr>
        <w:t xml:space="preserve">made </w:t>
      </w:r>
      <w:r w:rsidR="00D66208" w:rsidRPr="00B361C9">
        <w:rPr>
          <w:rFonts w:cs="Times New Roman"/>
          <w:sz w:val="22"/>
        </w:rPr>
        <w:t xml:space="preserve">to the </w:t>
      </w:r>
      <w:r w:rsidR="001523F6">
        <w:rPr>
          <w:rFonts w:cs="Times New Roman"/>
          <w:sz w:val="22"/>
        </w:rPr>
        <w:t>original</w:t>
      </w:r>
      <w:r w:rsidR="00D66208" w:rsidRPr="00B361C9">
        <w:rPr>
          <w:rFonts w:cs="Times New Roman"/>
          <w:sz w:val="22"/>
        </w:rPr>
        <w:t xml:space="preserve"> methods</w:t>
      </w:r>
      <w:r w:rsidR="005E21BF">
        <w:rPr>
          <w:rFonts w:cs="Times New Roman"/>
          <w:sz w:val="22"/>
        </w:rPr>
        <w:t xml:space="preserve"> </w:t>
      </w:r>
      <w:r w:rsidR="00A06EB9" w:rsidRPr="00B361C9">
        <w:rPr>
          <w:rFonts w:cs="Times New Roman"/>
          <w:sz w:val="22"/>
        </w:rPr>
        <w:t>did not affect the</w:t>
      </w:r>
      <w:r w:rsidR="00E10D59" w:rsidRPr="00B361C9">
        <w:rPr>
          <w:rFonts w:cs="Times New Roman"/>
          <w:sz w:val="22"/>
        </w:rPr>
        <w:t xml:space="preserve"> </w:t>
      </w:r>
      <w:r w:rsidR="00D66208" w:rsidRPr="00B361C9">
        <w:rPr>
          <w:rFonts w:cs="Times New Roman"/>
          <w:sz w:val="22"/>
        </w:rPr>
        <w:t>quality of</w:t>
      </w:r>
      <w:r w:rsidR="00A06EB9" w:rsidRPr="00B361C9">
        <w:rPr>
          <w:rFonts w:cs="Times New Roman"/>
          <w:sz w:val="22"/>
        </w:rPr>
        <w:t xml:space="preserve"> results being provided.  For example, </w:t>
      </w:r>
      <w:r w:rsidR="00964DA9">
        <w:rPr>
          <w:rFonts w:cs="Times New Roman"/>
          <w:sz w:val="22"/>
        </w:rPr>
        <w:t>a</w:t>
      </w:r>
      <w:r w:rsidR="00A06EB9" w:rsidRPr="00B361C9">
        <w:rPr>
          <w:rFonts w:cs="Times New Roman"/>
          <w:sz w:val="22"/>
        </w:rPr>
        <w:t xml:space="preserve">nalytical </w:t>
      </w:r>
      <w:r w:rsidR="00964DA9">
        <w:rPr>
          <w:rFonts w:cs="Times New Roman"/>
          <w:sz w:val="22"/>
        </w:rPr>
        <w:t>c</w:t>
      </w:r>
      <w:r w:rsidR="00A06EB9" w:rsidRPr="00B361C9">
        <w:rPr>
          <w:rFonts w:cs="Times New Roman"/>
          <w:sz w:val="22"/>
        </w:rPr>
        <w:t xml:space="preserve">hemistry at LANL has been using a version of the Davies-Gray </w:t>
      </w:r>
      <w:r w:rsidR="00964DA9">
        <w:rPr>
          <w:rFonts w:cs="Times New Roman"/>
          <w:sz w:val="22"/>
        </w:rPr>
        <w:t xml:space="preserve">titrimetric </w:t>
      </w:r>
      <w:r w:rsidR="00A06EB9" w:rsidRPr="00B361C9">
        <w:rPr>
          <w:rFonts w:cs="Times New Roman"/>
          <w:sz w:val="22"/>
        </w:rPr>
        <w:t>analysis</w:t>
      </w:r>
      <w:r w:rsidR="00EA04F0" w:rsidRPr="00B361C9">
        <w:rPr>
          <w:rFonts w:cs="Times New Roman"/>
          <w:sz w:val="22"/>
        </w:rPr>
        <w:t xml:space="preserve"> modified to use ceric sulfate as the titrant </w:t>
      </w:r>
      <w:r w:rsidR="00533D63">
        <w:rPr>
          <w:rFonts w:cs="Times New Roman"/>
          <w:sz w:val="22"/>
        </w:rPr>
        <w:t xml:space="preserve">with </w:t>
      </w:r>
      <w:r w:rsidR="00A06EB9" w:rsidRPr="00B361C9">
        <w:rPr>
          <w:rFonts w:cs="Times New Roman"/>
          <w:sz w:val="22"/>
        </w:rPr>
        <w:t>CRM 112a for calibration</w:t>
      </w:r>
      <w:r w:rsidR="00EA04F0" w:rsidRPr="00B361C9">
        <w:rPr>
          <w:rFonts w:cs="Times New Roman"/>
          <w:sz w:val="22"/>
        </w:rPr>
        <w:t xml:space="preserve"> since 1992</w:t>
      </w:r>
      <w:r w:rsidR="00A06EB9" w:rsidRPr="00B361C9">
        <w:rPr>
          <w:rFonts w:cs="Times New Roman"/>
          <w:sz w:val="22"/>
        </w:rPr>
        <w:t xml:space="preserve">.  The </w:t>
      </w:r>
      <w:r w:rsidR="00452DD0">
        <w:rPr>
          <w:rFonts w:cs="Times New Roman"/>
          <w:sz w:val="22"/>
        </w:rPr>
        <w:t>record review</w:t>
      </w:r>
      <w:r w:rsidR="00A06EB9" w:rsidRPr="00B361C9">
        <w:rPr>
          <w:rFonts w:cs="Times New Roman"/>
          <w:sz w:val="22"/>
        </w:rPr>
        <w:t xml:space="preserve"> found that two separate LANL technicians </w:t>
      </w:r>
      <w:r w:rsidR="00452DD0">
        <w:rPr>
          <w:rFonts w:cs="Times New Roman"/>
          <w:sz w:val="22"/>
        </w:rPr>
        <w:t>had run</w:t>
      </w:r>
      <w:r w:rsidR="00452DD0" w:rsidRPr="00B361C9">
        <w:rPr>
          <w:rFonts w:cs="Times New Roman"/>
          <w:sz w:val="22"/>
        </w:rPr>
        <w:t xml:space="preserve"> </w:t>
      </w:r>
      <w:r w:rsidR="00A06EB9" w:rsidRPr="00B361C9">
        <w:rPr>
          <w:rFonts w:cs="Times New Roman"/>
          <w:sz w:val="22"/>
        </w:rPr>
        <w:t xml:space="preserve">identical samples using the original </w:t>
      </w:r>
      <w:r w:rsidR="00EA04F0" w:rsidRPr="00B361C9">
        <w:rPr>
          <w:rFonts w:cs="Times New Roman"/>
          <w:sz w:val="22"/>
        </w:rPr>
        <w:t xml:space="preserve">dichromate standard titrant </w:t>
      </w:r>
      <w:r w:rsidR="00A06EB9" w:rsidRPr="00B361C9">
        <w:rPr>
          <w:rFonts w:cs="Times New Roman"/>
          <w:sz w:val="22"/>
        </w:rPr>
        <w:t xml:space="preserve">method and the </w:t>
      </w:r>
      <w:r w:rsidR="001523F6">
        <w:rPr>
          <w:rFonts w:cs="Times New Roman"/>
          <w:sz w:val="22"/>
        </w:rPr>
        <w:t xml:space="preserve">modified </w:t>
      </w:r>
      <w:r w:rsidR="00EA04F0" w:rsidRPr="00B361C9">
        <w:rPr>
          <w:rFonts w:cs="Times New Roman"/>
          <w:sz w:val="22"/>
        </w:rPr>
        <w:t>ceric sulfate</w:t>
      </w:r>
      <w:r w:rsidR="00A06EB9" w:rsidRPr="00B361C9">
        <w:rPr>
          <w:rFonts w:cs="Times New Roman"/>
          <w:sz w:val="22"/>
        </w:rPr>
        <w:t xml:space="preserve"> </w:t>
      </w:r>
      <w:r w:rsidR="001523F6">
        <w:rPr>
          <w:rFonts w:cs="Times New Roman"/>
          <w:sz w:val="22"/>
        </w:rPr>
        <w:t xml:space="preserve">titrant </w:t>
      </w:r>
      <w:r w:rsidR="00A06EB9" w:rsidRPr="00B361C9">
        <w:rPr>
          <w:rFonts w:cs="Times New Roman"/>
          <w:sz w:val="22"/>
        </w:rPr>
        <w:t>method prior to</w:t>
      </w:r>
      <w:r w:rsidR="00533D63">
        <w:rPr>
          <w:rFonts w:cs="Times New Roman"/>
          <w:sz w:val="22"/>
        </w:rPr>
        <w:t xml:space="preserve"> implementation of</w:t>
      </w:r>
      <w:r w:rsidR="00A06EB9" w:rsidRPr="00B361C9">
        <w:rPr>
          <w:rFonts w:cs="Times New Roman"/>
          <w:sz w:val="22"/>
        </w:rPr>
        <w:t xml:space="preserve"> the </w:t>
      </w:r>
      <w:r w:rsidR="00A44202" w:rsidRPr="00B361C9">
        <w:rPr>
          <w:rFonts w:cs="Times New Roman"/>
          <w:sz w:val="22"/>
        </w:rPr>
        <w:t>change</w:t>
      </w:r>
      <w:r w:rsidR="00A143FD" w:rsidRPr="00B361C9">
        <w:rPr>
          <w:rFonts w:cs="Times New Roman"/>
          <w:sz w:val="22"/>
        </w:rPr>
        <w:t>s</w:t>
      </w:r>
      <w:r w:rsidR="00A06EB9" w:rsidRPr="00B361C9">
        <w:rPr>
          <w:rFonts w:cs="Times New Roman"/>
          <w:sz w:val="22"/>
        </w:rPr>
        <w:t xml:space="preserve">.  These records included comments regarding </w:t>
      </w:r>
      <w:r w:rsidR="001523F6">
        <w:rPr>
          <w:rFonts w:cs="Times New Roman"/>
          <w:sz w:val="22"/>
        </w:rPr>
        <w:t xml:space="preserve">modified </w:t>
      </w:r>
      <w:r w:rsidR="00A06EB9" w:rsidRPr="00B361C9">
        <w:rPr>
          <w:rFonts w:cs="Times New Roman"/>
          <w:sz w:val="22"/>
        </w:rPr>
        <w:t>method</w:t>
      </w:r>
      <w:r w:rsidR="00613AB9">
        <w:rPr>
          <w:rFonts w:cs="Times New Roman"/>
          <w:sz w:val="22"/>
        </w:rPr>
        <w:t>’s</w:t>
      </w:r>
      <w:r w:rsidR="00A06EB9" w:rsidRPr="00B361C9">
        <w:rPr>
          <w:rFonts w:cs="Times New Roman"/>
          <w:sz w:val="22"/>
        </w:rPr>
        <w:t xml:space="preserve"> performance.  In addition, the modified method LANL </w:t>
      </w:r>
      <w:r w:rsidR="00A143FD" w:rsidRPr="00B361C9">
        <w:rPr>
          <w:rFonts w:cs="Times New Roman"/>
          <w:sz w:val="22"/>
        </w:rPr>
        <w:t xml:space="preserve">currently </w:t>
      </w:r>
      <w:r w:rsidR="005E21BF">
        <w:rPr>
          <w:rFonts w:cs="Times New Roman"/>
          <w:sz w:val="22"/>
        </w:rPr>
        <w:t>use</w:t>
      </w:r>
      <w:r w:rsidR="00613AB9">
        <w:rPr>
          <w:rFonts w:cs="Times New Roman"/>
          <w:sz w:val="22"/>
        </w:rPr>
        <w:t>s</w:t>
      </w:r>
      <w:r w:rsidR="005E21BF">
        <w:rPr>
          <w:rFonts w:cs="Times New Roman"/>
          <w:sz w:val="22"/>
        </w:rPr>
        <w:t xml:space="preserve"> </w:t>
      </w:r>
      <w:r w:rsidR="00A143FD" w:rsidRPr="00B361C9">
        <w:rPr>
          <w:rFonts w:cs="Times New Roman"/>
          <w:sz w:val="22"/>
        </w:rPr>
        <w:t>wa</w:t>
      </w:r>
      <w:r w:rsidR="00A06EB9" w:rsidRPr="00B361C9">
        <w:rPr>
          <w:rFonts w:cs="Times New Roman"/>
          <w:sz w:val="22"/>
        </w:rPr>
        <w:t>s published in a peer</w:t>
      </w:r>
      <w:r w:rsidR="00EA04F0" w:rsidRPr="00B361C9">
        <w:rPr>
          <w:rFonts w:cs="Times New Roman"/>
          <w:sz w:val="22"/>
        </w:rPr>
        <w:t xml:space="preserve"> </w:t>
      </w:r>
      <w:r w:rsidR="00A06EB9" w:rsidRPr="00B361C9">
        <w:rPr>
          <w:rFonts w:cs="Times New Roman"/>
          <w:sz w:val="22"/>
        </w:rPr>
        <w:t>report by NBL [</w:t>
      </w:r>
      <w:r w:rsidR="00AB0945">
        <w:rPr>
          <w:rFonts w:cs="Times New Roman"/>
          <w:sz w:val="22"/>
        </w:rPr>
        <w:t>14</w:t>
      </w:r>
      <w:r w:rsidR="00A06EB9" w:rsidRPr="00B361C9">
        <w:rPr>
          <w:rFonts w:cs="Times New Roman"/>
          <w:sz w:val="22"/>
        </w:rPr>
        <w:t>].</w:t>
      </w:r>
      <w:r w:rsidR="00E43DF9" w:rsidRPr="00B361C9">
        <w:rPr>
          <w:rFonts w:cs="Times New Roman"/>
          <w:sz w:val="22"/>
        </w:rPr>
        <w:t xml:space="preserve"> </w:t>
      </w:r>
      <w:r w:rsidR="00A06EB9" w:rsidRPr="00B361C9">
        <w:rPr>
          <w:rFonts w:cs="Times New Roman"/>
          <w:sz w:val="22"/>
        </w:rPr>
        <w:t xml:space="preserve"> This report was a rigorous statistical comparison of the original and modified methods</w:t>
      </w:r>
      <w:r w:rsidR="007F6B7F" w:rsidRPr="00B361C9">
        <w:rPr>
          <w:rFonts w:cs="Times New Roman"/>
          <w:sz w:val="22"/>
        </w:rPr>
        <w:t>, finding</w:t>
      </w:r>
      <w:r w:rsidR="00A06EB9" w:rsidRPr="00B361C9">
        <w:rPr>
          <w:rFonts w:cs="Times New Roman"/>
          <w:sz w:val="22"/>
        </w:rPr>
        <w:t xml:space="preserve"> that the two methods produced identical data</w:t>
      </w:r>
      <w:r w:rsidR="00A143FD" w:rsidRPr="00B361C9">
        <w:rPr>
          <w:rFonts w:cs="Times New Roman"/>
          <w:sz w:val="22"/>
        </w:rPr>
        <w:t xml:space="preserve"> on</w:t>
      </w:r>
      <w:r w:rsidR="00EA04F0" w:rsidRPr="00B361C9">
        <w:rPr>
          <w:rFonts w:cs="Times New Roman"/>
          <w:sz w:val="22"/>
        </w:rPr>
        <w:t xml:space="preserve"> appropriately matrix</w:t>
      </w:r>
      <w:r w:rsidR="00452DD0">
        <w:rPr>
          <w:rFonts w:cs="Times New Roman"/>
          <w:sz w:val="22"/>
        </w:rPr>
        <w:t>-</w:t>
      </w:r>
      <w:r w:rsidR="00EA04F0" w:rsidRPr="00B361C9">
        <w:rPr>
          <w:rFonts w:cs="Times New Roman"/>
          <w:sz w:val="22"/>
        </w:rPr>
        <w:t xml:space="preserve">matched </w:t>
      </w:r>
      <w:r w:rsidR="00533D63" w:rsidRPr="00B361C9">
        <w:rPr>
          <w:rFonts w:cs="Times New Roman"/>
          <w:sz w:val="22"/>
        </w:rPr>
        <w:t>materials.</w:t>
      </w:r>
      <w:r w:rsidR="00E10D59" w:rsidRPr="00B361C9">
        <w:rPr>
          <w:rFonts w:cs="Times New Roman"/>
          <w:sz w:val="22"/>
        </w:rPr>
        <w:t xml:space="preserve">  </w:t>
      </w:r>
      <w:r w:rsidR="00533D63" w:rsidRPr="00B361C9">
        <w:rPr>
          <w:rFonts w:cs="Times New Roman"/>
          <w:sz w:val="22"/>
        </w:rPr>
        <w:t>Finally,</w:t>
      </w:r>
      <w:r w:rsidR="00A06EB9" w:rsidRPr="00B361C9">
        <w:rPr>
          <w:rFonts w:cs="Times New Roman"/>
          <w:sz w:val="22"/>
        </w:rPr>
        <w:t xml:space="preserve"> </w:t>
      </w:r>
      <w:r w:rsidR="00DB5024">
        <w:rPr>
          <w:rFonts w:cs="Times New Roman"/>
          <w:sz w:val="22"/>
        </w:rPr>
        <w:t xml:space="preserve">the method had </w:t>
      </w:r>
      <w:r w:rsidR="00A06EB9" w:rsidRPr="00B361C9">
        <w:rPr>
          <w:rFonts w:cs="Times New Roman"/>
          <w:sz w:val="22"/>
        </w:rPr>
        <w:t xml:space="preserve">continuous participation in an ongoing </w:t>
      </w:r>
      <w:r w:rsidR="00533D63">
        <w:rPr>
          <w:rFonts w:cs="Times New Roman"/>
          <w:sz w:val="22"/>
        </w:rPr>
        <w:t>inter-</w:t>
      </w:r>
      <w:r w:rsidR="00A143FD" w:rsidRPr="00B361C9">
        <w:rPr>
          <w:rFonts w:cs="Times New Roman"/>
          <w:sz w:val="22"/>
        </w:rPr>
        <w:t xml:space="preserve">laboratory comparison </w:t>
      </w:r>
      <w:r w:rsidR="00D21E91" w:rsidRPr="00B361C9">
        <w:rPr>
          <w:rFonts w:cs="Times New Roman"/>
          <w:sz w:val="22"/>
        </w:rPr>
        <w:t>program</w:t>
      </w:r>
      <w:r w:rsidR="00DB5024" w:rsidRPr="00DB5024">
        <w:rPr>
          <w:rFonts w:cs="Times New Roman"/>
          <w:sz w:val="22"/>
        </w:rPr>
        <w:t xml:space="preserve"> </w:t>
      </w:r>
      <w:r w:rsidR="00DB5024" w:rsidRPr="00B361C9">
        <w:rPr>
          <w:rFonts w:cs="Times New Roman"/>
          <w:sz w:val="22"/>
        </w:rPr>
        <w:t>evaluat</w:t>
      </w:r>
      <w:r w:rsidR="00DB5024">
        <w:rPr>
          <w:rFonts w:cs="Times New Roman"/>
          <w:sz w:val="22"/>
        </w:rPr>
        <w:t xml:space="preserve">ing </w:t>
      </w:r>
      <w:r w:rsidR="00DB5024" w:rsidRPr="00B361C9">
        <w:rPr>
          <w:rFonts w:cs="Times New Roman"/>
          <w:sz w:val="22"/>
        </w:rPr>
        <w:t>aga</w:t>
      </w:r>
      <w:r w:rsidR="00DB5024">
        <w:rPr>
          <w:rFonts w:cs="Times New Roman"/>
          <w:sz w:val="22"/>
        </w:rPr>
        <w:t xml:space="preserve">inst International Target Values.  </w:t>
      </w:r>
      <w:r w:rsidR="00A06EB9" w:rsidRPr="00B361C9">
        <w:rPr>
          <w:rFonts w:cs="Times New Roman"/>
          <w:sz w:val="22"/>
        </w:rPr>
        <w:t>As a result</w:t>
      </w:r>
      <w:r w:rsidR="00E43DF9" w:rsidRPr="00B361C9">
        <w:rPr>
          <w:rFonts w:cs="Times New Roman"/>
          <w:sz w:val="22"/>
        </w:rPr>
        <w:t>,</w:t>
      </w:r>
      <w:r w:rsidR="00A06EB9" w:rsidRPr="00B361C9">
        <w:rPr>
          <w:rFonts w:cs="Times New Roman"/>
          <w:sz w:val="22"/>
        </w:rPr>
        <w:t xml:space="preserve"> memos and yearly reports from </w:t>
      </w:r>
      <w:r w:rsidR="007F6B7F" w:rsidRPr="00B361C9">
        <w:rPr>
          <w:rFonts w:cs="Times New Roman"/>
          <w:sz w:val="22"/>
        </w:rPr>
        <w:t>an</w:t>
      </w:r>
      <w:r w:rsidR="00A06EB9" w:rsidRPr="00B361C9">
        <w:rPr>
          <w:rFonts w:cs="Times New Roman"/>
          <w:sz w:val="22"/>
        </w:rPr>
        <w:t xml:space="preserve"> independent evaluator proved the modified method was </w:t>
      </w:r>
      <w:r w:rsidR="00452DD0">
        <w:rPr>
          <w:rFonts w:cs="Times New Roman"/>
          <w:sz w:val="22"/>
        </w:rPr>
        <w:t>yielding</w:t>
      </w:r>
      <w:r w:rsidR="00452DD0" w:rsidRPr="00B361C9">
        <w:rPr>
          <w:rFonts w:cs="Times New Roman"/>
          <w:sz w:val="22"/>
        </w:rPr>
        <w:t xml:space="preserve"> </w:t>
      </w:r>
      <w:r w:rsidR="00A06EB9" w:rsidRPr="00B361C9">
        <w:rPr>
          <w:rFonts w:cs="Times New Roman"/>
          <w:sz w:val="22"/>
        </w:rPr>
        <w:t>continuous, unbiased, and accurate results</w:t>
      </w:r>
      <w:r w:rsidR="00A143FD" w:rsidRPr="00B361C9">
        <w:rPr>
          <w:rFonts w:cs="Times New Roman"/>
          <w:sz w:val="22"/>
        </w:rPr>
        <w:t xml:space="preserve"> with uncertaint</w:t>
      </w:r>
      <w:r w:rsidR="00533D63">
        <w:rPr>
          <w:rFonts w:cs="Times New Roman"/>
          <w:sz w:val="22"/>
        </w:rPr>
        <w:t>ies</w:t>
      </w:r>
      <w:r w:rsidR="00A143FD" w:rsidRPr="00B361C9">
        <w:rPr>
          <w:rFonts w:cs="Times New Roman"/>
          <w:sz w:val="22"/>
        </w:rPr>
        <w:t xml:space="preserve"> that met international standards</w:t>
      </w:r>
      <w:r w:rsidR="00A06EB9" w:rsidRPr="00B361C9">
        <w:rPr>
          <w:rFonts w:cs="Times New Roman"/>
          <w:sz w:val="22"/>
        </w:rPr>
        <w:t xml:space="preserve">.  With these facts in hand, a validation memo </w:t>
      </w:r>
      <w:r w:rsidR="00DB5024">
        <w:rPr>
          <w:rFonts w:cs="Times New Roman"/>
          <w:sz w:val="22"/>
        </w:rPr>
        <w:t xml:space="preserve">formally </w:t>
      </w:r>
      <w:r w:rsidR="00A06EB9" w:rsidRPr="00B361C9">
        <w:rPr>
          <w:rFonts w:cs="Times New Roman"/>
          <w:sz w:val="22"/>
        </w:rPr>
        <w:t>documenting the history, the statistical accuracy, and uncertainty of the method, as well as the ongoing excellent performance</w:t>
      </w:r>
      <w:r w:rsidR="00452DD0">
        <w:rPr>
          <w:rFonts w:cs="Times New Roman"/>
          <w:sz w:val="22"/>
        </w:rPr>
        <w:t>,</w:t>
      </w:r>
      <w:r w:rsidR="000F4432">
        <w:rPr>
          <w:rFonts w:cs="Times New Roman"/>
          <w:sz w:val="22"/>
        </w:rPr>
        <w:t xml:space="preserve"> </w:t>
      </w:r>
      <w:r w:rsidR="00A06EB9" w:rsidRPr="00B361C9">
        <w:rPr>
          <w:rFonts w:cs="Times New Roman"/>
          <w:sz w:val="22"/>
        </w:rPr>
        <w:t>was issued.</w:t>
      </w:r>
    </w:p>
    <w:p w:rsidR="00153A99" w:rsidRPr="00B361C9" w:rsidRDefault="00153A99" w:rsidP="008151E8">
      <w:pPr>
        <w:pStyle w:val="ListParagraph"/>
        <w:spacing w:line="240" w:lineRule="auto"/>
        <w:ind w:left="0"/>
        <w:rPr>
          <w:rFonts w:cs="Times New Roman"/>
          <w:sz w:val="22"/>
        </w:rPr>
      </w:pPr>
    </w:p>
    <w:p w:rsidR="00A601F6" w:rsidRPr="00B361C9" w:rsidRDefault="000C6D6F" w:rsidP="008151E8">
      <w:pPr>
        <w:pStyle w:val="ListParagraph"/>
        <w:spacing w:line="240" w:lineRule="auto"/>
        <w:ind w:left="0"/>
        <w:rPr>
          <w:rFonts w:cs="Times New Roman"/>
          <w:sz w:val="22"/>
        </w:rPr>
      </w:pPr>
      <w:r>
        <w:rPr>
          <w:rFonts w:cs="Times New Roman"/>
          <w:sz w:val="22"/>
        </w:rPr>
        <w:t>3.2</w:t>
      </w:r>
      <w:r>
        <w:rPr>
          <w:rFonts w:cs="Times New Roman"/>
          <w:sz w:val="22"/>
        </w:rPr>
        <w:tab/>
      </w:r>
      <w:r w:rsidR="005F17A8" w:rsidRPr="00B361C9">
        <w:rPr>
          <w:rFonts w:cs="Times New Roman"/>
          <w:i/>
          <w:sz w:val="22"/>
        </w:rPr>
        <w:t>Procedural issues and potential impacts</w:t>
      </w:r>
    </w:p>
    <w:p w:rsidR="00D0773B" w:rsidRPr="00B361C9" w:rsidRDefault="00A06EB9" w:rsidP="008151E8">
      <w:pPr>
        <w:spacing w:line="240" w:lineRule="auto"/>
        <w:contextualSpacing/>
        <w:rPr>
          <w:rFonts w:cs="Times New Roman"/>
          <w:sz w:val="22"/>
        </w:rPr>
      </w:pPr>
      <w:r w:rsidRPr="00B361C9">
        <w:rPr>
          <w:rFonts w:cs="Times New Roman"/>
          <w:sz w:val="22"/>
        </w:rPr>
        <w:t xml:space="preserve">Once a method is validated, </w:t>
      </w:r>
      <w:r w:rsidR="005E21BF">
        <w:rPr>
          <w:rFonts w:cs="Times New Roman"/>
          <w:sz w:val="22"/>
        </w:rPr>
        <w:t xml:space="preserve">and </w:t>
      </w:r>
      <w:r w:rsidRPr="00B361C9">
        <w:rPr>
          <w:rFonts w:cs="Times New Roman"/>
          <w:sz w:val="22"/>
        </w:rPr>
        <w:t>after proving long</w:t>
      </w:r>
      <w:r w:rsidR="00E43DF9" w:rsidRPr="00B361C9">
        <w:rPr>
          <w:rFonts w:cs="Times New Roman"/>
          <w:sz w:val="22"/>
        </w:rPr>
        <w:t>-</w:t>
      </w:r>
      <w:r w:rsidRPr="00B361C9">
        <w:rPr>
          <w:rFonts w:cs="Times New Roman"/>
          <w:sz w:val="22"/>
        </w:rPr>
        <w:t xml:space="preserve">term statistical control, the next challenge is to keep </w:t>
      </w:r>
      <w:r w:rsidR="005E21BF">
        <w:rPr>
          <w:rFonts w:cs="Times New Roman"/>
          <w:sz w:val="22"/>
        </w:rPr>
        <w:t>the method</w:t>
      </w:r>
      <w:r w:rsidR="005E21BF" w:rsidRPr="00B361C9">
        <w:rPr>
          <w:rFonts w:cs="Times New Roman"/>
          <w:sz w:val="22"/>
        </w:rPr>
        <w:t xml:space="preserve"> </w:t>
      </w:r>
      <w:r w:rsidRPr="00B361C9">
        <w:rPr>
          <w:rFonts w:cs="Times New Roman"/>
          <w:sz w:val="22"/>
        </w:rPr>
        <w:t>validated by exercising the measurement system on a regular basis</w:t>
      </w:r>
      <w:r w:rsidR="006D72D0" w:rsidRPr="00B361C9">
        <w:rPr>
          <w:rFonts w:cs="Times New Roman"/>
          <w:sz w:val="22"/>
        </w:rPr>
        <w:t>.</w:t>
      </w:r>
      <w:r w:rsidR="00D0773B" w:rsidRPr="00B361C9">
        <w:rPr>
          <w:rFonts w:cs="Times New Roman"/>
          <w:sz w:val="22"/>
        </w:rPr>
        <w:t xml:space="preserve"> </w:t>
      </w:r>
      <w:r w:rsidR="00D21E91" w:rsidRPr="00B361C9">
        <w:rPr>
          <w:rFonts w:cs="Times New Roman"/>
          <w:sz w:val="22"/>
        </w:rPr>
        <w:t xml:space="preserve"> </w:t>
      </w:r>
      <w:r w:rsidR="007F73F0" w:rsidRPr="00B361C9">
        <w:rPr>
          <w:rFonts w:cs="Times New Roman"/>
          <w:sz w:val="22"/>
        </w:rPr>
        <w:t>It is also important to maintain traceability</w:t>
      </w:r>
      <w:r w:rsidR="00D861B9" w:rsidRPr="00B361C9">
        <w:rPr>
          <w:rFonts w:cs="Times New Roman"/>
          <w:sz w:val="22"/>
        </w:rPr>
        <w:t xml:space="preserve"> through use of appropriate calibration and QC</w:t>
      </w:r>
      <w:r w:rsidR="0083283D">
        <w:rPr>
          <w:rFonts w:cs="Times New Roman"/>
          <w:sz w:val="22"/>
        </w:rPr>
        <w:t xml:space="preserve"> </w:t>
      </w:r>
      <w:r w:rsidR="007F35C8">
        <w:rPr>
          <w:rFonts w:cs="Times New Roman"/>
          <w:sz w:val="22"/>
        </w:rPr>
        <w:t>materials</w:t>
      </w:r>
      <w:r w:rsidR="00D21E91" w:rsidRPr="00B361C9">
        <w:rPr>
          <w:rFonts w:cs="Times New Roman"/>
          <w:sz w:val="22"/>
        </w:rPr>
        <w:t xml:space="preserve">.  </w:t>
      </w:r>
      <w:r w:rsidRPr="00B361C9">
        <w:rPr>
          <w:rFonts w:cs="Times New Roman"/>
          <w:sz w:val="22"/>
        </w:rPr>
        <w:t xml:space="preserve">Nuclear forensic samples can sometimes provide unique challenges </w:t>
      </w:r>
      <w:r w:rsidR="00452DD0">
        <w:rPr>
          <w:rFonts w:cs="Times New Roman"/>
          <w:sz w:val="22"/>
        </w:rPr>
        <w:t>by</w:t>
      </w:r>
      <w:r w:rsidR="00452DD0" w:rsidRPr="00B361C9">
        <w:rPr>
          <w:rFonts w:cs="Times New Roman"/>
          <w:sz w:val="22"/>
        </w:rPr>
        <w:t xml:space="preserve"> </w:t>
      </w:r>
      <w:r w:rsidR="005E21BF">
        <w:rPr>
          <w:rFonts w:cs="Times New Roman"/>
          <w:sz w:val="22"/>
        </w:rPr>
        <w:t>being greatly different</w:t>
      </w:r>
      <w:r w:rsidR="004F150A">
        <w:rPr>
          <w:rFonts w:cs="Times New Roman"/>
          <w:sz w:val="22"/>
        </w:rPr>
        <w:t xml:space="preserve"> </w:t>
      </w:r>
      <w:r w:rsidR="00452DD0">
        <w:rPr>
          <w:rFonts w:cs="Times New Roman"/>
          <w:sz w:val="22"/>
        </w:rPr>
        <w:t>than</w:t>
      </w:r>
      <w:r w:rsidR="0083283D">
        <w:rPr>
          <w:rFonts w:cs="Times New Roman"/>
          <w:sz w:val="22"/>
        </w:rPr>
        <w:t xml:space="preserve"> </w:t>
      </w:r>
      <w:r w:rsidRPr="00B361C9">
        <w:rPr>
          <w:rFonts w:cs="Times New Roman"/>
          <w:sz w:val="22"/>
        </w:rPr>
        <w:t>production samples [</w:t>
      </w:r>
      <w:r w:rsidR="00AB0945">
        <w:rPr>
          <w:rFonts w:cs="Times New Roman"/>
          <w:sz w:val="22"/>
        </w:rPr>
        <w:t>7</w:t>
      </w:r>
      <w:r w:rsidR="00D05638" w:rsidRPr="00B361C9">
        <w:rPr>
          <w:rFonts w:cs="Times New Roman"/>
          <w:sz w:val="22"/>
        </w:rPr>
        <w:t>,</w:t>
      </w:r>
      <w:r w:rsidR="00D368AE">
        <w:rPr>
          <w:rFonts w:cs="Times New Roman"/>
          <w:sz w:val="22"/>
        </w:rPr>
        <w:t xml:space="preserve"> </w:t>
      </w:r>
      <w:r w:rsidR="00AB0945">
        <w:rPr>
          <w:rFonts w:cs="Times New Roman"/>
          <w:sz w:val="22"/>
        </w:rPr>
        <w:t>15, 16</w:t>
      </w:r>
      <w:r w:rsidR="000A3688">
        <w:rPr>
          <w:rFonts w:cs="Times New Roman"/>
          <w:sz w:val="22"/>
        </w:rPr>
        <w:t>, 1</w:t>
      </w:r>
      <w:r w:rsidR="00AB0945">
        <w:rPr>
          <w:rFonts w:cs="Times New Roman"/>
          <w:sz w:val="22"/>
        </w:rPr>
        <w:t>7</w:t>
      </w:r>
      <w:r w:rsidR="005E21BF" w:rsidRPr="00B361C9">
        <w:rPr>
          <w:rFonts w:cs="Times New Roman"/>
          <w:sz w:val="22"/>
        </w:rPr>
        <w:t>]</w:t>
      </w:r>
      <w:r w:rsidR="005E21BF">
        <w:rPr>
          <w:rFonts w:cs="Times New Roman"/>
          <w:sz w:val="22"/>
        </w:rPr>
        <w:t>.  To address this,</w:t>
      </w:r>
      <w:r w:rsidRPr="00B361C9">
        <w:rPr>
          <w:rFonts w:cs="Times New Roman"/>
          <w:sz w:val="22"/>
        </w:rPr>
        <w:t xml:space="preserve"> the program </w:t>
      </w:r>
      <w:r w:rsidR="005E21BF">
        <w:rPr>
          <w:rFonts w:cs="Times New Roman"/>
          <w:sz w:val="22"/>
        </w:rPr>
        <w:t>must</w:t>
      </w:r>
      <w:r w:rsidRPr="00B361C9">
        <w:rPr>
          <w:rFonts w:cs="Times New Roman"/>
          <w:sz w:val="22"/>
        </w:rPr>
        <w:t xml:space="preserve"> be designed in a manner that allows for variability </w:t>
      </w:r>
      <w:r w:rsidR="003E754E">
        <w:rPr>
          <w:rFonts w:cs="Times New Roman"/>
          <w:sz w:val="22"/>
        </w:rPr>
        <w:t xml:space="preserve">found in material </w:t>
      </w:r>
      <w:r w:rsidR="007F35C8">
        <w:rPr>
          <w:rFonts w:cs="Times New Roman"/>
          <w:sz w:val="22"/>
        </w:rPr>
        <w:t xml:space="preserve">types </w:t>
      </w:r>
      <w:r w:rsidR="003E754E">
        <w:rPr>
          <w:rFonts w:cs="Times New Roman"/>
          <w:sz w:val="22"/>
        </w:rPr>
        <w:t xml:space="preserve">so </w:t>
      </w:r>
      <w:r w:rsidRPr="00B361C9">
        <w:rPr>
          <w:rFonts w:cs="Times New Roman"/>
          <w:sz w:val="22"/>
        </w:rPr>
        <w:t xml:space="preserve">that the results are admissible in court or </w:t>
      </w:r>
      <w:r w:rsidR="006D72D0" w:rsidRPr="00B361C9">
        <w:rPr>
          <w:rFonts w:cs="Times New Roman"/>
          <w:sz w:val="22"/>
        </w:rPr>
        <w:t xml:space="preserve">pass </w:t>
      </w:r>
      <w:r w:rsidR="00D0773B" w:rsidRPr="00B361C9">
        <w:rPr>
          <w:rFonts w:cs="Times New Roman"/>
          <w:sz w:val="22"/>
        </w:rPr>
        <w:t>scientific peer review.</w:t>
      </w:r>
      <w:r w:rsidR="00846BE3" w:rsidRPr="00B361C9">
        <w:rPr>
          <w:rFonts w:cs="Times New Roman"/>
          <w:sz w:val="22"/>
        </w:rPr>
        <w:t xml:space="preserve"> </w:t>
      </w:r>
      <w:r w:rsidR="00D0773B" w:rsidRPr="00B361C9">
        <w:rPr>
          <w:rFonts w:cs="Times New Roman"/>
          <w:sz w:val="22"/>
        </w:rPr>
        <w:t xml:space="preserve"> </w:t>
      </w:r>
      <w:r w:rsidR="000C3683">
        <w:rPr>
          <w:rFonts w:cs="Times New Roman"/>
          <w:sz w:val="22"/>
        </w:rPr>
        <w:t>Therefore, w</w:t>
      </w:r>
      <w:r w:rsidR="001B2AD1" w:rsidRPr="00B361C9">
        <w:rPr>
          <w:rFonts w:cs="Times New Roman"/>
          <w:sz w:val="22"/>
        </w:rPr>
        <w:t xml:space="preserve">hen updating methods with new information, </w:t>
      </w:r>
      <w:r w:rsidR="003E754E">
        <w:rPr>
          <w:rFonts w:cs="Times New Roman"/>
          <w:sz w:val="22"/>
        </w:rPr>
        <w:t>care must be taken to ensure t</w:t>
      </w:r>
      <w:r w:rsidR="001B2AD1" w:rsidRPr="00B361C9">
        <w:rPr>
          <w:rFonts w:cs="Times New Roman"/>
          <w:sz w:val="22"/>
        </w:rPr>
        <w:t xml:space="preserve">hat </w:t>
      </w:r>
      <w:r w:rsidR="007F35C8">
        <w:rPr>
          <w:rFonts w:cs="Times New Roman"/>
          <w:sz w:val="22"/>
        </w:rPr>
        <w:t xml:space="preserve">additions to or deletions from the procedure </w:t>
      </w:r>
      <w:r w:rsidR="003A0B54" w:rsidRPr="00B361C9">
        <w:rPr>
          <w:rFonts w:cs="Times New Roman"/>
          <w:sz w:val="22"/>
        </w:rPr>
        <w:t xml:space="preserve">do not </w:t>
      </w:r>
      <w:r w:rsidR="001B2AD1" w:rsidRPr="00B361C9">
        <w:rPr>
          <w:rFonts w:cs="Times New Roman"/>
          <w:sz w:val="22"/>
        </w:rPr>
        <w:t xml:space="preserve">change the </w:t>
      </w:r>
      <w:r w:rsidR="00D368AE" w:rsidRPr="00B361C9">
        <w:rPr>
          <w:rFonts w:cs="Times New Roman"/>
          <w:sz w:val="22"/>
        </w:rPr>
        <w:t>overall</w:t>
      </w:r>
      <w:r w:rsidR="001B2AD1" w:rsidRPr="00B361C9">
        <w:rPr>
          <w:rFonts w:cs="Times New Roman"/>
          <w:sz w:val="22"/>
        </w:rPr>
        <w:t xml:space="preserve"> validation status of the method.</w:t>
      </w:r>
      <w:r w:rsidR="00D0773B" w:rsidRPr="00B361C9">
        <w:rPr>
          <w:rFonts w:cs="Times New Roman"/>
          <w:sz w:val="22"/>
        </w:rPr>
        <w:t xml:space="preserve"> </w:t>
      </w:r>
      <w:r w:rsidR="0083283D">
        <w:rPr>
          <w:rFonts w:cs="Times New Roman"/>
          <w:sz w:val="22"/>
        </w:rPr>
        <w:t xml:space="preserve"> </w:t>
      </w:r>
      <w:r w:rsidR="007F35C8">
        <w:rPr>
          <w:rFonts w:cs="Times New Roman"/>
          <w:sz w:val="22"/>
        </w:rPr>
        <w:t>T</w:t>
      </w:r>
      <w:r w:rsidR="003E754E">
        <w:rPr>
          <w:rFonts w:cs="Times New Roman"/>
          <w:sz w:val="22"/>
        </w:rPr>
        <w:t>he</w:t>
      </w:r>
      <w:r w:rsidR="00D0773B" w:rsidRPr="00B361C9">
        <w:rPr>
          <w:rFonts w:cs="Times New Roman"/>
          <w:sz w:val="22"/>
        </w:rPr>
        <w:t xml:space="preserve"> validation process </w:t>
      </w:r>
      <w:r w:rsidR="007F35C8">
        <w:rPr>
          <w:rFonts w:cs="Times New Roman"/>
          <w:sz w:val="22"/>
        </w:rPr>
        <w:t>should evaluate</w:t>
      </w:r>
      <w:r w:rsidR="0083283D">
        <w:rPr>
          <w:rFonts w:cs="Times New Roman"/>
          <w:sz w:val="22"/>
        </w:rPr>
        <w:t xml:space="preserve"> a sufficient variety</w:t>
      </w:r>
      <w:r w:rsidR="007F35C8">
        <w:rPr>
          <w:rFonts w:cs="Times New Roman"/>
          <w:sz w:val="22"/>
        </w:rPr>
        <w:t xml:space="preserve"> of material type</w:t>
      </w:r>
      <w:r w:rsidR="0083283D">
        <w:rPr>
          <w:rFonts w:cs="Times New Roman"/>
          <w:sz w:val="22"/>
        </w:rPr>
        <w:t>s</w:t>
      </w:r>
      <w:r w:rsidR="00D025C9">
        <w:rPr>
          <w:rFonts w:cs="Times New Roman"/>
          <w:sz w:val="22"/>
        </w:rPr>
        <w:t xml:space="preserve"> </w:t>
      </w:r>
      <w:r w:rsidR="007F35C8">
        <w:rPr>
          <w:rFonts w:cs="Times New Roman"/>
          <w:sz w:val="22"/>
        </w:rPr>
        <w:t>to verify and retain</w:t>
      </w:r>
      <w:r w:rsidR="00D0773B" w:rsidRPr="00B361C9">
        <w:rPr>
          <w:rFonts w:cs="Times New Roman"/>
          <w:sz w:val="22"/>
        </w:rPr>
        <w:t xml:space="preserve"> </w:t>
      </w:r>
      <w:r w:rsidR="007F35C8">
        <w:rPr>
          <w:rFonts w:cs="Times New Roman"/>
          <w:sz w:val="22"/>
        </w:rPr>
        <w:lastRenderedPageBreak/>
        <w:t xml:space="preserve">method </w:t>
      </w:r>
      <w:r w:rsidR="00D0773B" w:rsidRPr="00B361C9">
        <w:rPr>
          <w:rFonts w:cs="Times New Roman"/>
          <w:sz w:val="22"/>
        </w:rPr>
        <w:t xml:space="preserve">flexibility </w:t>
      </w:r>
      <w:r w:rsidR="00452DD0">
        <w:rPr>
          <w:rFonts w:cs="Times New Roman"/>
          <w:sz w:val="22"/>
        </w:rPr>
        <w:t>and</w:t>
      </w:r>
      <w:r w:rsidR="00D0773B" w:rsidRPr="00B361C9">
        <w:rPr>
          <w:rFonts w:cs="Times New Roman"/>
          <w:sz w:val="22"/>
        </w:rPr>
        <w:t xml:space="preserve"> </w:t>
      </w:r>
      <w:r w:rsidR="00452DD0">
        <w:rPr>
          <w:rFonts w:cs="Times New Roman"/>
          <w:sz w:val="22"/>
        </w:rPr>
        <w:t>c</w:t>
      </w:r>
      <w:r w:rsidR="0083283D">
        <w:rPr>
          <w:rFonts w:cs="Times New Roman"/>
          <w:sz w:val="22"/>
        </w:rPr>
        <w:t>ondition</w:t>
      </w:r>
      <w:r w:rsidR="006075CC">
        <w:rPr>
          <w:rFonts w:cs="Times New Roman"/>
          <w:sz w:val="22"/>
        </w:rPr>
        <w:t>al</w:t>
      </w:r>
      <w:r w:rsidR="0083283D">
        <w:rPr>
          <w:rFonts w:cs="Times New Roman"/>
          <w:sz w:val="22"/>
        </w:rPr>
        <w:t xml:space="preserve"> boundaries needed</w:t>
      </w:r>
      <w:r w:rsidR="00452DD0">
        <w:rPr>
          <w:rFonts w:cs="Times New Roman"/>
          <w:sz w:val="22"/>
        </w:rPr>
        <w:t xml:space="preserve"> </w:t>
      </w:r>
      <w:r w:rsidR="007F35C8">
        <w:rPr>
          <w:rFonts w:cs="Times New Roman"/>
          <w:sz w:val="22"/>
        </w:rPr>
        <w:t>to produce</w:t>
      </w:r>
      <w:r w:rsidR="00D0773B" w:rsidRPr="00B361C9">
        <w:rPr>
          <w:rFonts w:cs="Times New Roman"/>
          <w:sz w:val="22"/>
        </w:rPr>
        <w:t xml:space="preserve"> </w:t>
      </w:r>
      <w:r w:rsidR="007F35C8">
        <w:rPr>
          <w:rFonts w:cs="Times New Roman"/>
          <w:sz w:val="22"/>
        </w:rPr>
        <w:t>defensible</w:t>
      </w:r>
      <w:r w:rsidR="00D0773B" w:rsidRPr="00B361C9">
        <w:rPr>
          <w:rFonts w:cs="Times New Roman"/>
          <w:sz w:val="22"/>
        </w:rPr>
        <w:t xml:space="preserve"> </w:t>
      </w:r>
      <w:r w:rsidR="00D368AE" w:rsidRPr="00B361C9">
        <w:rPr>
          <w:rFonts w:cs="Times New Roman"/>
          <w:sz w:val="22"/>
        </w:rPr>
        <w:t>result</w:t>
      </w:r>
      <w:r w:rsidR="00D0773B" w:rsidRPr="00B361C9">
        <w:rPr>
          <w:rFonts w:cs="Times New Roman"/>
          <w:sz w:val="22"/>
        </w:rPr>
        <w:t xml:space="preserve"> in terms of accuracy, </w:t>
      </w:r>
      <w:r w:rsidR="003E754E" w:rsidRPr="00B361C9">
        <w:rPr>
          <w:rFonts w:cs="Times New Roman"/>
          <w:sz w:val="22"/>
        </w:rPr>
        <w:t>precision,</w:t>
      </w:r>
      <w:r w:rsidR="00D0773B" w:rsidRPr="00B361C9">
        <w:rPr>
          <w:rFonts w:cs="Times New Roman"/>
          <w:sz w:val="22"/>
        </w:rPr>
        <w:t xml:space="preserve"> and uncertainty.  </w:t>
      </w:r>
      <w:r w:rsidRPr="00B361C9">
        <w:rPr>
          <w:rFonts w:cs="Times New Roman"/>
          <w:sz w:val="22"/>
        </w:rPr>
        <w:t xml:space="preserve">For instance, Table </w:t>
      </w:r>
      <w:r w:rsidR="008B0DCD" w:rsidRPr="00B361C9">
        <w:rPr>
          <w:rFonts w:cs="Times New Roman"/>
          <w:sz w:val="22"/>
        </w:rPr>
        <w:t>3</w:t>
      </w:r>
      <w:r w:rsidRPr="00B361C9">
        <w:rPr>
          <w:rFonts w:cs="Times New Roman"/>
          <w:sz w:val="22"/>
        </w:rPr>
        <w:t xml:space="preserve"> gives examples of wording </w:t>
      </w:r>
      <w:r w:rsidR="00D861B9" w:rsidRPr="00B361C9">
        <w:rPr>
          <w:rFonts w:cs="Times New Roman"/>
          <w:sz w:val="22"/>
        </w:rPr>
        <w:t>that can potential</w:t>
      </w:r>
      <w:r w:rsidR="00EC28B1">
        <w:rPr>
          <w:rFonts w:cs="Times New Roman"/>
          <w:sz w:val="22"/>
        </w:rPr>
        <w:t>ly</w:t>
      </w:r>
      <w:r w:rsidR="00D861B9" w:rsidRPr="00B361C9">
        <w:rPr>
          <w:rFonts w:cs="Times New Roman"/>
          <w:sz w:val="22"/>
        </w:rPr>
        <w:t xml:space="preserve"> lead to issues that preclude admissibility in court</w:t>
      </w:r>
      <w:r w:rsidR="00F42011" w:rsidRPr="00B361C9">
        <w:rPr>
          <w:rFonts w:cs="Times New Roman"/>
          <w:sz w:val="22"/>
        </w:rPr>
        <w:t xml:space="preserve">.  </w:t>
      </w:r>
      <w:r w:rsidR="00555324" w:rsidRPr="00B361C9">
        <w:rPr>
          <w:rFonts w:cs="Times New Roman"/>
          <w:sz w:val="22"/>
        </w:rPr>
        <w:t xml:space="preserve">However, </w:t>
      </w:r>
      <w:r w:rsidR="00F42011" w:rsidRPr="00B361C9">
        <w:rPr>
          <w:rFonts w:cs="Times New Roman"/>
          <w:sz w:val="22"/>
        </w:rPr>
        <w:t>if</w:t>
      </w:r>
      <w:r w:rsidR="00555324" w:rsidRPr="00B361C9">
        <w:rPr>
          <w:rFonts w:cs="Times New Roman"/>
          <w:sz w:val="22"/>
        </w:rPr>
        <w:t xml:space="preserve"> more flexible phras</w:t>
      </w:r>
      <w:r w:rsidR="00F42011" w:rsidRPr="00B361C9">
        <w:rPr>
          <w:rFonts w:cs="Times New Roman"/>
          <w:sz w:val="22"/>
        </w:rPr>
        <w:t>ing</w:t>
      </w:r>
      <w:r w:rsidR="00555324" w:rsidRPr="00B361C9">
        <w:rPr>
          <w:rFonts w:cs="Times New Roman"/>
          <w:sz w:val="22"/>
        </w:rPr>
        <w:t xml:space="preserve"> is used with options </w:t>
      </w:r>
      <w:r w:rsidR="006A2C9A">
        <w:rPr>
          <w:rFonts w:cs="Times New Roman"/>
          <w:sz w:val="22"/>
        </w:rPr>
        <w:t xml:space="preserve">for </w:t>
      </w:r>
      <w:r w:rsidR="00F42011" w:rsidRPr="00B361C9">
        <w:rPr>
          <w:rFonts w:cs="Times New Roman"/>
          <w:sz w:val="22"/>
        </w:rPr>
        <w:t>unusual</w:t>
      </w:r>
      <w:r w:rsidR="00555324" w:rsidRPr="00B361C9">
        <w:rPr>
          <w:rFonts w:cs="Times New Roman"/>
          <w:sz w:val="22"/>
        </w:rPr>
        <w:t xml:space="preserve"> material</w:t>
      </w:r>
      <w:r w:rsidR="006A2C9A">
        <w:rPr>
          <w:rFonts w:cs="Times New Roman"/>
          <w:sz w:val="22"/>
        </w:rPr>
        <w:t>s</w:t>
      </w:r>
      <w:r w:rsidR="00555324" w:rsidRPr="00B361C9">
        <w:rPr>
          <w:rFonts w:cs="Times New Roman"/>
          <w:sz w:val="22"/>
        </w:rPr>
        <w:t xml:space="preserve"> or situations, the analyst can produce results that are court admissible.  </w:t>
      </w:r>
      <w:r w:rsidRPr="00B361C9">
        <w:rPr>
          <w:rFonts w:cs="Times New Roman"/>
          <w:sz w:val="22"/>
        </w:rPr>
        <w:t xml:space="preserve">Therefore, the initial method </w:t>
      </w:r>
      <w:r w:rsidR="007F6B7F" w:rsidRPr="00B361C9">
        <w:rPr>
          <w:rFonts w:cs="Times New Roman"/>
          <w:sz w:val="22"/>
        </w:rPr>
        <w:t xml:space="preserve">and associated </w:t>
      </w:r>
      <w:r w:rsidRPr="00B361C9">
        <w:rPr>
          <w:rFonts w:cs="Times New Roman"/>
          <w:sz w:val="22"/>
        </w:rPr>
        <w:t>validation approved by the customer and performed by the analyst has to be designed in a careful, thoughtful manner</w:t>
      </w:r>
      <w:r w:rsidR="00F42011" w:rsidRPr="00B361C9">
        <w:rPr>
          <w:rFonts w:cs="Times New Roman"/>
          <w:sz w:val="22"/>
        </w:rPr>
        <w:t xml:space="preserve">. </w:t>
      </w:r>
      <w:r w:rsidR="006075CC">
        <w:rPr>
          <w:rFonts w:cs="Times New Roman"/>
          <w:sz w:val="22"/>
        </w:rPr>
        <w:t xml:space="preserve"> </w:t>
      </w:r>
      <w:r w:rsidRPr="00B361C9">
        <w:rPr>
          <w:rFonts w:cs="Times New Roman"/>
          <w:sz w:val="22"/>
        </w:rPr>
        <w:t xml:space="preserve">Years of experience at LANL </w:t>
      </w:r>
      <w:r w:rsidR="00EC28B1">
        <w:rPr>
          <w:rFonts w:cs="Times New Roman"/>
          <w:sz w:val="22"/>
        </w:rPr>
        <w:t>in the</w:t>
      </w:r>
      <w:r w:rsidR="00EC28B1" w:rsidRPr="00B361C9">
        <w:rPr>
          <w:rFonts w:cs="Times New Roman"/>
          <w:sz w:val="22"/>
        </w:rPr>
        <w:t xml:space="preserve"> </w:t>
      </w:r>
      <w:r w:rsidRPr="00B361C9">
        <w:rPr>
          <w:rFonts w:cs="Times New Roman"/>
          <w:sz w:val="22"/>
        </w:rPr>
        <w:t xml:space="preserve">support </w:t>
      </w:r>
      <w:r w:rsidR="00EC28B1">
        <w:rPr>
          <w:rFonts w:cs="Times New Roman"/>
          <w:sz w:val="22"/>
        </w:rPr>
        <w:t>of</w:t>
      </w:r>
      <w:r w:rsidRPr="00B361C9">
        <w:rPr>
          <w:rFonts w:cs="Times New Roman"/>
          <w:sz w:val="22"/>
        </w:rPr>
        <w:t xml:space="preserve"> various national and international programs have resulted</w:t>
      </w:r>
      <w:r w:rsidR="008303BA">
        <w:rPr>
          <w:rFonts w:cs="Times New Roman"/>
          <w:sz w:val="22"/>
        </w:rPr>
        <w:t xml:space="preserve"> in </w:t>
      </w:r>
      <w:r w:rsidRPr="00B361C9">
        <w:rPr>
          <w:rFonts w:cs="Times New Roman"/>
          <w:sz w:val="22"/>
        </w:rPr>
        <w:t xml:space="preserve">procedures already </w:t>
      </w:r>
      <w:r w:rsidR="003E754E">
        <w:rPr>
          <w:rFonts w:cs="Times New Roman"/>
          <w:sz w:val="22"/>
        </w:rPr>
        <w:t>containing</w:t>
      </w:r>
      <w:r w:rsidR="003E754E" w:rsidRPr="00B361C9">
        <w:rPr>
          <w:rFonts w:cs="Times New Roman"/>
          <w:sz w:val="22"/>
        </w:rPr>
        <w:t xml:space="preserve"> </w:t>
      </w:r>
      <w:r w:rsidR="00E10023">
        <w:rPr>
          <w:rFonts w:cs="Times New Roman"/>
          <w:sz w:val="22"/>
        </w:rPr>
        <w:t>some</w:t>
      </w:r>
      <w:r w:rsidRPr="00B361C9">
        <w:rPr>
          <w:rFonts w:cs="Times New Roman"/>
          <w:sz w:val="22"/>
        </w:rPr>
        <w:t xml:space="preserve"> flexible wording </w:t>
      </w:r>
      <w:r w:rsidR="00A52596">
        <w:rPr>
          <w:rFonts w:cs="Times New Roman"/>
          <w:sz w:val="22"/>
        </w:rPr>
        <w:t xml:space="preserve">needed </w:t>
      </w:r>
      <w:r w:rsidR="00EC28B1">
        <w:rPr>
          <w:rFonts w:cs="Times New Roman"/>
          <w:sz w:val="22"/>
        </w:rPr>
        <w:t>to address the variability</w:t>
      </w:r>
      <w:r w:rsidR="006075CC">
        <w:rPr>
          <w:rFonts w:cs="Times New Roman"/>
          <w:sz w:val="22"/>
        </w:rPr>
        <w:t xml:space="preserve"> sometimes</w:t>
      </w:r>
      <w:r w:rsidR="00EC28B1">
        <w:rPr>
          <w:rFonts w:cs="Times New Roman"/>
          <w:sz w:val="22"/>
        </w:rPr>
        <w:t xml:space="preserve"> encountered</w:t>
      </w:r>
      <w:r w:rsidR="00F42011" w:rsidRPr="00B361C9">
        <w:rPr>
          <w:rFonts w:cs="Times New Roman"/>
          <w:sz w:val="22"/>
        </w:rPr>
        <w:t>.</w:t>
      </w:r>
      <w:r w:rsidR="007F6B7F" w:rsidRPr="00B361C9">
        <w:rPr>
          <w:rFonts w:cs="Times New Roman"/>
          <w:sz w:val="22"/>
        </w:rPr>
        <w:t xml:space="preserve"> </w:t>
      </w:r>
      <w:r w:rsidR="00DB5024">
        <w:rPr>
          <w:rFonts w:cs="Times New Roman"/>
          <w:sz w:val="22"/>
        </w:rPr>
        <w:t xml:space="preserve"> However, as part of the ISO17025 accreditation, this aspect was especially scrutinized.</w:t>
      </w:r>
      <w:r w:rsidR="00D0773B" w:rsidRPr="00B361C9">
        <w:rPr>
          <w:rFonts w:cs="Times New Roman"/>
          <w:sz w:val="22"/>
        </w:rPr>
        <w:t xml:space="preserve">  </w:t>
      </w:r>
      <w:r w:rsidR="00DB5024">
        <w:rPr>
          <w:rFonts w:cs="Times New Roman"/>
          <w:sz w:val="22"/>
        </w:rPr>
        <w:t xml:space="preserve">In some cases, </w:t>
      </w:r>
      <w:r w:rsidR="002440DA">
        <w:rPr>
          <w:rFonts w:cs="Times New Roman"/>
          <w:sz w:val="22"/>
        </w:rPr>
        <w:t>it was found that an updated v</w:t>
      </w:r>
      <w:r w:rsidR="00DB5024">
        <w:rPr>
          <w:rFonts w:cs="Times New Roman"/>
          <w:sz w:val="22"/>
        </w:rPr>
        <w:t>alidation was required</w:t>
      </w:r>
      <w:r w:rsidR="007F33E3">
        <w:rPr>
          <w:rFonts w:cs="Times New Roman"/>
          <w:sz w:val="22"/>
        </w:rPr>
        <w:t xml:space="preserve"> </w:t>
      </w:r>
      <w:r w:rsidR="002440DA">
        <w:rPr>
          <w:rFonts w:cs="Times New Roman"/>
          <w:sz w:val="22"/>
        </w:rPr>
        <w:t xml:space="preserve">to include </w:t>
      </w:r>
      <w:r w:rsidR="00DB5024">
        <w:rPr>
          <w:rFonts w:cs="Times New Roman"/>
          <w:sz w:val="22"/>
        </w:rPr>
        <w:t xml:space="preserve">some </w:t>
      </w:r>
      <w:r w:rsidR="002440DA">
        <w:rPr>
          <w:rFonts w:cs="Times New Roman"/>
          <w:sz w:val="22"/>
        </w:rPr>
        <w:t xml:space="preserve">additional </w:t>
      </w:r>
      <w:r w:rsidR="00DB5024">
        <w:rPr>
          <w:rFonts w:cs="Times New Roman"/>
          <w:sz w:val="22"/>
        </w:rPr>
        <w:t>aspect</w:t>
      </w:r>
      <w:r w:rsidR="002440DA">
        <w:rPr>
          <w:rFonts w:cs="Times New Roman"/>
          <w:sz w:val="22"/>
        </w:rPr>
        <w:t xml:space="preserve"> or additional flexibi</w:t>
      </w:r>
      <w:r w:rsidR="000C6D6F">
        <w:rPr>
          <w:rFonts w:cs="Times New Roman"/>
          <w:sz w:val="22"/>
        </w:rPr>
        <w:t>li</w:t>
      </w:r>
      <w:r w:rsidR="002440DA">
        <w:rPr>
          <w:rFonts w:cs="Times New Roman"/>
          <w:sz w:val="22"/>
        </w:rPr>
        <w:t>ty</w:t>
      </w:r>
      <w:r w:rsidR="00DB5024">
        <w:rPr>
          <w:rFonts w:cs="Times New Roman"/>
          <w:sz w:val="22"/>
        </w:rPr>
        <w:t xml:space="preserve"> </w:t>
      </w:r>
      <w:r w:rsidR="00E10023">
        <w:rPr>
          <w:rFonts w:cs="Times New Roman"/>
          <w:sz w:val="22"/>
        </w:rPr>
        <w:t>in</w:t>
      </w:r>
      <w:r w:rsidR="00DB5024">
        <w:rPr>
          <w:rFonts w:cs="Times New Roman"/>
          <w:sz w:val="22"/>
        </w:rPr>
        <w:t xml:space="preserve"> a method.</w:t>
      </w:r>
    </w:p>
    <w:p w:rsidR="00C12323" w:rsidRPr="00B361C9" w:rsidRDefault="00C12323" w:rsidP="008151E8">
      <w:pPr>
        <w:spacing w:line="240" w:lineRule="auto"/>
        <w:rPr>
          <w:rFonts w:cs="Times New Roman"/>
          <w:sz w:val="22"/>
        </w:rPr>
      </w:pPr>
    </w:p>
    <w:p w:rsidR="00D0773B" w:rsidRPr="00B361C9" w:rsidRDefault="00A06EB9" w:rsidP="008151E8">
      <w:pPr>
        <w:spacing w:line="240" w:lineRule="auto"/>
        <w:contextualSpacing/>
        <w:rPr>
          <w:rFonts w:cs="Times New Roman"/>
          <w:sz w:val="22"/>
        </w:rPr>
      </w:pPr>
      <w:r w:rsidRPr="00B361C9">
        <w:rPr>
          <w:rFonts w:cs="Times New Roman"/>
          <w:b/>
          <w:sz w:val="22"/>
        </w:rPr>
        <w:t xml:space="preserve">Table </w:t>
      </w:r>
      <w:r w:rsidR="008B0DCD" w:rsidRPr="00B361C9">
        <w:rPr>
          <w:rFonts w:cs="Times New Roman"/>
          <w:b/>
          <w:sz w:val="22"/>
        </w:rPr>
        <w:t>3</w:t>
      </w:r>
      <w:r w:rsidRPr="00B361C9">
        <w:rPr>
          <w:rFonts w:cs="Times New Roman"/>
          <w:sz w:val="22"/>
        </w:rPr>
        <w:t>:  Inflexible procedural wording compared to flexible procedural wording</w:t>
      </w:r>
    </w:p>
    <w:tbl>
      <w:tblPr>
        <w:tblW w:w="8925" w:type="dxa"/>
        <w:tblInd w:w="93" w:type="dxa"/>
        <w:tblLook w:val="04A0" w:firstRow="1" w:lastRow="0" w:firstColumn="1" w:lastColumn="0" w:noHBand="0" w:noVBand="1"/>
      </w:tblPr>
      <w:tblGrid>
        <w:gridCol w:w="2260"/>
        <w:gridCol w:w="2580"/>
        <w:gridCol w:w="4085"/>
      </w:tblGrid>
      <w:tr w:rsidR="001B2AD1" w:rsidRPr="00B361C9" w:rsidTr="001B2AD1">
        <w:trPr>
          <w:trHeight w:val="292"/>
        </w:trPr>
        <w:tc>
          <w:tcPr>
            <w:tcW w:w="2260" w:type="dxa"/>
            <w:tcBorders>
              <w:top w:val="single" w:sz="4" w:space="0" w:color="auto"/>
              <w:left w:val="nil"/>
              <w:bottom w:val="nil"/>
              <w:right w:val="nil"/>
            </w:tcBorders>
            <w:shd w:val="clear" w:color="auto" w:fill="auto"/>
            <w:vAlign w:val="center"/>
            <w:hideMark/>
          </w:tcPr>
          <w:p w:rsidR="001B2AD1" w:rsidRPr="00B361C9" w:rsidRDefault="001B2AD1" w:rsidP="008151E8">
            <w:pPr>
              <w:spacing w:after="0" w:line="240" w:lineRule="auto"/>
              <w:rPr>
                <w:rFonts w:eastAsia="Times New Roman" w:cs="Times New Roman"/>
                <w:b/>
                <w:bCs/>
                <w:color w:val="000000"/>
              </w:rPr>
            </w:pPr>
            <w:r w:rsidRPr="00B361C9">
              <w:rPr>
                <w:rFonts w:eastAsia="Times New Roman" w:cs="Times New Roman"/>
                <w:b/>
                <w:bCs/>
                <w:color w:val="000000"/>
                <w:sz w:val="22"/>
              </w:rPr>
              <w:t>Example</w:t>
            </w:r>
          </w:p>
        </w:tc>
        <w:tc>
          <w:tcPr>
            <w:tcW w:w="2580" w:type="dxa"/>
            <w:tcBorders>
              <w:top w:val="single" w:sz="4" w:space="0" w:color="auto"/>
              <w:left w:val="nil"/>
              <w:bottom w:val="nil"/>
              <w:right w:val="nil"/>
            </w:tcBorders>
            <w:shd w:val="clear" w:color="auto" w:fill="auto"/>
            <w:vAlign w:val="center"/>
            <w:hideMark/>
          </w:tcPr>
          <w:p w:rsidR="002B2A8D" w:rsidRPr="00B361C9" w:rsidRDefault="001B2AD1" w:rsidP="008151E8">
            <w:pPr>
              <w:spacing w:after="0" w:line="240" w:lineRule="auto"/>
              <w:jc w:val="center"/>
              <w:rPr>
                <w:rFonts w:eastAsia="Times New Roman" w:cs="Times New Roman"/>
                <w:b/>
                <w:bCs/>
                <w:color w:val="000000"/>
              </w:rPr>
            </w:pPr>
            <w:r w:rsidRPr="00B361C9">
              <w:rPr>
                <w:rFonts w:eastAsia="Times New Roman" w:cs="Times New Roman"/>
                <w:b/>
                <w:bCs/>
                <w:color w:val="000000"/>
                <w:sz w:val="22"/>
              </w:rPr>
              <w:t>Inflexible</w:t>
            </w:r>
          </w:p>
        </w:tc>
        <w:tc>
          <w:tcPr>
            <w:tcW w:w="4085" w:type="dxa"/>
            <w:tcBorders>
              <w:top w:val="single" w:sz="4" w:space="0" w:color="auto"/>
              <w:left w:val="nil"/>
              <w:bottom w:val="nil"/>
              <w:right w:val="nil"/>
            </w:tcBorders>
            <w:shd w:val="clear" w:color="auto" w:fill="auto"/>
            <w:noWrap/>
            <w:vAlign w:val="center"/>
            <w:hideMark/>
          </w:tcPr>
          <w:p w:rsidR="002B2A8D" w:rsidRPr="00B361C9" w:rsidRDefault="001B2AD1" w:rsidP="008151E8">
            <w:pPr>
              <w:spacing w:after="0" w:line="240" w:lineRule="auto"/>
              <w:jc w:val="center"/>
              <w:rPr>
                <w:rFonts w:eastAsia="Times New Roman" w:cs="Times New Roman"/>
                <w:b/>
                <w:bCs/>
                <w:color w:val="000000"/>
              </w:rPr>
            </w:pPr>
            <w:r w:rsidRPr="00B361C9">
              <w:rPr>
                <w:rFonts w:eastAsia="Times New Roman" w:cs="Times New Roman"/>
                <w:b/>
                <w:bCs/>
                <w:color w:val="000000"/>
                <w:sz w:val="22"/>
              </w:rPr>
              <w:t>Flexible</w:t>
            </w:r>
          </w:p>
        </w:tc>
      </w:tr>
      <w:tr w:rsidR="001B2AD1" w:rsidRPr="00B361C9" w:rsidTr="001B2AD1">
        <w:trPr>
          <w:trHeight w:val="566"/>
        </w:trPr>
        <w:tc>
          <w:tcPr>
            <w:tcW w:w="2260" w:type="dxa"/>
            <w:vMerge w:val="restart"/>
            <w:tcBorders>
              <w:top w:val="single" w:sz="4" w:space="0" w:color="auto"/>
              <w:left w:val="nil"/>
              <w:bottom w:val="single" w:sz="8" w:space="0" w:color="000000"/>
              <w:right w:val="nil"/>
            </w:tcBorders>
            <w:shd w:val="clear" w:color="auto" w:fill="auto"/>
            <w:vAlign w:val="center"/>
            <w:hideMark/>
          </w:tcPr>
          <w:p w:rsidR="001B2AD1" w:rsidRPr="00B361C9" w:rsidRDefault="00F42011" w:rsidP="008151E8">
            <w:pPr>
              <w:spacing w:after="0" w:line="240" w:lineRule="auto"/>
              <w:rPr>
                <w:rFonts w:eastAsia="Times New Roman" w:cs="Times New Roman"/>
                <w:color w:val="000000"/>
              </w:rPr>
            </w:pPr>
            <w:r w:rsidRPr="00B361C9">
              <w:rPr>
                <w:rFonts w:eastAsia="Times New Roman" w:cs="Times New Roman"/>
                <w:color w:val="000000"/>
                <w:sz w:val="22"/>
              </w:rPr>
              <w:t>Minimum</w:t>
            </w:r>
            <w:r w:rsidR="001B2AD1" w:rsidRPr="00B361C9">
              <w:rPr>
                <w:rFonts w:eastAsia="Times New Roman" w:cs="Times New Roman"/>
                <w:color w:val="000000"/>
                <w:sz w:val="22"/>
              </w:rPr>
              <w:t xml:space="preserve"> number of sample replicates</w:t>
            </w:r>
          </w:p>
        </w:tc>
        <w:tc>
          <w:tcPr>
            <w:tcW w:w="2580" w:type="dxa"/>
            <w:vMerge w:val="restart"/>
            <w:tcBorders>
              <w:top w:val="single" w:sz="4" w:space="0" w:color="auto"/>
              <w:left w:val="nil"/>
              <w:bottom w:val="single" w:sz="8" w:space="0" w:color="000000"/>
              <w:right w:val="nil"/>
            </w:tcBorders>
            <w:shd w:val="clear" w:color="auto" w:fill="auto"/>
            <w:vAlign w:val="center"/>
            <w:hideMark/>
          </w:tcPr>
          <w:p w:rsidR="001B2AD1" w:rsidRPr="00B361C9" w:rsidRDefault="001B2AD1" w:rsidP="008151E8">
            <w:pPr>
              <w:spacing w:after="0" w:line="240" w:lineRule="auto"/>
              <w:rPr>
                <w:rFonts w:eastAsia="Times New Roman" w:cs="Times New Roman"/>
                <w:color w:val="000000"/>
              </w:rPr>
            </w:pPr>
            <w:r w:rsidRPr="00B361C9">
              <w:rPr>
                <w:rFonts w:eastAsia="Times New Roman" w:cs="Times New Roman"/>
                <w:color w:val="000000"/>
                <w:sz w:val="22"/>
              </w:rPr>
              <w:t>Run three replicates of every sample.</w:t>
            </w:r>
          </w:p>
        </w:tc>
        <w:tc>
          <w:tcPr>
            <w:tcW w:w="4085" w:type="dxa"/>
            <w:tcBorders>
              <w:top w:val="single" w:sz="4" w:space="0" w:color="auto"/>
              <w:left w:val="nil"/>
              <w:bottom w:val="single" w:sz="4" w:space="0" w:color="auto"/>
              <w:right w:val="nil"/>
            </w:tcBorders>
            <w:shd w:val="clear" w:color="auto" w:fill="auto"/>
            <w:vAlign w:val="center"/>
            <w:hideMark/>
          </w:tcPr>
          <w:p w:rsidR="001B2AD1" w:rsidRPr="00B361C9" w:rsidRDefault="001B2AD1" w:rsidP="008151E8">
            <w:pPr>
              <w:spacing w:after="0" w:line="240" w:lineRule="auto"/>
              <w:rPr>
                <w:rFonts w:eastAsia="Times New Roman" w:cs="Times New Roman"/>
                <w:color w:val="000000"/>
              </w:rPr>
            </w:pPr>
            <w:r w:rsidRPr="00B361C9">
              <w:rPr>
                <w:rFonts w:eastAsia="Times New Roman" w:cs="Times New Roman"/>
                <w:color w:val="000000"/>
                <w:sz w:val="22"/>
              </w:rPr>
              <w:t xml:space="preserve">Three replicates of each sample are typically run unless the amount of available sample is limited.  </w:t>
            </w:r>
          </w:p>
        </w:tc>
      </w:tr>
      <w:tr w:rsidR="001B2AD1" w:rsidRPr="00B361C9" w:rsidTr="001B2AD1">
        <w:trPr>
          <w:trHeight w:val="1140"/>
        </w:trPr>
        <w:tc>
          <w:tcPr>
            <w:tcW w:w="2260" w:type="dxa"/>
            <w:vMerge/>
            <w:tcBorders>
              <w:top w:val="single" w:sz="4" w:space="0" w:color="auto"/>
              <w:left w:val="nil"/>
              <w:bottom w:val="single" w:sz="8" w:space="0" w:color="000000"/>
              <w:right w:val="nil"/>
            </w:tcBorders>
            <w:vAlign w:val="center"/>
            <w:hideMark/>
          </w:tcPr>
          <w:p w:rsidR="001B2AD1" w:rsidRPr="00B361C9" w:rsidRDefault="001B2AD1" w:rsidP="008151E8">
            <w:pPr>
              <w:spacing w:after="0" w:line="240" w:lineRule="auto"/>
              <w:rPr>
                <w:rFonts w:eastAsia="Times New Roman" w:cs="Times New Roman"/>
                <w:color w:val="000000"/>
              </w:rPr>
            </w:pPr>
          </w:p>
        </w:tc>
        <w:tc>
          <w:tcPr>
            <w:tcW w:w="2580" w:type="dxa"/>
            <w:vMerge/>
            <w:tcBorders>
              <w:top w:val="single" w:sz="4" w:space="0" w:color="auto"/>
              <w:left w:val="nil"/>
              <w:bottom w:val="single" w:sz="8" w:space="0" w:color="000000"/>
              <w:right w:val="nil"/>
            </w:tcBorders>
            <w:vAlign w:val="center"/>
            <w:hideMark/>
          </w:tcPr>
          <w:p w:rsidR="001B2AD1" w:rsidRPr="00B361C9" w:rsidRDefault="001B2AD1" w:rsidP="008151E8">
            <w:pPr>
              <w:spacing w:after="0" w:line="240" w:lineRule="auto"/>
              <w:rPr>
                <w:rFonts w:eastAsia="Times New Roman" w:cs="Times New Roman"/>
                <w:color w:val="000000"/>
              </w:rPr>
            </w:pPr>
          </w:p>
        </w:tc>
        <w:tc>
          <w:tcPr>
            <w:tcW w:w="4085" w:type="dxa"/>
            <w:tcBorders>
              <w:top w:val="nil"/>
              <w:left w:val="nil"/>
              <w:bottom w:val="single" w:sz="8" w:space="0" w:color="auto"/>
              <w:right w:val="nil"/>
            </w:tcBorders>
            <w:shd w:val="clear" w:color="auto" w:fill="auto"/>
            <w:vAlign w:val="center"/>
            <w:hideMark/>
          </w:tcPr>
          <w:p w:rsidR="001B2AD1" w:rsidRPr="00B361C9" w:rsidRDefault="001B2AD1" w:rsidP="008151E8">
            <w:pPr>
              <w:spacing w:after="0" w:line="240" w:lineRule="auto"/>
              <w:rPr>
                <w:rFonts w:eastAsia="Times New Roman" w:cs="Times New Roman"/>
                <w:color w:val="000000"/>
              </w:rPr>
            </w:pPr>
            <w:r w:rsidRPr="00B361C9">
              <w:rPr>
                <w:rFonts w:eastAsia="Times New Roman" w:cs="Times New Roman"/>
                <w:color w:val="000000"/>
                <w:sz w:val="22"/>
              </w:rPr>
              <w:t xml:space="preserve">The supervisor will consult with the customer to see if an analysis using less than three replicates is acceptable or if the customer wants the analysis cancelled.  </w:t>
            </w:r>
          </w:p>
        </w:tc>
      </w:tr>
      <w:tr w:rsidR="001B2AD1" w:rsidRPr="00B361C9" w:rsidTr="001B2AD1">
        <w:trPr>
          <w:trHeight w:val="566"/>
        </w:trPr>
        <w:tc>
          <w:tcPr>
            <w:tcW w:w="2260" w:type="dxa"/>
            <w:vMerge w:val="restart"/>
            <w:tcBorders>
              <w:top w:val="single" w:sz="4" w:space="0" w:color="auto"/>
              <w:left w:val="nil"/>
              <w:bottom w:val="single" w:sz="8" w:space="0" w:color="000000"/>
              <w:right w:val="nil"/>
            </w:tcBorders>
            <w:shd w:val="clear" w:color="auto" w:fill="auto"/>
            <w:vAlign w:val="center"/>
            <w:hideMark/>
          </w:tcPr>
          <w:p w:rsidR="001B2AD1" w:rsidRPr="00B361C9" w:rsidRDefault="001B2AD1" w:rsidP="008151E8">
            <w:pPr>
              <w:spacing w:after="0" w:line="240" w:lineRule="auto"/>
              <w:rPr>
                <w:rFonts w:eastAsia="Times New Roman" w:cs="Times New Roman"/>
                <w:color w:val="000000"/>
              </w:rPr>
            </w:pPr>
            <w:r w:rsidRPr="00B361C9">
              <w:rPr>
                <w:rFonts w:eastAsia="Times New Roman" w:cs="Times New Roman"/>
                <w:color w:val="000000"/>
                <w:sz w:val="22"/>
              </w:rPr>
              <w:t>Acceptance criteria</w:t>
            </w:r>
          </w:p>
        </w:tc>
        <w:tc>
          <w:tcPr>
            <w:tcW w:w="2580" w:type="dxa"/>
            <w:vMerge w:val="restart"/>
            <w:tcBorders>
              <w:top w:val="single" w:sz="4" w:space="0" w:color="auto"/>
              <w:left w:val="nil"/>
              <w:bottom w:val="single" w:sz="8" w:space="0" w:color="000000"/>
              <w:right w:val="nil"/>
            </w:tcBorders>
            <w:shd w:val="clear" w:color="auto" w:fill="auto"/>
            <w:vAlign w:val="center"/>
            <w:hideMark/>
          </w:tcPr>
          <w:p w:rsidR="001B2AD1" w:rsidRPr="00B361C9" w:rsidRDefault="001B2AD1" w:rsidP="008151E8">
            <w:pPr>
              <w:spacing w:after="0" w:line="240" w:lineRule="auto"/>
              <w:rPr>
                <w:rFonts w:eastAsia="Times New Roman" w:cs="Times New Roman"/>
                <w:color w:val="000000"/>
              </w:rPr>
            </w:pPr>
            <w:r w:rsidRPr="00B361C9">
              <w:rPr>
                <w:rFonts w:eastAsia="Times New Roman" w:cs="Times New Roman"/>
                <w:color w:val="000000"/>
                <w:sz w:val="22"/>
              </w:rPr>
              <w:t xml:space="preserve">Sample analyzed </w:t>
            </w:r>
            <w:r w:rsidR="00D861B9" w:rsidRPr="00B361C9">
              <w:rPr>
                <w:rFonts w:eastAsia="Times New Roman" w:cs="Times New Roman"/>
                <w:color w:val="000000"/>
                <w:sz w:val="22"/>
              </w:rPr>
              <w:t>“x”</w:t>
            </w:r>
            <w:r w:rsidR="00F42011" w:rsidRPr="00B361C9">
              <w:rPr>
                <w:rFonts w:eastAsia="Times New Roman" w:cs="Times New Roman"/>
                <w:color w:val="000000"/>
                <w:sz w:val="22"/>
              </w:rPr>
              <w:t xml:space="preserve"> </w:t>
            </w:r>
            <w:r w:rsidRPr="00B361C9">
              <w:rPr>
                <w:rFonts w:eastAsia="Times New Roman" w:cs="Times New Roman"/>
                <w:color w:val="000000"/>
                <w:sz w:val="22"/>
              </w:rPr>
              <w:t>value exceeding the calibration range cannot be used.</w:t>
            </w:r>
          </w:p>
        </w:tc>
        <w:tc>
          <w:tcPr>
            <w:tcW w:w="4085" w:type="dxa"/>
            <w:tcBorders>
              <w:top w:val="nil"/>
              <w:left w:val="nil"/>
              <w:bottom w:val="nil"/>
              <w:right w:val="nil"/>
            </w:tcBorders>
            <w:shd w:val="clear" w:color="auto" w:fill="auto"/>
            <w:vAlign w:val="center"/>
            <w:hideMark/>
          </w:tcPr>
          <w:p w:rsidR="001B2AD1" w:rsidRPr="00B361C9" w:rsidRDefault="001B2AD1" w:rsidP="008151E8">
            <w:pPr>
              <w:spacing w:after="0" w:line="240" w:lineRule="auto"/>
              <w:rPr>
                <w:rFonts w:eastAsia="Times New Roman" w:cs="Times New Roman"/>
                <w:color w:val="000000"/>
              </w:rPr>
            </w:pPr>
            <w:r w:rsidRPr="00B361C9">
              <w:rPr>
                <w:rFonts w:eastAsia="Times New Roman" w:cs="Times New Roman"/>
                <w:color w:val="000000"/>
                <w:sz w:val="22"/>
              </w:rPr>
              <w:t xml:space="preserve">If a sample analyzed </w:t>
            </w:r>
            <w:r w:rsidR="00D861B9" w:rsidRPr="00B361C9">
              <w:rPr>
                <w:rFonts w:eastAsia="Times New Roman" w:cs="Times New Roman"/>
                <w:color w:val="000000"/>
                <w:sz w:val="22"/>
              </w:rPr>
              <w:t>“x”</w:t>
            </w:r>
            <w:r w:rsidRPr="00B361C9">
              <w:rPr>
                <w:rFonts w:eastAsia="Times New Roman" w:cs="Times New Roman"/>
                <w:color w:val="000000"/>
                <w:sz w:val="22"/>
              </w:rPr>
              <w:t xml:space="preserve"> value exceeds the calibration point by</w:t>
            </w:r>
          </w:p>
        </w:tc>
      </w:tr>
      <w:tr w:rsidR="001B2AD1" w:rsidRPr="00B361C9" w:rsidTr="001B2AD1">
        <w:trPr>
          <w:trHeight w:val="292"/>
        </w:trPr>
        <w:tc>
          <w:tcPr>
            <w:tcW w:w="2260" w:type="dxa"/>
            <w:vMerge/>
            <w:tcBorders>
              <w:top w:val="single" w:sz="4" w:space="0" w:color="auto"/>
              <w:left w:val="nil"/>
              <w:bottom w:val="single" w:sz="8" w:space="0" w:color="000000"/>
              <w:right w:val="nil"/>
            </w:tcBorders>
            <w:vAlign w:val="center"/>
            <w:hideMark/>
          </w:tcPr>
          <w:p w:rsidR="001B2AD1" w:rsidRPr="00B361C9" w:rsidRDefault="001B2AD1" w:rsidP="008151E8">
            <w:pPr>
              <w:spacing w:after="0" w:line="240" w:lineRule="auto"/>
              <w:rPr>
                <w:rFonts w:eastAsia="Times New Roman" w:cs="Times New Roman"/>
                <w:color w:val="000000"/>
              </w:rPr>
            </w:pPr>
          </w:p>
        </w:tc>
        <w:tc>
          <w:tcPr>
            <w:tcW w:w="2580" w:type="dxa"/>
            <w:vMerge/>
            <w:tcBorders>
              <w:top w:val="single" w:sz="4" w:space="0" w:color="auto"/>
              <w:left w:val="nil"/>
              <w:bottom w:val="single" w:sz="8" w:space="0" w:color="000000"/>
              <w:right w:val="nil"/>
            </w:tcBorders>
            <w:vAlign w:val="center"/>
            <w:hideMark/>
          </w:tcPr>
          <w:p w:rsidR="001B2AD1" w:rsidRPr="00B361C9" w:rsidRDefault="001B2AD1" w:rsidP="008151E8">
            <w:pPr>
              <w:spacing w:after="0" w:line="240" w:lineRule="auto"/>
              <w:rPr>
                <w:rFonts w:eastAsia="Times New Roman" w:cs="Times New Roman"/>
                <w:color w:val="000000"/>
              </w:rPr>
            </w:pPr>
          </w:p>
        </w:tc>
        <w:tc>
          <w:tcPr>
            <w:tcW w:w="4085" w:type="dxa"/>
            <w:tcBorders>
              <w:top w:val="nil"/>
              <w:left w:val="nil"/>
              <w:bottom w:val="nil"/>
              <w:right w:val="nil"/>
            </w:tcBorders>
            <w:shd w:val="clear" w:color="auto" w:fill="auto"/>
            <w:noWrap/>
            <w:vAlign w:val="center"/>
            <w:hideMark/>
          </w:tcPr>
          <w:p w:rsidR="001B2AD1" w:rsidRPr="00B361C9" w:rsidRDefault="001B2AD1" w:rsidP="008151E8">
            <w:pPr>
              <w:spacing w:after="0" w:line="240" w:lineRule="auto"/>
              <w:rPr>
                <w:rFonts w:eastAsia="Times New Roman" w:cs="Times New Roman"/>
                <w:color w:val="000000"/>
              </w:rPr>
            </w:pPr>
            <w:r w:rsidRPr="00B361C9">
              <w:rPr>
                <w:rFonts w:eastAsia="Times New Roman" w:cs="Times New Roman"/>
                <w:color w:val="000000"/>
                <w:sz w:val="22"/>
              </w:rPr>
              <w:t xml:space="preserve">·  For calibrations ≤ 1000 ppm, &gt;250 ppm, </w:t>
            </w:r>
          </w:p>
        </w:tc>
      </w:tr>
      <w:tr w:rsidR="001B2AD1" w:rsidRPr="00B361C9" w:rsidTr="001B2AD1">
        <w:trPr>
          <w:trHeight w:val="292"/>
        </w:trPr>
        <w:tc>
          <w:tcPr>
            <w:tcW w:w="2260" w:type="dxa"/>
            <w:vMerge/>
            <w:tcBorders>
              <w:top w:val="single" w:sz="4" w:space="0" w:color="auto"/>
              <w:left w:val="nil"/>
              <w:bottom w:val="single" w:sz="8" w:space="0" w:color="000000"/>
              <w:right w:val="nil"/>
            </w:tcBorders>
            <w:vAlign w:val="center"/>
            <w:hideMark/>
          </w:tcPr>
          <w:p w:rsidR="001B2AD1" w:rsidRPr="00B361C9" w:rsidRDefault="001B2AD1" w:rsidP="008151E8">
            <w:pPr>
              <w:spacing w:after="0" w:line="240" w:lineRule="auto"/>
              <w:rPr>
                <w:rFonts w:eastAsia="Times New Roman" w:cs="Times New Roman"/>
                <w:color w:val="000000"/>
              </w:rPr>
            </w:pPr>
          </w:p>
        </w:tc>
        <w:tc>
          <w:tcPr>
            <w:tcW w:w="2580" w:type="dxa"/>
            <w:vMerge/>
            <w:tcBorders>
              <w:top w:val="single" w:sz="4" w:space="0" w:color="auto"/>
              <w:left w:val="nil"/>
              <w:bottom w:val="single" w:sz="8" w:space="0" w:color="000000"/>
              <w:right w:val="nil"/>
            </w:tcBorders>
            <w:vAlign w:val="center"/>
            <w:hideMark/>
          </w:tcPr>
          <w:p w:rsidR="001B2AD1" w:rsidRPr="00B361C9" w:rsidRDefault="001B2AD1" w:rsidP="008151E8">
            <w:pPr>
              <w:spacing w:after="0" w:line="240" w:lineRule="auto"/>
              <w:rPr>
                <w:rFonts w:eastAsia="Times New Roman" w:cs="Times New Roman"/>
                <w:color w:val="000000"/>
              </w:rPr>
            </w:pPr>
          </w:p>
        </w:tc>
        <w:tc>
          <w:tcPr>
            <w:tcW w:w="4085" w:type="dxa"/>
            <w:tcBorders>
              <w:top w:val="nil"/>
              <w:left w:val="nil"/>
              <w:bottom w:val="single" w:sz="4" w:space="0" w:color="auto"/>
              <w:right w:val="nil"/>
            </w:tcBorders>
            <w:shd w:val="clear" w:color="auto" w:fill="auto"/>
            <w:noWrap/>
            <w:vAlign w:val="center"/>
            <w:hideMark/>
          </w:tcPr>
          <w:p w:rsidR="001B2AD1" w:rsidRPr="00B361C9" w:rsidRDefault="001B2AD1" w:rsidP="008151E8">
            <w:pPr>
              <w:spacing w:after="0" w:line="240" w:lineRule="auto"/>
              <w:rPr>
                <w:rFonts w:eastAsia="Times New Roman" w:cs="Times New Roman"/>
                <w:color w:val="000000"/>
              </w:rPr>
            </w:pPr>
            <w:r w:rsidRPr="00B361C9">
              <w:rPr>
                <w:rFonts w:eastAsia="Times New Roman" w:cs="Times New Roman"/>
                <w:color w:val="000000"/>
                <w:sz w:val="22"/>
              </w:rPr>
              <w:t>·  For calibrations above &gt;1000 ppm, &gt;25%</w:t>
            </w:r>
          </w:p>
        </w:tc>
      </w:tr>
      <w:tr w:rsidR="001B2AD1" w:rsidRPr="00B361C9" w:rsidTr="001B2AD1">
        <w:trPr>
          <w:trHeight w:val="849"/>
        </w:trPr>
        <w:tc>
          <w:tcPr>
            <w:tcW w:w="2260" w:type="dxa"/>
            <w:vMerge/>
            <w:tcBorders>
              <w:top w:val="single" w:sz="4" w:space="0" w:color="auto"/>
              <w:left w:val="nil"/>
              <w:bottom w:val="single" w:sz="8" w:space="0" w:color="000000"/>
              <w:right w:val="nil"/>
            </w:tcBorders>
            <w:vAlign w:val="center"/>
            <w:hideMark/>
          </w:tcPr>
          <w:p w:rsidR="001B2AD1" w:rsidRPr="00B361C9" w:rsidRDefault="001B2AD1" w:rsidP="008151E8">
            <w:pPr>
              <w:spacing w:after="0" w:line="240" w:lineRule="auto"/>
              <w:rPr>
                <w:rFonts w:eastAsia="Times New Roman" w:cs="Times New Roman"/>
                <w:color w:val="000000"/>
              </w:rPr>
            </w:pPr>
          </w:p>
        </w:tc>
        <w:tc>
          <w:tcPr>
            <w:tcW w:w="2580" w:type="dxa"/>
            <w:vMerge/>
            <w:tcBorders>
              <w:top w:val="single" w:sz="4" w:space="0" w:color="auto"/>
              <w:left w:val="nil"/>
              <w:bottom w:val="single" w:sz="8" w:space="0" w:color="000000"/>
              <w:right w:val="nil"/>
            </w:tcBorders>
            <w:vAlign w:val="center"/>
            <w:hideMark/>
          </w:tcPr>
          <w:p w:rsidR="001B2AD1" w:rsidRPr="00B361C9" w:rsidRDefault="001B2AD1" w:rsidP="008151E8">
            <w:pPr>
              <w:spacing w:after="0" w:line="240" w:lineRule="auto"/>
              <w:rPr>
                <w:rFonts w:eastAsia="Times New Roman" w:cs="Times New Roman"/>
                <w:color w:val="000000"/>
              </w:rPr>
            </w:pPr>
          </w:p>
        </w:tc>
        <w:tc>
          <w:tcPr>
            <w:tcW w:w="4085" w:type="dxa"/>
            <w:tcBorders>
              <w:top w:val="nil"/>
              <w:left w:val="nil"/>
              <w:bottom w:val="single" w:sz="4" w:space="0" w:color="auto"/>
              <w:right w:val="nil"/>
            </w:tcBorders>
            <w:shd w:val="clear" w:color="auto" w:fill="auto"/>
            <w:vAlign w:val="center"/>
            <w:hideMark/>
          </w:tcPr>
          <w:p w:rsidR="001B2AD1" w:rsidRPr="00B361C9" w:rsidRDefault="001B2AD1" w:rsidP="008151E8">
            <w:pPr>
              <w:spacing w:after="0" w:line="240" w:lineRule="auto"/>
              <w:rPr>
                <w:rFonts w:eastAsia="Times New Roman" w:cs="Times New Roman"/>
                <w:color w:val="000000"/>
              </w:rPr>
            </w:pPr>
            <w:r w:rsidRPr="00B361C9">
              <w:rPr>
                <w:rFonts w:eastAsia="Times New Roman" w:cs="Times New Roman"/>
                <w:color w:val="000000"/>
                <w:sz w:val="22"/>
              </w:rPr>
              <w:t xml:space="preserve">1)  Analyze a check standard that has a certified value as close as possible to the reported sample value.  </w:t>
            </w:r>
          </w:p>
        </w:tc>
      </w:tr>
      <w:tr w:rsidR="001B2AD1" w:rsidRPr="00B361C9" w:rsidTr="001B2AD1">
        <w:trPr>
          <w:trHeight w:val="1132"/>
        </w:trPr>
        <w:tc>
          <w:tcPr>
            <w:tcW w:w="2260" w:type="dxa"/>
            <w:vMerge/>
            <w:tcBorders>
              <w:top w:val="single" w:sz="4" w:space="0" w:color="auto"/>
              <w:left w:val="nil"/>
              <w:bottom w:val="single" w:sz="8" w:space="0" w:color="000000"/>
              <w:right w:val="nil"/>
            </w:tcBorders>
            <w:vAlign w:val="center"/>
            <w:hideMark/>
          </w:tcPr>
          <w:p w:rsidR="001B2AD1" w:rsidRPr="00B361C9" w:rsidRDefault="001B2AD1" w:rsidP="008151E8">
            <w:pPr>
              <w:spacing w:after="0" w:line="240" w:lineRule="auto"/>
              <w:rPr>
                <w:rFonts w:eastAsia="Times New Roman" w:cs="Times New Roman"/>
                <w:color w:val="000000"/>
              </w:rPr>
            </w:pPr>
          </w:p>
        </w:tc>
        <w:tc>
          <w:tcPr>
            <w:tcW w:w="2580" w:type="dxa"/>
            <w:vMerge/>
            <w:tcBorders>
              <w:top w:val="single" w:sz="4" w:space="0" w:color="auto"/>
              <w:left w:val="nil"/>
              <w:bottom w:val="single" w:sz="8" w:space="0" w:color="000000"/>
              <w:right w:val="nil"/>
            </w:tcBorders>
            <w:vAlign w:val="center"/>
            <w:hideMark/>
          </w:tcPr>
          <w:p w:rsidR="001B2AD1" w:rsidRPr="00B361C9" w:rsidRDefault="001B2AD1" w:rsidP="008151E8">
            <w:pPr>
              <w:spacing w:after="0" w:line="240" w:lineRule="auto"/>
              <w:rPr>
                <w:rFonts w:eastAsia="Times New Roman" w:cs="Times New Roman"/>
                <w:color w:val="000000"/>
              </w:rPr>
            </w:pPr>
          </w:p>
        </w:tc>
        <w:tc>
          <w:tcPr>
            <w:tcW w:w="4085" w:type="dxa"/>
            <w:tcBorders>
              <w:top w:val="nil"/>
              <w:left w:val="nil"/>
              <w:bottom w:val="single" w:sz="4" w:space="0" w:color="auto"/>
              <w:right w:val="nil"/>
            </w:tcBorders>
            <w:shd w:val="clear" w:color="auto" w:fill="auto"/>
            <w:vAlign w:val="center"/>
            <w:hideMark/>
          </w:tcPr>
          <w:p w:rsidR="001B2AD1" w:rsidRPr="00B361C9" w:rsidRDefault="001B2AD1" w:rsidP="008151E8">
            <w:pPr>
              <w:spacing w:after="0" w:line="240" w:lineRule="auto"/>
              <w:rPr>
                <w:rFonts w:eastAsia="Times New Roman" w:cs="Times New Roman"/>
                <w:color w:val="000000"/>
              </w:rPr>
            </w:pPr>
            <w:r w:rsidRPr="00B361C9">
              <w:rPr>
                <w:rFonts w:eastAsia="Times New Roman" w:cs="Times New Roman"/>
                <w:color w:val="000000"/>
                <w:sz w:val="22"/>
              </w:rPr>
              <w:t>2)  If the check standard results are within 3-</w:t>
            </w:r>
            <w:r w:rsidR="00C12323" w:rsidRPr="00B361C9">
              <w:rPr>
                <w:rFonts w:eastAsia="Times New Roman" w:cs="Times New Roman"/>
                <w:color w:val="000000"/>
                <w:sz w:val="22"/>
              </w:rPr>
              <w:t>sigma from</w:t>
            </w:r>
            <w:r w:rsidRPr="00B361C9">
              <w:rPr>
                <w:rFonts w:eastAsia="Times New Roman" w:cs="Times New Roman"/>
                <w:color w:val="000000"/>
                <w:sz w:val="22"/>
              </w:rPr>
              <w:t xml:space="preserve"> the standard’s certified</w:t>
            </w:r>
            <w:r w:rsidR="00297C46">
              <w:rPr>
                <w:rFonts w:eastAsia="Times New Roman" w:cs="Times New Roman"/>
                <w:color w:val="000000"/>
                <w:sz w:val="22"/>
              </w:rPr>
              <w:t xml:space="preserve"> </w:t>
            </w:r>
            <w:r w:rsidR="001655AE" w:rsidRPr="00B361C9">
              <w:rPr>
                <w:rFonts w:eastAsia="Times New Roman" w:cs="Times New Roman"/>
                <w:color w:val="000000"/>
                <w:sz w:val="22"/>
              </w:rPr>
              <w:t>value</w:t>
            </w:r>
            <w:r w:rsidRPr="00B361C9">
              <w:rPr>
                <w:rFonts w:eastAsia="Times New Roman" w:cs="Times New Roman"/>
                <w:color w:val="000000"/>
                <w:sz w:val="22"/>
              </w:rPr>
              <w:t>, then the returned result for the sample may be reported.</w:t>
            </w:r>
          </w:p>
        </w:tc>
      </w:tr>
      <w:tr w:rsidR="001B2AD1" w:rsidRPr="00B361C9" w:rsidTr="001B2AD1">
        <w:trPr>
          <w:trHeight w:val="1706"/>
        </w:trPr>
        <w:tc>
          <w:tcPr>
            <w:tcW w:w="2260" w:type="dxa"/>
            <w:vMerge/>
            <w:tcBorders>
              <w:top w:val="single" w:sz="4" w:space="0" w:color="auto"/>
              <w:left w:val="nil"/>
              <w:bottom w:val="single" w:sz="8" w:space="0" w:color="000000"/>
              <w:right w:val="nil"/>
            </w:tcBorders>
            <w:vAlign w:val="center"/>
            <w:hideMark/>
          </w:tcPr>
          <w:p w:rsidR="001B2AD1" w:rsidRPr="00B361C9" w:rsidRDefault="001B2AD1" w:rsidP="008151E8">
            <w:pPr>
              <w:spacing w:after="0" w:line="240" w:lineRule="auto"/>
              <w:rPr>
                <w:rFonts w:eastAsia="Times New Roman" w:cs="Times New Roman"/>
                <w:color w:val="000000"/>
              </w:rPr>
            </w:pPr>
          </w:p>
        </w:tc>
        <w:tc>
          <w:tcPr>
            <w:tcW w:w="2580" w:type="dxa"/>
            <w:vMerge/>
            <w:tcBorders>
              <w:top w:val="single" w:sz="4" w:space="0" w:color="auto"/>
              <w:left w:val="nil"/>
              <w:bottom w:val="single" w:sz="8" w:space="0" w:color="000000"/>
              <w:right w:val="nil"/>
            </w:tcBorders>
            <w:vAlign w:val="center"/>
            <w:hideMark/>
          </w:tcPr>
          <w:p w:rsidR="001B2AD1" w:rsidRPr="00B361C9" w:rsidRDefault="001B2AD1" w:rsidP="008151E8">
            <w:pPr>
              <w:spacing w:after="0" w:line="240" w:lineRule="auto"/>
              <w:rPr>
                <w:rFonts w:eastAsia="Times New Roman" w:cs="Times New Roman"/>
                <w:color w:val="000000"/>
              </w:rPr>
            </w:pPr>
          </w:p>
        </w:tc>
        <w:tc>
          <w:tcPr>
            <w:tcW w:w="4085" w:type="dxa"/>
            <w:tcBorders>
              <w:top w:val="nil"/>
              <w:left w:val="nil"/>
              <w:bottom w:val="single" w:sz="8" w:space="0" w:color="auto"/>
              <w:right w:val="nil"/>
            </w:tcBorders>
            <w:shd w:val="clear" w:color="auto" w:fill="auto"/>
            <w:vAlign w:val="center"/>
            <w:hideMark/>
          </w:tcPr>
          <w:p w:rsidR="001B2AD1" w:rsidRPr="00B361C9" w:rsidRDefault="001B2AD1" w:rsidP="008151E8">
            <w:pPr>
              <w:spacing w:after="0" w:line="240" w:lineRule="auto"/>
              <w:rPr>
                <w:rFonts w:eastAsia="Times New Roman" w:cs="Times New Roman"/>
                <w:color w:val="000000"/>
              </w:rPr>
            </w:pPr>
            <w:r w:rsidRPr="00B361C9">
              <w:rPr>
                <w:rFonts w:eastAsia="Times New Roman" w:cs="Times New Roman"/>
                <w:color w:val="000000"/>
                <w:sz w:val="22"/>
              </w:rPr>
              <w:t>3)  If the check standard results are not within 3-sigma</w:t>
            </w:r>
            <w:r w:rsidR="00297C46">
              <w:rPr>
                <w:rFonts w:eastAsia="Times New Roman" w:cs="Times New Roman"/>
                <w:color w:val="000000"/>
                <w:sz w:val="22"/>
              </w:rPr>
              <w:t xml:space="preserve"> </w:t>
            </w:r>
            <w:r w:rsidR="001655AE" w:rsidRPr="00B361C9">
              <w:rPr>
                <w:rFonts w:eastAsia="Times New Roman" w:cs="Times New Roman"/>
                <w:color w:val="000000"/>
                <w:sz w:val="22"/>
              </w:rPr>
              <w:t>from</w:t>
            </w:r>
            <w:r w:rsidRPr="00B361C9">
              <w:rPr>
                <w:rFonts w:eastAsia="Times New Roman" w:cs="Times New Roman"/>
                <w:color w:val="000000"/>
                <w:sz w:val="22"/>
              </w:rPr>
              <w:t xml:space="preserve"> the standard’s certified value, the sample must not be reported.  Instead, obtain recuts and recalibrate the system using the higher value standard or reanalyze the sample using a smaller sample size.  </w:t>
            </w:r>
          </w:p>
        </w:tc>
      </w:tr>
    </w:tbl>
    <w:p w:rsidR="00D0773B" w:rsidRPr="00B361C9" w:rsidRDefault="00D0773B" w:rsidP="008151E8">
      <w:pPr>
        <w:spacing w:line="240" w:lineRule="auto"/>
        <w:contextualSpacing/>
        <w:rPr>
          <w:rFonts w:cs="Times New Roman"/>
          <w:sz w:val="22"/>
        </w:rPr>
      </w:pPr>
    </w:p>
    <w:p w:rsidR="00D0773B" w:rsidRPr="00B361C9" w:rsidRDefault="008E131C" w:rsidP="000C6D6F">
      <w:pPr>
        <w:numPr>
          <w:ilvl w:val="1"/>
          <w:numId w:val="2"/>
        </w:numPr>
        <w:spacing w:line="240" w:lineRule="auto"/>
        <w:ind w:left="720" w:hanging="720"/>
        <w:contextualSpacing/>
        <w:rPr>
          <w:rFonts w:cs="Times New Roman"/>
          <w:i/>
          <w:sz w:val="22"/>
        </w:rPr>
      </w:pPr>
      <w:r w:rsidRPr="00B361C9">
        <w:rPr>
          <w:rFonts w:cs="Times New Roman"/>
          <w:i/>
          <w:sz w:val="22"/>
        </w:rPr>
        <w:t>Performance assessment protocols</w:t>
      </w:r>
    </w:p>
    <w:p w:rsidR="008E131C" w:rsidRPr="00B361C9" w:rsidRDefault="008E131C" w:rsidP="008151E8">
      <w:pPr>
        <w:spacing w:line="240" w:lineRule="auto"/>
        <w:ind w:left="360"/>
        <w:contextualSpacing/>
        <w:rPr>
          <w:rFonts w:cs="Times New Roman"/>
          <w:i/>
          <w:sz w:val="22"/>
        </w:rPr>
      </w:pPr>
    </w:p>
    <w:p w:rsidR="0035613E" w:rsidRDefault="00A06EB9" w:rsidP="008151E8">
      <w:pPr>
        <w:spacing w:line="240" w:lineRule="auto"/>
        <w:rPr>
          <w:rFonts w:cs="Times New Roman"/>
          <w:sz w:val="22"/>
        </w:rPr>
      </w:pPr>
      <w:r w:rsidRPr="00B361C9">
        <w:rPr>
          <w:rFonts w:cs="Times New Roman"/>
          <w:sz w:val="22"/>
        </w:rPr>
        <w:t>In order to assure a customer that the results provided are accurate and meet expected uncertainties, ISO 17025 requires that all certified/accredited methods be evaluated by performance</w:t>
      </w:r>
      <w:r w:rsidR="003E754E">
        <w:rPr>
          <w:rFonts w:cs="Times New Roman"/>
          <w:sz w:val="22"/>
        </w:rPr>
        <w:t xml:space="preserve"> testing.  </w:t>
      </w:r>
      <w:r w:rsidR="00ED45CB">
        <w:rPr>
          <w:rFonts w:cs="Times New Roman"/>
          <w:sz w:val="22"/>
        </w:rPr>
        <w:t xml:space="preserve">The minimum testing specified is two techniques per year with all certified techniques tested once within a </w:t>
      </w:r>
      <w:r w:rsidR="008303BA">
        <w:rPr>
          <w:rFonts w:cs="Times New Roman"/>
          <w:sz w:val="22"/>
        </w:rPr>
        <w:t>four-year</w:t>
      </w:r>
      <w:r w:rsidR="00ED45CB">
        <w:rPr>
          <w:rFonts w:cs="Times New Roman"/>
          <w:sz w:val="22"/>
        </w:rPr>
        <w:t xml:space="preserve"> window.  </w:t>
      </w:r>
      <w:r w:rsidR="0035613E">
        <w:rPr>
          <w:rFonts w:cs="Times New Roman"/>
          <w:sz w:val="22"/>
        </w:rPr>
        <w:t xml:space="preserve">Since </w:t>
      </w:r>
      <w:r w:rsidR="003E754E">
        <w:rPr>
          <w:rFonts w:cs="Times New Roman"/>
          <w:sz w:val="22"/>
        </w:rPr>
        <w:t xml:space="preserve">analytical programs </w:t>
      </w:r>
      <w:r w:rsidR="0035613E">
        <w:rPr>
          <w:rFonts w:cs="Times New Roman"/>
          <w:sz w:val="22"/>
        </w:rPr>
        <w:t>are only recently ISO-17025 compliant, LANL</w:t>
      </w:r>
      <w:r w:rsidR="003E754E">
        <w:rPr>
          <w:rFonts w:cs="Times New Roman"/>
          <w:sz w:val="22"/>
        </w:rPr>
        <w:t xml:space="preserve"> </w:t>
      </w:r>
      <w:r w:rsidR="008B18C3">
        <w:rPr>
          <w:rFonts w:cs="Times New Roman"/>
          <w:sz w:val="22"/>
        </w:rPr>
        <w:t>ha</w:t>
      </w:r>
      <w:r w:rsidR="0035613E">
        <w:rPr>
          <w:rFonts w:cs="Times New Roman"/>
          <w:sz w:val="22"/>
        </w:rPr>
        <w:t>s conservatively</w:t>
      </w:r>
      <w:r w:rsidR="008B18C3">
        <w:rPr>
          <w:rFonts w:cs="Times New Roman"/>
          <w:sz w:val="22"/>
        </w:rPr>
        <w:t xml:space="preserve"> chosen to </w:t>
      </w:r>
      <w:r w:rsidR="003E754E">
        <w:rPr>
          <w:rFonts w:cs="Times New Roman"/>
          <w:sz w:val="22"/>
        </w:rPr>
        <w:t>exceed this requirement by</w:t>
      </w:r>
      <w:r w:rsidRPr="00B361C9">
        <w:rPr>
          <w:rFonts w:cs="Times New Roman"/>
          <w:sz w:val="22"/>
        </w:rPr>
        <w:t xml:space="preserve"> testing </w:t>
      </w:r>
      <w:r w:rsidR="003E754E">
        <w:rPr>
          <w:rFonts w:cs="Times New Roman"/>
          <w:sz w:val="22"/>
        </w:rPr>
        <w:t xml:space="preserve">every method at least once </w:t>
      </w:r>
      <w:r w:rsidRPr="00B361C9">
        <w:rPr>
          <w:rFonts w:cs="Times New Roman"/>
          <w:sz w:val="22"/>
        </w:rPr>
        <w:t xml:space="preserve">every year </w:t>
      </w:r>
      <w:r w:rsidR="003E754E">
        <w:rPr>
          <w:rFonts w:cs="Times New Roman"/>
          <w:sz w:val="22"/>
        </w:rPr>
        <w:t>for both  Pu and U matrices</w:t>
      </w:r>
      <w:r w:rsidRPr="00B361C9">
        <w:rPr>
          <w:rFonts w:cs="Times New Roman"/>
          <w:sz w:val="22"/>
        </w:rPr>
        <w:t xml:space="preserve">  </w:t>
      </w:r>
      <w:r w:rsidR="00B73DBE" w:rsidRPr="00B361C9">
        <w:rPr>
          <w:rFonts w:cs="Times New Roman"/>
          <w:sz w:val="22"/>
        </w:rPr>
        <w:t>Assurance</w:t>
      </w:r>
      <w:r w:rsidRPr="00B361C9">
        <w:rPr>
          <w:rFonts w:cs="Times New Roman"/>
          <w:sz w:val="22"/>
        </w:rPr>
        <w:t xml:space="preserve"> can be accomplished by participating in performance tests, </w:t>
      </w:r>
      <w:r w:rsidR="00E93DBB" w:rsidRPr="00B361C9">
        <w:rPr>
          <w:rFonts w:cs="Times New Roman"/>
          <w:sz w:val="22"/>
        </w:rPr>
        <w:t>inter</w:t>
      </w:r>
      <w:r w:rsidR="006A2C9A">
        <w:rPr>
          <w:rFonts w:cs="Times New Roman"/>
          <w:sz w:val="22"/>
        </w:rPr>
        <w:t>-</w:t>
      </w:r>
      <w:r w:rsidR="00E93DBB" w:rsidRPr="00B361C9">
        <w:rPr>
          <w:rFonts w:cs="Times New Roman"/>
          <w:sz w:val="22"/>
        </w:rPr>
        <w:t>laboratory comparison program</w:t>
      </w:r>
      <w:r w:rsidR="006A2C9A">
        <w:rPr>
          <w:rFonts w:cs="Times New Roman"/>
          <w:sz w:val="22"/>
        </w:rPr>
        <w:t>s</w:t>
      </w:r>
      <w:r w:rsidRPr="00B361C9">
        <w:rPr>
          <w:rFonts w:cs="Times New Roman"/>
          <w:sz w:val="22"/>
        </w:rPr>
        <w:t xml:space="preserve">, or </w:t>
      </w:r>
      <w:r w:rsidR="00E93DBB" w:rsidRPr="00B361C9">
        <w:rPr>
          <w:rFonts w:cs="Times New Roman"/>
          <w:sz w:val="22"/>
        </w:rPr>
        <w:t xml:space="preserve">by monitoring </w:t>
      </w:r>
      <w:r w:rsidR="008B18C3">
        <w:rPr>
          <w:rFonts w:cs="Times New Roman"/>
          <w:sz w:val="22"/>
        </w:rPr>
        <w:t>QC</w:t>
      </w:r>
      <w:r w:rsidR="00D0773B" w:rsidRPr="00B361C9">
        <w:rPr>
          <w:rFonts w:cs="Times New Roman"/>
          <w:sz w:val="22"/>
        </w:rPr>
        <w:t xml:space="preserve"> </w:t>
      </w:r>
      <w:r w:rsidR="00F374C0" w:rsidRPr="00B361C9">
        <w:rPr>
          <w:rFonts w:cs="Times New Roman"/>
          <w:sz w:val="22"/>
        </w:rPr>
        <w:t>data</w:t>
      </w:r>
      <w:r w:rsidR="00E93DBB" w:rsidRPr="00B361C9">
        <w:rPr>
          <w:rFonts w:cs="Times New Roman"/>
          <w:sz w:val="22"/>
        </w:rPr>
        <w:t xml:space="preserve"> </w:t>
      </w:r>
      <w:r w:rsidR="006A2C9A">
        <w:rPr>
          <w:rFonts w:cs="Times New Roman"/>
          <w:sz w:val="22"/>
        </w:rPr>
        <w:t>for</w:t>
      </w:r>
      <w:r w:rsidR="00E93DBB" w:rsidRPr="00B361C9">
        <w:rPr>
          <w:rFonts w:cs="Times New Roman"/>
          <w:sz w:val="22"/>
        </w:rPr>
        <w:t xml:space="preserve"> matrix</w:t>
      </w:r>
      <w:r w:rsidR="00EC28B1">
        <w:rPr>
          <w:rFonts w:cs="Times New Roman"/>
          <w:sz w:val="22"/>
        </w:rPr>
        <w:t>-</w:t>
      </w:r>
      <w:r w:rsidR="00E93DBB" w:rsidRPr="00B361C9">
        <w:rPr>
          <w:rFonts w:cs="Times New Roman"/>
          <w:sz w:val="22"/>
        </w:rPr>
        <w:t>matched</w:t>
      </w:r>
      <w:r w:rsidR="008B18C3">
        <w:rPr>
          <w:rFonts w:cs="Times New Roman"/>
          <w:sz w:val="22"/>
        </w:rPr>
        <w:t>,</w:t>
      </w:r>
      <w:r w:rsidR="00E93DBB" w:rsidRPr="00B361C9">
        <w:rPr>
          <w:rFonts w:cs="Times New Roman"/>
          <w:sz w:val="22"/>
        </w:rPr>
        <w:t xml:space="preserve"> traceable </w:t>
      </w:r>
      <w:r w:rsidR="00F374C0" w:rsidRPr="00B361C9">
        <w:rPr>
          <w:rFonts w:cs="Times New Roman"/>
          <w:sz w:val="22"/>
        </w:rPr>
        <w:t>standards.</w:t>
      </w:r>
      <w:r w:rsidRPr="00B361C9">
        <w:rPr>
          <w:rFonts w:cs="Times New Roman"/>
          <w:sz w:val="22"/>
        </w:rPr>
        <w:t xml:space="preserve">  The challenge for LANL </w:t>
      </w:r>
      <w:r w:rsidR="00EC28B1">
        <w:rPr>
          <w:rFonts w:cs="Times New Roman"/>
          <w:sz w:val="22"/>
        </w:rPr>
        <w:t>– and</w:t>
      </w:r>
      <w:r w:rsidRPr="00B361C9">
        <w:rPr>
          <w:rFonts w:cs="Times New Roman"/>
          <w:sz w:val="22"/>
        </w:rPr>
        <w:t xml:space="preserve"> </w:t>
      </w:r>
      <w:r w:rsidR="001655AE" w:rsidRPr="00B361C9">
        <w:rPr>
          <w:rFonts w:cs="Times New Roman"/>
          <w:sz w:val="22"/>
        </w:rPr>
        <w:t>all</w:t>
      </w:r>
      <w:r w:rsidRPr="00B361C9">
        <w:rPr>
          <w:rFonts w:cs="Times New Roman"/>
          <w:sz w:val="22"/>
        </w:rPr>
        <w:t xml:space="preserve"> laboratories that do bulk special nuclear material nuclear forensic work</w:t>
      </w:r>
      <w:r w:rsidR="00EC28B1">
        <w:rPr>
          <w:rFonts w:cs="Times New Roman"/>
          <w:sz w:val="22"/>
        </w:rPr>
        <w:t xml:space="preserve"> – is </w:t>
      </w:r>
      <w:r w:rsidRPr="00B361C9">
        <w:rPr>
          <w:rFonts w:cs="Times New Roman"/>
          <w:sz w:val="22"/>
        </w:rPr>
        <w:t xml:space="preserve">that there are currently </w:t>
      </w:r>
      <w:r w:rsidR="00E93DBB" w:rsidRPr="00B361C9">
        <w:rPr>
          <w:rFonts w:cs="Times New Roman"/>
          <w:sz w:val="22"/>
        </w:rPr>
        <w:t xml:space="preserve">very few </w:t>
      </w:r>
      <w:r w:rsidRPr="00B361C9">
        <w:rPr>
          <w:rFonts w:cs="Times New Roman"/>
          <w:sz w:val="22"/>
        </w:rPr>
        <w:t xml:space="preserve">certified (ISO 17043) performance test programs available </w:t>
      </w:r>
      <w:r w:rsidR="00D0773B" w:rsidRPr="00B361C9">
        <w:rPr>
          <w:rFonts w:cs="Times New Roman"/>
          <w:sz w:val="22"/>
        </w:rPr>
        <w:t xml:space="preserve">to </w:t>
      </w:r>
      <w:r w:rsidR="00E93DBB" w:rsidRPr="00B361C9">
        <w:rPr>
          <w:rFonts w:cs="Times New Roman"/>
          <w:sz w:val="22"/>
        </w:rPr>
        <w:t xml:space="preserve">participants in the </w:t>
      </w:r>
      <w:r w:rsidRPr="00B361C9">
        <w:rPr>
          <w:rFonts w:cs="Times New Roman"/>
          <w:sz w:val="22"/>
        </w:rPr>
        <w:t>US.  This means round</w:t>
      </w:r>
      <w:r w:rsidR="006A2C9A">
        <w:rPr>
          <w:rFonts w:cs="Times New Roman"/>
          <w:sz w:val="22"/>
        </w:rPr>
        <w:t>-</w:t>
      </w:r>
      <w:r w:rsidRPr="00B361C9">
        <w:rPr>
          <w:rFonts w:cs="Times New Roman"/>
          <w:sz w:val="22"/>
        </w:rPr>
        <w:t xml:space="preserve">robins or </w:t>
      </w:r>
      <w:r w:rsidR="00B73DBE" w:rsidRPr="00B361C9">
        <w:rPr>
          <w:rFonts w:cs="Times New Roman"/>
          <w:sz w:val="22"/>
        </w:rPr>
        <w:t>QC</w:t>
      </w:r>
      <w:r w:rsidR="00BF0019" w:rsidRPr="00B361C9">
        <w:rPr>
          <w:rFonts w:cs="Times New Roman"/>
          <w:sz w:val="22"/>
        </w:rPr>
        <w:t xml:space="preserve"> data from</w:t>
      </w:r>
      <w:r w:rsidRPr="00B361C9">
        <w:rPr>
          <w:rFonts w:cs="Times New Roman"/>
          <w:sz w:val="22"/>
        </w:rPr>
        <w:t xml:space="preserve"> traceable RMs must be used.  </w:t>
      </w:r>
      <w:r w:rsidRPr="00B361C9">
        <w:rPr>
          <w:rFonts w:cs="Times New Roman"/>
          <w:sz w:val="22"/>
        </w:rPr>
        <w:lastRenderedPageBreak/>
        <w:t xml:space="preserve">Fortunately, US Department of Energy (DOE) has required US laboratories </w:t>
      </w:r>
      <w:r w:rsidR="008B18C3">
        <w:rPr>
          <w:rFonts w:cs="Times New Roman"/>
          <w:sz w:val="22"/>
        </w:rPr>
        <w:t>providing</w:t>
      </w:r>
      <w:r w:rsidRPr="00B361C9">
        <w:rPr>
          <w:rFonts w:cs="Times New Roman"/>
          <w:sz w:val="22"/>
        </w:rPr>
        <w:t xml:space="preserve"> Materials Control and Accountability analyses to participate in inter-laboratory control programs</w:t>
      </w:r>
      <w:r w:rsidR="008B18C3">
        <w:rPr>
          <w:rFonts w:cs="Times New Roman"/>
          <w:sz w:val="22"/>
        </w:rPr>
        <w:t xml:space="preserve"> in order</w:t>
      </w:r>
      <w:r w:rsidRPr="00B361C9">
        <w:rPr>
          <w:rFonts w:cs="Times New Roman"/>
          <w:sz w:val="22"/>
        </w:rPr>
        <w:t xml:space="preserve"> to provide independent verification of analytical </w:t>
      </w:r>
      <w:r w:rsidR="008B18C3">
        <w:rPr>
          <w:rFonts w:cs="Times New Roman"/>
          <w:sz w:val="22"/>
        </w:rPr>
        <w:t>QC</w:t>
      </w:r>
      <w:r w:rsidRPr="00B361C9">
        <w:rPr>
          <w:rFonts w:cs="Times New Roman"/>
          <w:sz w:val="22"/>
        </w:rPr>
        <w:t xml:space="preserve"> [</w:t>
      </w:r>
      <w:r w:rsidR="007D6072">
        <w:rPr>
          <w:rFonts w:cs="Times New Roman"/>
          <w:sz w:val="22"/>
        </w:rPr>
        <w:t>1</w:t>
      </w:r>
      <w:r w:rsidR="00AB0945">
        <w:rPr>
          <w:rFonts w:cs="Times New Roman"/>
          <w:sz w:val="22"/>
        </w:rPr>
        <w:t>8</w:t>
      </w:r>
      <w:r w:rsidRPr="00B361C9">
        <w:rPr>
          <w:rFonts w:cs="Times New Roman"/>
          <w:sz w:val="22"/>
        </w:rPr>
        <w:t xml:space="preserve">] and have long funded </w:t>
      </w:r>
      <w:r w:rsidR="0035613E">
        <w:rPr>
          <w:rFonts w:cs="Times New Roman"/>
          <w:sz w:val="22"/>
        </w:rPr>
        <w:t xml:space="preserve">the </w:t>
      </w:r>
      <w:r w:rsidRPr="00B361C9">
        <w:rPr>
          <w:rFonts w:cs="Times New Roman"/>
          <w:sz w:val="22"/>
        </w:rPr>
        <w:t xml:space="preserve">NBL SME program for </w:t>
      </w:r>
      <w:r w:rsidR="00635742">
        <w:rPr>
          <w:rFonts w:cs="Times New Roman"/>
          <w:sz w:val="22"/>
        </w:rPr>
        <w:t xml:space="preserve">U </w:t>
      </w:r>
      <w:r w:rsidRPr="00B361C9">
        <w:rPr>
          <w:rFonts w:cs="Times New Roman"/>
          <w:sz w:val="22"/>
        </w:rPr>
        <w:t xml:space="preserve">materials. </w:t>
      </w:r>
      <w:r w:rsidR="009B48BE" w:rsidRPr="00B361C9">
        <w:rPr>
          <w:rFonts w:cs="Times New Roman"/>
          <w:sz w:val="22"/>
        </w:rPr>
        <w:t xml:space="preserve">Other agencies within the US government and international agencies </w:t>
      </w:r>
      <w:r w:rsidR="00EC28B1">
        <w:rPr>
          <w:rFonts w:cs="Times New Roman"/>
          <w:sz w:val="22"/>
        </w:rPr>
        <w:t>(</w:t>
      </w:r>
      <w:r w:rsidR="009B48BE" w:rsidRPr="00B361C9">
        <w:rPr>
          <w:rFonts w:cs="Times New Roman"/>
          <w:sz w:val="22"/>
        </w:rPr>
        <w:t>such as the IRMM, CET</w:t>
      </w:r>
      <w:r w:rsidR="00E66137">
        <w:rPr>
          <w:rFonts w:cs="Times New Roman"/>
          <w:sz w:val="22"/>
        </w:rPr>
        <w:t>A</w:t>
      </w:r>
      <w:r w:rsidR="009B48BE" w:rsidRPr="00B361C9">
        <w:rPr>
          <w:rFonts w:cs="Times New Roman"/>
          <w:sz w:val="22"/>
        </w:rPr>
        <w:t>MA, IAEA and individual countries such as Japan</w:t>
      </w:r>
      <w:r w:rsidR="00EC28B1">
        <w:rPr>
          <w:rFonts w:cs="Times New Roman"/>
          <w:sz w:val="22"/>
        </w:rPr>
        <w:t>)</w:t>
      </w:r>
      <w:r w:rsidR="009B48BE" w:rsidRPr="00B361C9">
        <w:rPr>
          <w:rFonts w:cs="Times New Roman"/>
          <w:sz w:val="22"/>
        </w:rPr>
        <w:t xml:space="preserve"> are beginning to implement regular national and</w:t>
      </w:r>
      <w:r w:rsidR="00EC28B1">
        <w:rPr>
          <w:rFonts w:cs="Times New Roman"/>
          <w:sz w:val="22"/>
        </w:rPr>
        <w:t>/</w:t>
      </w:r>
      <w:r w:rsidR="009B48BE" w:rsidRPr="00B361C9">
        <w:rPr>
          <w:rFonts w:cs="Times New Roman"/>
          <w:sz w:val="22"/>
        </w:rPr>
        <w:t>or international performance test and benchmarking studies to study key attributes.</w:t>
      </w:r>
      <w:r w:rsidRPr="00B361C9">
        <w:rPr>
          <w:rFonts w:cs="Times New Roman"/>
          <w:sz w:val="22"/>
        </w:rPr>
        <w:t xml:space="preserve"> </w:t>
      </w:r>
    </w:p>
    <w:p w:rsidR="00433D57" w:rsidRPr="00B361C9" w:rsidRDefault="00A06EB9" w:rsidP="008151E8">
      <w:pPr>
        <w:spacing w:line="240" w:lineRule="auto"/>
        <w:rPr>
          <w:rFonts w:cs="Times New Roman"/>
          <w:sz w:val="22"/>
        </w:rPr>
      </w:pPr>
      <w:r w:rsidRPr="00B361C9">
        <w:rPr>
          <w:rFonts w:cs="Times New Roman"/>
          <w:sz w:val="22"/>
        </w:rPr>
        <w:t>US DOE has also funded a LANL</w:t>
      </w:r>
      <w:r w:rsidR="00EC28B1">
        <w:rPr>
          <w:rFonts w:cs="Times New Roman"/>
          <w:sz w:val="22"/>
        </w:rPr>
        <w:t>-</w:t>
      </w:r>
      <w:r w:rsidRPr="00B361C9">
        <w:rPr>
          <w:rFonts w:cs="Times New Roman"/>
          <w:sz w:val="22"/>
        </w:rPr>
        <w:t>based</w:t>
      </w:r>
      <w:r w:rsidR="00D05638" w:rsidRPr="00B361C9">
        <w:rPr>
          <w:rFonts w:cs="Times New Roman"/>
          <w:sz w:val="22"/>
        </w:rPr>
        <w:t>,</w:t>
      </w:r>
      <w:r w:rsidRPr="00B361C9">
        <w:rPr>
          <w:rFonts w:cs="Times New Roman"/>
          <w:sz w:val="22"/>
        </w:rPr>
        <w:t xml:space="preserve"> </w:t>
      </w:r>
      <w:r w:rsidR="00635742">
        <w:rPr>
          <w:rFonts w:cs="Times New Roman"/>
          <w:sz w:val="22"/>
        </w:rPr>
        <w:t xml:space="preserve">Pu </w:t>
      </w:r>
      <w:r w:rsidRPr="00B361C9">
        <w:rPr>
          <w:rFonts w:cs="Times New Roman"/>
          <w:sz w:val="22"/>
        </w:rPr>
        <w:t xml:space="preserve">materials exchange program over the decades.  </w:t>
      </w:r>
      <w:r w:rsidR="00D05638" w:rsidRPr="00B361C9">
        <w:rPr>
          <w:rFonts w:cs="Times New Roman"/>
          <w:sz w:val="22"/>
        </w:rPr>
        <w:t>These</w:t>
      </w:r>
      <w:r w:rsidR="006A0688" w:rsidRPr="00B361C9">
        <w:rPr>
          <w:rFonts w:cs="Times New Roman"/>
          <w:sz w:val="22"/>
        </w:rPr>
        <w:t xml:space="preserve"> </w:t>
      </w:r>
      <w:r w:rsidR="008B18C3">
        <w:rPr>
          <w:rFonts w:cs="Times New Roman"/>
          <w:sz w:val="22"/>
        </w:rPr>
        <w:t xml:space="preserve">programs </w:t>
      </w:r>
      <w:r w:rsidR="006A0688" w:rsidRPr="00B361C9">
        <w:rPr>
          <w:rFonts w:cs="Times New Roman"/>
          <w:sz w:val="22"/>
        </w:rPr>
        <w:t>assess our validate</w:t>
      </w:r>
      <w:r w:rsidR="00D05638" w:rsidRPr="00B361C9">
        <w:rPr>
          <w:rFonts w:cs="Times New Roman"/>
          <w:sz w:val="22"/>
        </w:rPr>
        <w:t>d</w:t>
      </w:r>
      <w:r w:rsidR="006A0688" w:rsidRPr="00B361C9">
        <w:rPr>
          <w:rFonts w:cs="Times New Roman"/>
          <w:sz w:val="22"/>
        </w:rPr>
        <w:t xml:space="preserve"> methods </w:t>
      </w:r>
      <w:r w:rsidR="00E93DBB" w:rsidRPr="00B361C9">
        <w:rPr>
          <w:rFonts w:cs="Times New Roman"/>
          <w:sz w:val="22"/>
        </w:rPr>
        <w:t>us</w:t>
      </w:r>
      <w:r w:rsidR="006A0688" w:rsidRPr="00B361C9">
        <w:rPr>
          <w:rFonts w:cs="Times New Roman"/>
          <w:sz w:val="22"/>
        </w:rPr>
        <w:t>ing</w:t>
      </w:r>
      <w:r w:rsidR="00E93DBB" w:rsidRPr="00B361C9">
        <w:rPr>
          <w:rFonts w:cs="Times New Roman"/>
          <w:sz w:val="22"/>
        </w:rPr>
        <w:t xml:space="preserve"> </w:t>
      </w:r>
      <w:r w:rsidR="008303BA" w:rsidRPr="00B361C9">
        <w:rPr>
          <w:rFonts w:cs="Times New Roman"/>
          <w:sz w:val="22"/>
        </w:rPr>
        <w:t>matrix-matched</w:t>
      </w:r>
      <w:r w:rsidR="006A0688" w:rsidRPr="00B361C9">
        <w:rPr>
          <w:rFonts w:cs="Times New Roman"/>
          <w:sz w:val="22"/>
        </w:rPr>
        <w:t xml:space="preserve"> RM</w:t>
      </w:r>
      <w:r w:rsidR="00EC28B1">
        <w:rPr>
          <w:rFonts w:cs="Times New Roman"/>
          <w:sz w:val="22"/>
        </w:rPr>
        <w:t>s</w:t>
      </w:r>
      <w:r w:rsidR="006A0688" w:rsidRPr="00B361C9">
        <w:rPr>
          <w:rFonts w:cs="Times New Roman"/>
          <w:sz w:val="22"/>
        </w:rPr>
        <w:t xml:space="preserve"> or traceable, </w:t>
      </w:r>
      <w:r w:rsidR="00D05638" w:rsidRPr="00B361C9">
        <w:rPr>
          <w:rFonts w:cs="Times New Roman"/>
          <w:sz w:val="22"/>
        </w:rPr>
        <w:t>well-characterized</w:t>
      </w:r>
      <w:r w:rsidR="006A0688" w:rsidRPr="00B361C9">
        <w:rPr>
          <w:rFonts w:cs="Times New Roman"/>
          <w:sz w:val="22"/>
        </w:rPr>
        <w:t xml:space="preserve"> matrix</w:t>
      </w:r>
      <w:r w:rsidR="008303BA">
        <w:rPr>
          <w:rFonts w:cs="Times New Roman"/>
          <w:sz w:val="22"/>
        </w:rPr>
        <w:t>-</w:t>
      </w:r>
      <w:r w:rsidR="006A0688" w:rsidRPr="00B361C9">
        <w:rPr>
          <w:rFonts w:cs="Times New Roman"/>
          <w:sz w:val="22"/>
        </w:rPr>
        <w:t>matched materials</w:t>
      </w:r>
      <w:r w:rsidR="00045C84" w:rsidRPr="00B361C9">
        <w:rPr>
          <w:rFonts w:cs="Times New Roman"/>
          <w:sz w:val="22"/>
        </w:rPr>
        <w:t xml:space="preserve"> and compare </w:t>
      </w:r>
      <w:r w:rsidRPr="00B361C9">
        <w:rPr>
          <w:rFonts w:cs="Times New Roman"/>
          <w:sz w:val="22"/>
        </w:rPr>
        <w:t xml:space="preserve">multiple </w:t>
      </w:r>
      <w:r w:rsidR="006A0688" w:rsidRPr="00B361C9">
        <w:rPr>
          <w:rFonts w:cs="Times New Roman"/>
          <w:sz w:val="22"/>
        </w:rPr>
        <w:t>independent methods</w:t>
      </w:r>
      <w:r w:rsidR="00AB0877">
        <w:rPr>
          <w:rFonts w:cs="Times New Roman"/>
          <w:sz w:val="22"/>
        </w:rPr>
        <w:t xml:space="preserve"> amongst</w:t>
      </w:r>
      <w:r w:rsidRPr="00B361C9">
        <w:rPr>
          <w:rFonts w:cs="Times New Roman"/>
          <w:sz w:val="22"/>
        </w:rPr>
        <w:t xml:space="preserve"> independent laboratories</w:t>
      </w:r>
      <w:r w:rsidR="00D05638" w:rsidRPr="00B361C9">
        <w:rPr>
          <w:rFonts w:cs="Times New Roman"/>
          <w:sz w:val="22"/>
        </w:rPr>
        <w:t xml:space="preserve"> [</w:t>
      </w:r>
      <w:r w:rsidR="00AB0945">
        <w:rPr>
          <w:rFonts w:cs="Times New Roman"/>
          <w:sz w:val="22"/>
        </w:rPr>
        <w:t>11</w:t>
      </w:r>
      <w:r w:rsidR="00D05638" w:rsidRPr="00B361C9">
        <w:rPr>
          <w:rFonts w:cs="Times New Roman"/>
          <w:sz w:val="22"/>
        </w:rPr>
        <w:t>]</w:t>
      </w:r>
      <w:r w:rsidR="006A0688" w:rsidRPr="00B361C9">
        <w:rPr>
          <w:rFonts w:cs="Times New Roman"/>
          <w:sz w:val="22"/>
        </w:rPr>
        <w:t xml:space="preserve">.  </w:t>
      </w:r>
      <w:r w:rsidRPr="00B361C9">
        <w:rPr>
          <w:rFonts w:cs="Times New Roman"/>
          <w:sz w:val="22"/>
        </w:rPr>
        <w:t xml:space="preserve">Most of the </w:t>
      </w:r>
      <w:r w:rsidR="00D05638" w:rsidRPr="00B361C9">
        <w:rPr>
          <w:rFonts w:cs="Times New Roman"/>
          <w:sz w:val="22"/>
        </w:rPr>
        <w:t>criterion covered under ISO 17043</w:t>
      </w:r>
      <w:r w:rsidR="008B18C3">
        <w:rPr>
          <w:rFonts w:cs="Times New Roman"/>
          <w:sz w:val="22"/>
        </w:rPr>
        <w:t xml:space="preserve"> </w:t>
      </w:r>
      <w:r w:rsidR="00EC28B1">
        <w:rPr>
          <w:rFonts w:cs="Times New Roman"/>
          <w:sz w:val="22"/>
        </w:rPr>
        <w:t>(</w:t>
      </w:r>
      <w:r w:rsidR="008B18C3">
        <w:rPr>
          <w:rFonts w:cs="Times New Roman"/>
          <w:sz w:val="22"/>
        </w:rPr>
        <w:t xml:space="preserve">such as </w:t>
      </w:r>
      <w:r w:rsidR="00D05638" w:rsidRPr="00B361C9">
        <w:rPr>
          <w:rFonts w:cs="Times New Roman"/>
          <w:sz w:val="22"/>
        </w:rPr>
        <w:t>materials testing</w:t>
      </w:r>
      <w:r w:rsidR="00EC28B1">
        <w:rPr>
          <w:rFonts w:cs="Times New Roman"/>
          <w:sz w:val="22"/>
        </w:rPr>
        <w:t xml:space="preserve"> and</w:t>
      </w:r>
      <w:r w:rsidR="00D05638" w:rsidRPr="00B361C9">
        <w:rPr>
          <w:rFonts w:cs="Times New Roman"/>
          <w:sz w:val="22"/>
        </w:rPr>
        <w:t xml:space="preserve"> stability</w:t>
      </w:r>
      <w:r w:rsidR="00EC28B1">
        <w:rPr>
          <w:rFonts w:cs="Times New Roman"/>
          <w:sz w:val="22"/>
        </w:rPr>
        <w:t>)</w:t>
      </w:r>
      <w:r w:rsidR="00D05638" w:rsidRPr="00B361C9">
        <w:rPr>
          <w:rFonts w:cs="Times New Roman"/>
          <w:sz w:val="22"/>
        </w:rPr>
        <w:t xml:space="preserve"> </w:t>
      </w:r>
      <w:r w:rsidR="002B3568">
        <w:rPr>
          <w:rFonts w:cs="Times New Roman"/>
          <w:sz w:val="22"/>
        </w:rPr>
        <w:t>is</w:t>
      </w:r>
      <w:r w:rsidR="00D05638" w:rsidRPr="00B361C9">
        <w:rPr>
          <w:rFonts w:cs="Times New Roman"/>
          <w:sz w:val="22"/>
        </w:rPr>
        <w:t xml:space="preserve"> incorporated</w:t>
      </w:r>
      <w:r w:rsidRPr="00B361C9">
        <w:rPr>
          <w:rFonts w:cs="Times New Roman"/>
          <w:sz w:val="22"/>
        </w:rPr>
        <w:t xml:space="preserve"> </w:t>
      </w:r>
      <w:r w:rsidR="00D05638" w:rsidRPr="00B361C9">
        <w:rPr>
          <w:rFonts w:cs="Times New Roman"/>
          <w:sz w:val="22"/>
        </w:rPr>
        <w:t>in</w:t>
      </w:r>
      <w:r w:rsidRPr="00B361C9">
        <w:rPr>
          <w:rFonts w:cs="Times New Roman"/>
          <w:sz w:val="22"/>
        </w:rPr>
        <w:t xml:space="preserve"> these two DOE </w:t>
      </w:r>
      <w:r w:rsidR="00EC28B1">
        <w:rPr>
          <w:rFonts w:cs="Times New Roman"/>
          <w:sz w:val="22"/>
        </w:rPr>
        <w:t>exchange</w:t>
      </w:r>
      <w:r w:rsidR="006A2C9A">
        <w:rPr>
          <w:rFonts w:cs="Times New Roman"/>
          <w:sz w:val="22"/>
        </w:rPr>
        <w:t>-</w:t>
      </w:r>
      <w:r w:rsidRPr="00B361C9">
        <w:rPr>
          <w:rFonts w:cs="Times New Roman"/>
          <w:sz w:val="22"/>
        </w:rPr>
        <w:t xml:space="preserve">robin programs.  </w:t>
      </w:r>
      <w:r w:rsidR="002D6129" w:rsidRPr="00B361C9">
        <w:rPr>
          <w:rFonts w:cs="Times New Roman"/>
          <w:sz w:val="22"/>
        </w:rPr>
        <w:t>Th</w:t>
      </w:r>
      <w:r w:rsidR="00BF0019" w:rsidRPr="00B361C9">
        <w:rPr>
          <w:rFonts w:cs="Times New Roman"/>
          <w:sz w:val="22"/>
        </w:rPr>
        <w:t>e LANL</w:t>
      </w:r>
      <w:r w:rsidR="00D05638" w:rsidRPr="00B361C9">
        <w:rPr>
          <w:rFonts w:cs="Times New Roman"/>
          <w:sz w:val="22"/>
        </w:rPr>
        <w:t xml:space="preserve"> program</w:t>
      </w:r>
      <w:r w:rsidR="002D6129" w:rsidRPr="00B361C9">
        <w:rPr>
          <w:rFonts w:cs="Times New Roman"/>
          <w:sz w:val="22"/>
        </w:rPr>
        <w:t xml:space="preserve"> request</w:t>
      </w:r>
      <w:r w:rsidR="00BF0019" w:rsidRPr="00B361C9">
        <w:rPr>
          <w:rFonts w:cs="Times New Roman"/>
          <w:sz w:val="22"/>
        </w:rPr>
        <w:t>s</w:t>
      </w:r>
      <w:r w:rsidR="002D6129" w:rsidRPr="00B361C9">
        <w:rPr>
          <w:rFonts w:cs="Times New Roman"/>
          <w:sz w:val="22"/>
        </w:rPr>
        <w:t xml:space="preserve"> analysis of </w:t>
      </w:r>
      <w:r w:rsidR="00BF0019" w:rsidRPr="00B361C9">
        <w:rPr>
          <w:rFonts w:cs="Times New Roman"/>
          <w:sz w:val="22"/>
        </w:rPr>
        <w:t>almost the entire periodic t</w:t>
      </w:r>
      <w:r w:rsidR="002D6129" w:rsidRPr="00B361C9">
        <w:rPr>
          <w:rFonts w:cs="Times New Roman"/>
          <w:sz w:val="22"/>
        </w:rPr>
        <w:t xml:space="preserve">able and up </w:t>
      </w:r>
      <w:r w:rsidRPr="00B361C9">
        <w:rPr>
          <w:rFonts w:cs="Times New Roman"/>
          <w:sz w:val="22"/>
        </w:rPr>
        <w:t xml:space="preserve">to </w:t>
      </w:r>
      <w:r w:rsidR="00045C84" w:rsidRPr="00B361C9">
        <w:rPr>
          <w:rFonts w:cs="Times New Roman"/>
          <w:sz w:val="22"/>
        </w:rPr>
        <w:t xml:space="preserve">six </w:t>
      </w:r>
      <w:r w:rsidRPr="00B361C9">
        <w:rPr>
          <w:rFonts w:cs="Times New Roman"/>
          <w:sz w:val="22"/>
        </w:rPr>
        <w:t>peer labs</w:t>
      </w:r>
      <w:r w:rsidR="00BF0019" w:rsidRPr="00B361C9">
        <w:rPr>
          <w:rFonts w:cs="Times New Roman"/>
          <w:sz w:val="22"/>
        </w:rPr>
        <w:t xml:space="preserve"> </w:t>
      </w:r>
      <w:r w:rsidR="002B3568">
        <w:rPr>
          <w:rFonts w:cs="Times New Roman"/>
          <w:sz w:val="22"/>
        </w:rPr>
        <w:t xml:space="preserve">have </w:t>
      </w:r>
      <w:r w:rsidR="00BF0019" w:rsidRPr="00B361C9">
        <w:rPr>
          <w:rFonts w:cs="Times New Roman"/>
          <w:sz w:val="22"/>
        </w:rPr>
        <w:t>participate</w:t>
      </w:r>
      <w:r w:rsidR="002B3568">
        <w:rPr>
          <w:rFonts w:cs="Times New Roman"/>
          <w:sz w:val="22"/>
        </w:rPr>
        <w:t>d</w:t>
      </w:r>
      <w:r w:rsidR="008B18C3">
        <w:rPr>
          <w:rFonts w:cs="Times New Roman"/>
          <w:sz w:val="22"/>
        </w:rPr>
        <w:t>.  N</w:t>
      </w:r>
      <w:r w:rsidR="00BF0019" w:rsidRPr="00B361C9">
        <w:rPr>
          <w:rFonts w:cs="Times New Roman"/>
          <w:sz w:val="22"/>
        </w:rPr>
        <w:t xml:space="preserve">BL’s program has focused on safeguard measurements </w:t>
      </w:r>
      <w:r w:rsidR="008B18C3">
        <w:rPr>
          <w:rFonts w:cs="Times New Roman"/>
          <w:sz w:val="22"/>
        </w:rPr>
        <w:t xml:space="preserve">with over </w:t>
      </w:r>
      <w:r w:rsidR="00B11F94" w:rsidRPr="00B361C9">
        <w:rPr>
          <w:rFonts w:cs="Times New Roman"/>
          <w:sz w:val="22"/>
        </w:rPr>
        <w:t>2</w:t>
      </w:r>
      <w:r w:rsidR="00BF0019" w:rsidRPr="00B361C9">
        <w:rPr>
          <w:rFonts w:cs="Times New Roman"/>
          <w:sz w:val="22"/>
        </w:rPr>
        <w:t>0 labs and multiple countries participat</w:t>
      </w:r>
      <w:r w:rsidR="001643DA" w:rsidRPr="00B361C9">
        <w:rPr>
          <w:rFonts w:cs="Times New Roman"/>
          <w:sz w:val="22"/>
        </w:rPr>
        <w:t>ing</w:t>
      </w:r>
      <w:r w:rsidRPr="00B361C9">
        <w:rPr>
          <w:rFonts w:cs="Times New Roman"/>
          <w:sz w:val="22"/>
        </w:rPr>
        <w:t xml:space="preserve">.  </w:t>
      </w:r>
      <w:r w:rsidR="00D05638" w:rsidRPr="00B361C9">
        <w:rPr>
          <w:rFonts w:cs="Times New Roman"/>
          <w:sz w:val="22"/>
        </w:rPr>
        <w:t xml:space="preserve">Table 3 shows an example of LANL data </w:t>
      </w:r>
      <w:r w:rsidR="001643DA" w:rsidRPr="00B361C9">
        <w:rPr>
          <w:rFonts w:cs="Times New Roman"/>
          <w:sz w:val="22"/>
        </w:rPr>
        <w:t xml:space="preserve">from the Pu exchange </w:t>
      </w:r>
      <w:r w:rsidR="00D05638" w:rsidRPr="00B361C9">
        <w:rPr>
          <w:rFonts w:cs="Times New Roman"/>
          <w:sz w:val="22"/>
        </w:rPr>
        <w:t xml:space="preserve">assessing the trends for </w:t>
      </w:r>
      <w:r w:rsidR="00D05638" w:rsidRPr="00B361C9">
        <w:rPr>
          <w:rFonts w:cs="Times New Roman"/>
          <w:sz w:val="22"/>
          <w:vertAlign w:val="superscript"/>
        </w:rPr>
        <w:t>237</w:t>
      </w:r>
      <w:r w:rsidR="00D05638" w:rsidRPr="00B361C9">
        <w:rPr>
          <w:rFonts w:cs="Times New Roman"/>
          <w:sz w:val="22"/>
        </w:rPr>
        <w:t xml:space="preserve">Np analysis.  Though not a </w:t>
      </w:r>
      <w:r w:rsidR="009B48BE">
        <w:rPr>
          <w:rFonts w:cs="Times New Roman"/>
          <w:sz w:val="22"/>
        </w:rPr>
        <w:t xml:space="preserve">key attribute </w:t>
      </w:r>
      <w:r w:rsidR="00D05638" w:rsidRPr="00B361C9">
        <w:rPr>
          <w:rFonts w:cs="Times New Roman"/>
          <w:sz w:val="22"/>
        </w:rPr>
        <w:t xml:space="preserve">for past programs, these analyses have become </w:t>
      </w:r>
      <w:r w:rsidR="008151E8">
        <w:rPr>
          <w:rFonts w:cs="Times New Roman"/>
          <w:sz w:val="22"/>
        </w:rPr>
        <w:t>critical</w:t>
      </w:r>
      <w:r w:rsidR="00D05638" w:rsidRPr="00B361C9">
        <w:rPr>
          <w:rFonts w:cs="Times New Roman"/>
          <w:sz w:val="22"/>
        </w:rPr>
        <w:t xml:space="preserve"> in age</w:t>
      </w:r>
      <w:r w:rsidR="00EC28B1">
        <w:rPr>
          <w:rFonts w:cs="Times New Roman"/>
          <w:sz w:val="22"/>
        </w:rPr>
        <w:t>-</w:t>
      </w:r>
      <w:r w:rsidR="00D05638" w:rsidRPr="00B361C9">
        <w:rPr>
          <w:rFonts w:cs="Times New Roman"/>
          <w:sz w:val="22"/>
        </w:rPr>
        <w:t xml:space="preserve">dating nuclear forensic samples.  </w:t>
      </w:r>
    </w:p>
    <w:p w:rsidR="00433D57" w:rsidRPr="00B361C9" w:rsidRDefault="00433D57" w:rsidP="008151E8">
      <w:pPr>
        <w:spacing w:line="240" w:lineRule="auto"/>
        <w:ind w:right="387"/>
        <w:rPr>
          <w:rFonts w:cs="Times New Roman"/>
          <w:sz w:val="22"/>
        </w:rPr>
      </w:pPr>
      <w:r w:rsidRPr="00B361C9">
        <w:rPr>
          <w:rFonts w:cs="Times New Roman"/>
          <w:b/>
          <w:sz w:val="22"/>
        </w:rPr>
        <w:t xml:space="preserve">Figure </w:t>
      </w:r>
      <w:r w:rsidR="008B0DCD" w:rsidRPr="00B361C9">
        <w:rPr>
          <w:rFonts w:cs="Times New Roman"/>
          <w:b/>
          <w:sz w:val="22"/>
        </w:rPr>
        <w:t>3</w:t>
      </w:r>
      <w:r w:rsidRPr="00B361C9">
        <w:rPr>
          <w:rFonts w:cs="Times New Roman"/>
          <w:b/>
          <w:sz w:val="22"/>
        </w:rPr>
        <w:t>:</w:t>
      </w:r>
      <w:r w:rsidRPr="00B361C9">
        <w:rPr>
          <w:rFonts w:cs="Times New Roman"/>
          <w:sz w:val="22"/>
        </w:rPr>
        <w:t xml:space="preserve">  </w:t>
      </w:r>
      <w:r w:rsidR="00CA03F7" w:rsidRPr="00B361C9">
        <w:rPr>
          <w:rFonts w:cs="Times New Roman"/>
          <w:sz w:val="22"/>
        </w:rPr>
        <w:t xml:space="preserve">Trend plot for </w:t>
      </w:r>
      <w:r w:rsidR="00CA03F7" w:rsidRPr="00B361C9">
        <w:rPr>
          <w:rFonts w:cs="Times New Roman"/>
          <w:sz w:val="22"/>
          <w:vertAlign w:val="superscript"/>
        </w:rPr>
        <w:t>237</w:t>
      </w:r>
      <w:r w:rsidR="00CA03F7" w:rsidRPr="00B361C9">
        <w:rPr>
          <w:rFonts w:cs="Times New Roman"/>
          <w:sz w:val="22"/>
        </w:rPr>
        <w:t xml:space="preserve">Np measurements on a particular </w:t>
      </w:r>
      <w:r w:rsidRPr="00B361C9">
        <w:rPr>
          <w:rFonts w:cs="Times New Roman"/>
          <w:sz w:val="22"/>
        </w:rPr>
        <w:t xml:space="preserve">Pu Exchange </w:t>
      </w:r>
      <w:r w:rsidR="00CA03F7" w:rsidRPr="00B361C9">
        <w:rPr>
          <w:rFonts w:cs="Times New Roman"/>
          <w:sz w:val="22"/>
        </w:rPr>
        <w:t xml:space="preserve">metal by </w:t>
      </w:r>
      <w:r w:rsidRPr="00B361C9">
        <w:rPr>
          <w:rFonts w:cs="Times New Roman"/>
          <w:sz w:val="22"/>
        </w:rPr>
        <w:t xml:space="preserve">LANL </w:t>
      </w:r>
      <w:r w:rsidR="00CA03F7" w:rsidRPr="00B361C9">
        <w:rPr>
          <w:rFonts w:cs="Times New Roman"/>
          <w:sz w:val="22"/>
        </w:rPr>
        <w:t>ICP-MS and alph</w:t>
      </w:r>
      <w:r w:rsidR="005A31D9" w:rsidRPr="00B361C9">
        <w:rPr>
          <w:rFonts w:cs="Times New Roman"/>
          <w:sz w:val="22"/>
        </w:rPr>
        <w:t>a</w:t>
      </w:r>
      <w:r w:rsidR="00CA03F7" w:rsidRPr="00B361C9">
        <w:rPr>
          <w:rFonts w:cs="Times New Roman"/>
          <w:sz w:val="22"/>
        </w:rPr>
        <w:t xml:space="preserve"> spectrometry.  All data decay corrected to the same date</w:t>
      </w:r>
      <w:r w:rsidRPr="00B361C9">
        <w:rPr>
          <w:rFonts w:cs="Times New Roman"/>
          <w:sz w:val="22"/>
        </w:rPr>
        <w:t xml:space="preserve">.  Individual data points, 10% </w:t>
      </w:r>
      <w:r w:rsidR="00CA03F7" w:rsidRPr="00B361C9">
        <w:rPr>
          <w:rFonts w:cs="Times New Roman"/>
          <w:sz w:val="22"/>
        </w:rPr>
        <w:t xml:space="preserve">expanded </w:t>
      </w:r>
      <w:r w:rsidRPr="00B361C9">
        <w:rPr>
          <w:rFonts w:cs="Times New Roman"/>
          <w:sz w:val="22"/>
        </w:rPr>
        <w:t>uncertainty</w:t>
      </w:r>
      <w:r w:rsidR="00B02CC8" w:rsidRPr="00B361C9">
        <w:rPr>
          <w:rFonts w:cs="Times New Roman"/>
          <w:sz w:val="22"/>
        </w:rPr>
        <w:t>.</w:t>
      </w:r>
    </w:p>
    <w:p w:rsidR="006677EB" w:rsidRPr="00B361C9" w:rsidRDefault="00433D57" w:rsidP="008151E8">
      <w:pPr>
        <w:spacing w:line="240" w:lineRule="auto"/>
        <w:jc w:val="center"/>
        <w:rPr>
          <w:rFonts w:cs="Times New Roman"/>
          <w:sz w:val="22"/>
        </w:rPr>
      </w:pPr>
      <w:r w:rsidRPr="00B361C9">
        <w:rPr>
          <w:rFonts w:cs="Times New Roman"/>
          <w:noProof/>
          <w:sz w:val="22"/>
        </w:rPr>
        <w:drawing>
          <wp:inline distT="0" distB="0" distL="0" distR="0" wp14:anchorId="730F3ED2" wp14:editId="2AE9F9B3">
            <wp:extent cx="4357659" cy="3442855"/>
            <wp:effectExtent l="19050" t="0" r="479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11330" r="7776" b="7061"/>
                    <a:stretch>
                      <a:fillRect/>
                    </a:stretch>
                  </pic:blipFill>
                  <pic:spPr bwMode="auto">
                    <a:xfrm>
                      <a:off x="0" y="0"/>
                      <a:ext cx="4357659" cy="3442855"/>
                    </a:xfrm>
                    <a:prstGeom prst="rect">
                      <a:avLst/>
                    </a:prstGeom>
                    <a:noFill/>
                    <a:ln w="9525">
                      <a:noFill/>
                      <a:miter lim="800000"/>
                      <a:headEnd/>
                      <a:tailEnd/>
                    </a:ln>
                  </pic:spPr>
                </pic:pic>
              </a:graphicData>
            </a:graphic>
          </wp:inline>
        </w:drawing>
      </w:r>
    </w:p>
    <w:p w:rsidR="00BF0019" w:rsidRPr="00B361C9" w:rsidRDefault="00A06EB9" w:rsidP="008151E8">
      <w:pPr>
        <w:spacing w:line="240" w:lineRule="auto"/>
        <w:rPr>
          <w:rFonts w:cs="Times New Roman"/>
          <w:sz w:val="22"/>
        </w:rPr>
      </w:pPr>
      <w:r w:rsidRPr="00B361C9">
        <w:rPr>
          <w:rFonts w:cs="Times New Roman"/>
          <w:sz w:val="22"/>
        </w:rPr>
        <w:t>Unfortunately, escalating health, safety</w:t>
      </w:r>
      <w:r w:rsidR="00E43DF9" w:rsidRPr="00B361C9">
        <w:rPr>
          <w:rFonts w:cs="Times New Roman"/>
          <w:sz w:val="22"/>
        </w:rPr>
        <w:t>,</w:t>
      </w:r>
      <w:r w:rsidRPr="00B361C9">
        <w:rPr>
          <w:rFonts w:cs="Times New Roman"/>
          <w:sz w:val="22"/>
        </w:rPr>
        <w:t xml:space="preserve"> and security </w:t>
      </w:r>
      <w:r w:rsidR="00BF0019" w:rsidRPr="00B361C9">
        <w:rPr>
          <w:rFonts w:cs="Times New Roman"/>
          <w:sz w:val="22"/>
        </w:rPr>
        <w:t>challenges can</w:t>
      </w:r>
      <w:r w:rsidRPr="00B361C9">
        <w:rPr>
          <w:rFonts w:cs="Times New Roman"/>
          <w:sz w:val="22"/>
        </w:rPr>
        <w:t xml:space="preserve"> cause previously functioning facilities or programs to shut down or change their manner of operations</w:t>
      </w:r>
      <w:r w:rsidR="00667967">
        <w:rPr>
          <w:rFonts w:cs="Times New Roman"/>
          <w:sz w:val="22"/>
        </w:rPr>
        <w:t xml:space="preserve"> in</w:t>
      </w:r>
      <w:r w:rsidRPr="00B361C9">
        <w:rPr>
          <w:rFonts w:cs="Times New Roman"/>
          <w:sz w:val="22"/>
        </w:rPr>
        <w:t>terrupt</w:t>
      </w:r>
      <w:r w:rsidR="00667967">
        <w:rPr>
          <w:rFonts w:cs="Times New Roman"/>
          <w:sz w:val="22"/>
        </w:rPr>
        <w:t>ing</w:t>
      </w:r>
      <w:r w:rsidRPr="00B361C9">
        <w:rPr>
          <w:rFonts w:cs="Times New Roman"/>
          <w:sz w:val="22"/>
        </w:rPr>
        <w:t xml:space="preserve"> the historical supplies of round</w:t>
      </w:r>
      <w:r w:rsidR="006A2C9A">
        <w:rPr>
          <w:rFonts w:cs="Times New Roman"/>
          <w:sz w:val="22"/>
        </w:rPr>
        <w:t>-</w:t>
      </w:r>
      <w:r w:rsidRPr="00B361C9">
        <w:rPr>
          <w:rFonts w:cs="Times New Roman"/>
          <w:sz w:val="22"/>
        </w:rPr>
        <w:t>robin or performance test materials.</w:t>
      </w:r>
      <w:r w:rsidR="00E43DF9" w:rsidRPr="00B361C9">
        <w:rPr>
          <w:rFonts w:cs="Times New Roman"/>
          <w:sz w:val="22"/>
        </w:rPr>
        <w:t xml:space="preserve"> </w:t>
      </w:r>
      <w:r w:rsidRPr="00B361C9">
        <w:rPr>
          <w:rFonts w:cs="Times New Roman"/>
          <w:sz w:val="22"/>
        </w:rPr>
        <w:t xml:space="preserve"> </w:t>
      </w:r>
      <w:r w:rsidR="00525281" w:rsidRPr="00B361C9">
        <w:rPr>
          <w:rFonts w:cs="Times New Roman"/>
          <w:sz w:val="22"/>
        </w:rPr>
        <w:t>Th</w:t>
      </w:r>
      <w:r w:rsidR="00525281">
        <w:rPr>
          <w:rFonts w:cs="Times New Roman"/>
          <w:sz w:val="22"/>
        </w:rPr>
        <w:t xml:space="preserve">ese challenges </w:t>
      </w:r>
      <w:r w:rsidRPr="00B361C9">
        <w:rPr>
          <w:rFonts w:cs="Times New Roman"/>
          <w:sz w:val="22"/>
        </w:rPr>
        <w:t>also impact shipping rules and regulation</w:t>
      </w:r>
      <w:r w:rsidR="00525281">
        <w:rPr>
          <w:rFonts w:cs="Times New Roman"/>
          <w:sz w:val="22"/>
        </w:rPr>
        <w:t>s</w:t>
      </w:r>
      <w:r w:rsidR="00EC28B1">
        <w:rPr>
          <w:rFonts w:cs="Times New Roman"/>
          <w:sz w:val="22"/>
        </w:rPr>
        <w:t xml:space="preserve"> – especially </w:t>
      </w:r>
      <w:r w:rsidRPr="00B361C9">
        <w:rPr>
          <w:rFonts w:cs="Times New Roman"/>
          <w:sz w:val="22"/>
        </w:rPr>
        <w:t xml:space="preserve">when shipping materials internationally where customs, export rules and regulations, </w:t>
      </w:r>
      <w:r w:rsidR="008151E8">
        <w:rPr>
          <w:rFonts w:cs="Times New Roman"/>
          <w:sz w:val="22"/>
        </w:rPr>
        <w:t xml:space="preserve">and </w:t>
      </w:r>
      <w:r w:rsidRPr="00B361C9">
        <w:rPr>
          <w:rFonts w:cs="Times New Roman"/>
          <w:sz w:val="22"/>
        </w:rPr>
        <w:t xml:space="preserve">international safeguards agreements can have a profound impact in a country’s or a laboratory’s ability to participate in these programs.  </w:t>
      </w:r>
      <w:r w:rsidR="00667967">
        <w:rPr>
          <w:rFonts w:cs="Times New Roman"/>
          <w:sz w:val="22"/>
        </w:rPr>
        <w:t>P</w:t>
      </w:r>
      <w:r w:rsidRPr="00B361C9">
        <w:rPr>
          <w:rFonts w:cs="Times New Roman"/>
          <w:sz w:val="22"/>
        </w:rPr>
        <w:t>er t</w:t>
      </w:r>
      <w:r w:rsidR="008151E8">
        <w:rPr>
          <w:rFonts w:cs="Times New Roman"/>
          <w:sz w:val="22"/>
        </w:rPr>
        <w:t xml:space="preserve">he ISO </w:t>
      </w:r>
      <w:r w:rsidRPr="00B361C9">
        <w:rPr>
          <w:rFonts w:cs="Times New Roman"/>
          <w:sz w:val="22"/>
        </w:rPr>
        <w:t>17025 requirements</w:t>
      </w:r>
      <w:r w:rsidR="00E43DF9" w:rsidRPr="00B361C9">
        <w:rPr>
          <w:rFonts w:cs="Times New Roman"/>
          <w:sz w:val="22"/>
        </w:rPr>
        <w:t xml:space="preserve"> </w:t>
      </w:r>
      <w:r w:rsidR="00667967">
        <w:rPr>
          <w:rFonts w:cs="Times New Roman"/>
          <w:sz w:val="22"/>
        </w:rPr>
        <w:t>and dictated by</w:t>
      </w:r>
      <w:r w:rsidRPr="00B361C9">
        <w:rPr>
          <w:rFonts w:cs="Times New Roman"/>
          <w:sz w:val="22"/>
        </w:rPr>
        <w:t xml:space="preserve"> good analytical laboratory </w:t>
      </w:r>
      <w:r w:rsidR="00E43DF9" w:rsidRPr="00B361C9">
        <w:rPr>
          <w:rFonts w:cs="Times New Roman"/>
          <w:sz w:val="22"/>
        </w:rPr>
        <w:t>practices</w:t>
      </w:r>
      <w:r w:rsidR="008151E8" w:rsidRPr="00B361C9">
        <w:rPr>
          <w:rFonts w:cs="Times New Roman"/>
          <w:sz w:val="22"/>
        </w:rPr>
        <w:t>,</w:t>
      </w:r>
      <w:r w:rsidR="00667967">
        <w:rPr>
          <w:rFonts w:cs="Times New Roman"/>
          <w:sz w:val="22"/>
        </w:rPr>
        <w:t xml:space="preserve"> when test materials are unavailable, </w:t>
      </w:r>
      <w:r w:rsidR="008151E8" w:rsidRPr="00B361C9">
        <w:rPr>
          <w:rFonts w:cs="Times New Roman"/>
          <w:sz w:val="22"/>
        </w:rPr>
        <w:t>analysts</w:t>
      </w:r>
      <w:r w:rsidR="008151E8">
        <w:rPr>
          <w:rFonts w:cs="Times New Roman"/>
          <w:sz w:val="22"/>
        </w:rPr>
        <w:t xml:space="preserve"> </w:t>
      </w:r>
      <w:r w:rsidR="00B836A5">
        <w:rPr>
          <w:rFonts w:cs="Times New Roman"/>
          <w:sz w:val="22"/>
        </w:rPr>
        <w:t xml:space="preserve">submit </w:t>
      </w:r>
      <w:r w:rsidRPr="00B361C9">
        <w:rPr>
          <w:rFonts w:cs="Times New Roman"/>
          <w:sz w:val="22"/>
        </w:rPr>
        <w:t xml:space="preserve">their QC control charts at the end of the year for review by an independent </w:t>
      </w:r>
      <w:r w:rsidR="00D0773B" w:rsidRPr="00B361C9">
        <w:rPr>
          <w:rFonts w:cs="Times New Roman"/>
          <w:sz w:val="22"/>
        </w:rPr>
        <w:t>analyst</w:t>
      </w:r>
      <w:r w:rsidR="002D6129" w:rsidRPr="00B361C9">
        <w:rPr>
          <w:rFonts w:cs="Times New Roman"/>
          <w:sz w:val="22"/>
        </w:rPr>
        <w:t xml:space="preserve"> and the QA team</w:t>
      </w:r>
      <w:r w:rsidR="00E43DF9" w:rsidRPr="00B361C9">
        <w:rPr>
          <w:rFonts w:cs="Times New Roman"/>
          <w:sz w:val="22"/>
        </w:rPr>
        <w:t>.</w:t>
      </w:r>
      <w:r w:rsidRPr="00B361C9">
        <w:rPr>
          <w:rFonts w:cs="Times New Roman"/>
          <w:sz w:val="22"/>
        </w:rPr>
        <w:t xml:space="preserve">  </w:t>
      </w:r>
      <w:r w:rsidR="00667967">
        <w:rPr>
          <w:rFonts w:cs="Times New Roman"/>
          <w:sz w:val="22"/>
        </w:rPr>
        <w:t>The review includes comparing QC</w:t>
      </w:r>
      <w:r w:rsidRPr="00B361C9">
        <w:rPr>
          <w:rFonts w:cs="Times New Roman"/>
          <w:sz w:val="22"/>
        </w:rPr>
        <w:t xml:space="preserve"> data to the acceptance criteria stated in written procedures to ensure that it is continuing to meet the specified performance conditions</w:t>
      </w:r>
      <w:r w:rsidR="00C812A2">
        <w:rPr>
          <w:rFonts w:cs="Times New Roman"/>
          <w:sz w:val="22"/>
        </w:rPr>
        <w:t>.</w:t>
      </w:r>
    </w:p>
    <w:p w:rsidR="00D0773B" w:rsidRPr="00B361C9" w:rsidRDefault="000C6D6F" w:rsidP="008151E8">
      <w:pPr>
        <w:spacing w:line="240" w:lineRule="auto"/>
        <w:rPr>
          <w:rFonts w:cs="Times New Roman"/>
          <w:sz w:val="22"/>
        </w:rPr>
      </w:pPr>
      <w:r>
        <w:rPr>
          <w:rFonts w:cs="Times New Roman"/>
          <w:sz w:val="22"/>
        </w:rPr>
        <w:t>3.4</w:t>
      </w:r>
      <w:r>
        <w:rPr>
          <w:rFonts w:cs="Times New Roman"/>
          <w:sz w:val="22"/>
        </w:rPr>
        <w:tab/>
      </w:r>
      <w:r w:rsidR="008151E8" w:rsidRPr="008151E8">
        <w:rPr>
          <w:rFonts w:cs="Times New Roman"/>
          <w:i/>
          <w:sz w:val="22"/>
        </w:rPr>
        <w:t>Law</w:t>
      </w:r>
      <w:r w:rsidR="00A06EB9" w:rsidRPr="008151E8">
        <w:rPr>
          <w:rFonts w:cs="Times New Roman"/>
          <w:i/>
          <w:sz w:val="22"/>
        </w:rPr>
        <w:t xml:space="preserve"> enforcement</w:t>
      </w:r>
      <w:r w:rsidR="00A06EB9" w:rsidRPr="00B361C9">
        <w:rPr>
          <w:rFonts w:cs="Times New Roman"/>
          <w:i/>
          <w:sz w:val="22"/>
        </w:rPr>
        <w:t xml:space="preserve"> requirements</w:t>
      </w:r>
    </w:p>
    <w:p w:rsidR="003974D5" w:rsidRPr="00B361C9" w:rsidRDefault="00A06EB9" w:rsidP="008151E8">
      <w:pPr>
        <w:spacing w:line="240" w:lineRule="auto"/>
        <w:rPr>
          <w:rFonts w:cs="Times New Roman"/>
          <w:sz w:val="22"/>
        </w:rPr>
      </w:pPr>
      <w:r w:rsidRPr="00B361C9">
        <w:rPr>
          <w:rFonts w:cs="Times New Roman"/>
          <w:sz w:val="22"/>
        </w:rPr>
        <w:lastRenderedPageBreak/>
        <w:t>All forensic science must meet requirements of certainty such as maintaining a chain</w:t>
      </w:r>
      <w:r w:rsidR="006A2C9A">
        <w:rPr>
          <w:rFonts w:cs="Times New Roman"/>
          <w:sz w:val="22"/>
        </w:rPr>
        <w:t>-</w:t>
      </w:r>
      <w:r w:rsidRPr="00B361C9">
        <w:rPr>
          <w:rFonts w:cs="Times New Roman"/>
          <w:sz w:val="22"/>
        </w:rPr>
        <w:t>of</w:t>
      </w:r>
      <w:r w:rsidR="006A2C9A">
        <w:rPr>
          <w:rFonts w:cs="Times New Roman"/>
          <w:sz w:val="22"/>
        </w:rPr>
        <w:t>-</w:t>
      </w:r>
      <w:r w:rsidRPr="00B361C9">
        <w:rPr>
          <w:rFonts w:cs="Times New Roman"/>
          <w:sz w:val="22"/>
        </w:rPr>
        <w:t xml:space="preserve">custody, </w:t>
      </w:r>
      <w:r w:rsidR="00B836A5">
        <w:rPr>
          <w:rFonts w:cs="Times New Roman"/>
          <w:sz w:val="22"/>
        </w:rPr>
        <w:t>e</w:t>
      </w:r>
      <w:r w:rsidR="00B836A5" w:rsidRPr="00B361C9">
        <w:rPr>
          <w:rFonts w:cs="Times New Roman"/>
          <w:sz w:val="22"/>
        </w:rPr>
        <w:t xml:space="preserve">nsuring </w:t>
      </w:r>
      <w:r w:rsidRPr="00B361C9">
        <w:rPr>
          <w:rFonts w:cs="Times New Roman"/>
          <w:sz w:val="22"/>
        </w:rPr>
        <w:t xml:space="preserve">sample integrity, applying corroborating methods of analysis, and rigorously validating </w:t>
      </w:r>
      <w:r w:rsidR="00B836A5" w:rsidRPr="00B361C9">
        <w:rPr>
          <w:rFonts w:cs="Times New Roman"/>
          <w:sz w:val="22"/>
        </w:rPr>
        <w:t>sensitiv</w:t>
      </w:r>
      <w:r w:rsidR="00B836A5">
        <w:rPr>
          <w:rFonts w:cs="Times New Roman"/>
          <w:sz w:val="22"/>
        </w:rPr>
        <w:t>ity</w:t>
      </w:r>
      <w:r w:rsidR="00B836A5" w:rsidRPr="00B361C9">
        <w:rPr>
          <w:rFonts w:cs="Times New Roman"/>
          <w:sz w:val="22"/>
        </w:rPr>
        <w:t xml:space="preserve"> </w:t>
      </w:r>
      <w:r w:rsidRPr="00B361C9">
        <w:rPr>
          <w:rFonts w:cs="Times New Roman"/>
          <w:sz w:val="22"/>
        </w:rPr>
        <w:t xml:space="preserve">and selectivity.  Nuclear forensics often requires </w:t>
      </w:r>
      <w:r w:rsidR="009B48BE">
        <w:rPr>
          <w:rFonts w:cs="Times New Roman"/>
          <w:sz w:val="22"/>
        </w:rPr>
        <w:t>rapid</w:t>
      </w:r>
      <w:r w:rsidRPr="00B361C9">
        <w:rPr>
          <w:rFonts w:cs="Times New Roman"/>
          <w:sz w:val="22"/>
        </w:rPr>
        <w:t xml:space="preserve"> analysis of unique samples with </w:t>
      </w:r>
      <w:r w:rsidR="009B48BE">
        <w:rPr>
          <w:rFonts w:cs="Times New Roman"/>
          <w:sz w:val="22"/>
        </w:rPr>
        <w:t xml:space="preserve">additional safety and </w:t>
      </w:r>
      <w:r w:rsidR="009B48BE" w:rsidRPr="00B361C9">
        <w:rPr>
          <w:rFonts w:cs="Times New Roman"/>
          <w:sz w:val="22"/>
        </w:rPr>
        <w:t>security</w:t>
      </w:r>
      <w:r w:rsidR="009B48BE">
        <w:rPr>
          <w:rFonts w:cs="Times New Roman"/>
          <w:sz w:val="22"/>
        </w:rPr>
        <w:t xml:space="preserve"> requirements</w:t>
      </w:r>
      <w:r w:rsidRPr="00B361C9">
        <w:rPr>
          <w:rFonts w:cs="Times New Roman"/>
          <w:sz w:val="22"/>
        </w:rPr>
        <w:t>.  In the US, analytical reports must follow Rules 701 and 706 of the Federal Rules of Evidence</w:t>
      </w:r>
      <w:r w:rsidR="00B836A5">
        <w:rPr>
          <w:rFonts w:cs="Times New Roman"/>
          <w:sz w:val="22"/>
        </w:rPr>
        <w:t xml:space="preserve"> [</w:t>
      </w:r>
      <w:r w:rsidR="00AB0945">
        <w:rPr>
          <w:rFonts w:cs="Times New Roman"/>
          <w:sz w:val="22"/>
        </w:rPr>
        <w:t>5</w:t>
      </w:r>
      <w:r w:rsidR="00B836A5">
        <w:rPr>
          <w:rFonts w:cs="Times New Roman"/>
          <w:sz w:val="22"/>
        </w:rPr>
        <w:t>]</w:t>
      </w:r>
      <w:r w:rsidRPr="00B361C9">
        <w:rPr>
          <w:rFonts w:cs="Times New Roman"/>
          <w:sz w:val="22"/>
        </w:rPr>
        <w:t>.  To meet these requirements</w:t>
      </w:r>
      <w:r w:rsidR="008151E8">
        <w:rPr>
          <w:rFonts w:cs="Times New Roman"/>
          <w:sz w:val="22"/>
        </w:rPr>
        <w:t>,</w:t>
      </w:r>
      <w:r w:rsidRPr="00B361C9">
        <w:rPr>
          <w:rFonts w:cs="Times New Roman"/>
          <w:sz w:val="22"/>
        </w:rPr>
        <w:t xml:space="preserve"> the reasoning and methodology must be scientifically valid, properly applied, and have relatively widespread acceptance with</w:t>
      </w:r>
      <w:r w:rsidR="008151E8">
        <w:rPr>
          <w:rFonts w:cs="Times New Roman"/>
          <w:sz w:val="22"/>
        </w:rPr>
        <w:t>in</w:t>
      </w:r>
      <w:r w:rsidRPr="00B361C9">
        <w:rPr>
          <w:rFonts w:cs="Times New Roman"/>
          <w:sz w:val="22"/>
        </w:rPr>
        <w:t xml:space="preserve"> the scientific community.  In addition, the techniques used </w:t>
      </w:r>
      <w:r w:rsidR="00E43DF9" w:rsidRPr="00B361C9">
        <w:rPr>
          <w:rFonts w:cs="Times New Roman"/>
          <w:sz w:val="22"/>
        </w:rPr>
        <w:t>must</w:t>
      </w:r>
      <w:r w:rsidRPr="00B361C9">
        <w:rPr>
          <w:rFonts w:cs="Times New Roman"/>
          <w:sz w:val="22"/>
        </w:rPr>
        <w:t xml:space="preserve"> </w:t>
      </w:r>
      <w:r w:rsidR="008151E8">
        <w:rPr>
          <w:rFonts w:cs="Times New Roman"/>
          <w:sz w:val="22"/>
        </w:rPr>
        <w:t>be</w:t>
      </w:r>
      <w:r w:rsidRPr="00B361C9">
        <w:rPr>
          <w:rFonts w:cs="Times New Roman"/>
          <w:sz w:val="22"/>
        </w:rPr>
        <w:t xml:space="preserve"> previously tested, have existing standards, and known error rates (uncertainties) [</w:t>
      </w:r>
      <w:r w:rsidR="00AB0945">
        <w:rPr>
          <w:rFonts w:cs="Times New Roman"/>
          <w:sz w:val="22"/>
        </w:rPr>
        <w:t>5</w:t>
      </w:r>
      <w:r w:rsidRPr="00B361C9">
        <w:rPr>
          <w:rFonts w:cs="Times New Roman"/>
          <w:sz w:val="22"/>
        </w:rPr>
        <w:t xml:space="preserve">].  </w:t>
      </w:r>
    </w:p>
    <w:p w:rsidR="00DA7154" w:rsidRPr="00B361C9" w:rsidRDefault="00A06EB9" w:rsidP="008151E8">
      <w:pPr>
        <w:spacing w:line="240" w:lineRule="auto"/>
        <w:rPr>
          <w:rFonts w:cs="Times New Roman"/>
          <w:sz w:val="22"/>
        </w:rPr>
      </w:pPr>
      <w:r w:rsidRPr="00B361C9">
        <w:rPr>
          <w:rFonts w:cs="Times New Roman"/>
          <w:sz w:val="22"/>
        </w:rPr>
        <w:t xml:space="preserve">The gap related to calculation </w:t>
      </w:r>
      <w:r w:rsidR="007F73F0" w:rsidRPr="00B361C9">
        <w:rPr>
          <w:rFonts w:cs="Times New Roman"/>
          <w:sz w:val="22"/>
        </w:rPr>
        <w:t xml:space="preserve">of </w:t>
      </w:r>
      <w:r w:rsidRPr="00B361C9">
        <w:rPr>
          <w:rFonts w:cs="Times New Roman"/>
          <w:sz w:val="22"/>
        </w:rPr>
        <w:t>uncertainties proved to be the most challenging, not specifically for the implementation of ISO</w:t>
      </w:r>
      <w:r w:rsidR="00EC28B1">
        <w:rPr>
          <w:rFonts w:cs="Times New Roman"/>
          <w:sz w:val="22"/>
        </w:rPr>
        <w:t xml:space="preserve"> </w:t>
      </w:r>
      <w:r w:rsidRPr="00B361C9">
        <w:rPr>
          <w:rFonts w:cs="Times New Roman"/>
          <w:sz w:val="22"/>
        </w:rPr>
        <w:t>17025 itself, but because of customer requirements.  The customer</w:t>
      </w:r>
      <w:r w:rsidR="00E5365E" w:rsidRPr="00B361C9">
        <w:rPr>
          <w:rFonts w:cs="Times New Roman"/>
          <w:sz w:val="22"/>
        </w:rPr>
        <w:t xml:space="preserve"> </w:t>
      </w:r>
      <w:r w:rsidR="00E43DF9" w:rsidRPr="00B361C9">
        <w:rPr>
          <w:rFonts w:cs="Times New Roman"/>
          <w:sz w:val="22"/>
        </w:rPr>
        <w:t>required</w:t>
      </w:r>
      <w:r w:rsidR="00C33888" w:rsidRPr="00B361C9">
        <w:rPr>
          <w:rFonts w:cs="Times New Roman"/>
          <w:sz w:val="22"/>
        </w:rPr>
        <w:t xml:space="preserve"> uncertainties be calculated using the GUM</w:t>
      </w:r>
      <w:r w:rsidR="006361D9">
        <w:rPr>
          <w:rFonts w:cs="Times New Roman"/>
          <w:sz w:val="22"/>
        </w:rPr>
        <w:t xml:space="preserve"> </w:t>
      </w:r>
      <w:r w:rsidR="003974D5" w:rsidRPr="00B361C9">
        <w:rPr>
          <w:rFonts w:cs="Times New Roman"/>
          <w:sz w:val="22"/>
        </w:rPr>
        <w:t xml:space="preserve">rather than reporting the </w:t>
      </w:r>
      <w:r w:rsidR="001655AE" w:rsidRPr="00B361C9">
        <w:rPr>
          <w:rFonts w:cs="Times New Roman"/>
          <w:sz w:val="22"/>
        </w:rPr>
        <w:t>simpler</w:t>
      </w:r>
      <w:r w:rsidR="003974D5" w:rsidRPr="00B361C9">
        <w:rPr>
          <w:rFonts w:cs="Times New Roman"/>
          <w:sz w:val="22"/>
        </w:rPr>
        <w:t xml:space="preserve"> standard deviation </w:t>
      </w:r>
      <w:r w:rsidR="007F73F0" w:rsidRPr="00B361C9">
        <w:rPr>
          <w:rFonts w:cs="Times New Roman"/>
          <w:sz w:val="22"/>
        </w:rPr>
        <w:t xml:space="preserve">from repeat measurements or historical method uncertainty </w:t>
      </w:r>
      <w:r w:rsidR="003974D5" w:rsidRPr="00B361C9">
        <w:rPr>
          <w:rFonts w:cs="Times New Roman"/>
          <w:sz w:val="22"/>
        </w:rPr>
        <w:t xml:space="preserve">that </w:t>
      </w:r>
      <w:r w:rsidR="00E5365E" w:rsidRPr="00B361C9">
        <w:rPr>
          <w:rFonts w:cs="Times New Roman"/>
          <w:sz w:val="22"/>
        </w:rPr>
        <w:t>many</w:t>
      </w:r>
      <w:r w:rsidRPr="00B361C9">
        <w:rPr>
          <w:rFonts w:cs="Times New Roman"/>
          <w:sz w:val="22"/>
        </w:rPr>
        <w:t xml:space="preserve"> programs typically request.  The generation of these reports for forensic samples can be complex, labor intensive, and require additional experimentation to provide legal support for the data used in the uncertainty models.   Once initially trained</w:t>
      </w:r>
      <w:r w:rsidR="00476B72">
        <w:rPr>
          <w:rFonts w:cs="Times New Roman"/>
          <w:sz w:val="22"/>
        </w:rPr>
        <w:t xml:space="preserve"> on GUM</w:t>
      </w:r>
      <w:r w:rsidRPr="00B361C9">
        <w:rPr>
          <w:rFonts w:cs="Times New Roman"/>
          <w:sz w:val="22"/>
        </w:rPr>
        <w:t xml:space="preserve">, analysts </w:t>
      </w:r>
      <w:r w:rsidR="00476B72">
        <w:rPr>
          <w:rFonts w:cs="Times New Roman"/>
          <w:sz w:val="22"/>
        </w:rPr>
        <w:t>reviewed</w:t>
      </w:r>
      <w:r w:rsidRPr="00B361C9">
        <w:rPr>
          <w:rFonts w:cs="Times New Roman"/>
          <w:sz w:val="22"/>
        </w:rPr>
        <w:t xml:space="preserve"> existing QC data to determine uncertainty factors for the models’ </w:t>
      </w:r>
      <w:r w:rsidR="00AA4818" w:rsidRPr="00B361C9">
        <w:rPr>
          <w:rFonts w:cs="Times New Roman"/>
          <w:sz w:val="22"/>
        </w:rPr>
        <w:t>variables</w:t>
      </w:r>
      <w:r w:rsidRPr="00B361C9">
        <w:rPr>
          <w:rFonts w:cs="Times New Roman"/>
          <w:sz w:val="22"/>
        </w:rPr>
        <w:t xml:space="preserve">.  For </w:t>
      </w:r>
      <w:r w:rsidR="00E5365E" w:rsidRPr="00B361C9">
        <w:rPr>
          <w:rFonts w:cs="Times New Roman"/>
          <w:sz w:val="22"/>
        </w:rPr>
        <w:t>variables</w:t>
      </w:r>
      <w:r w:rsidRPr="00B361C9">
        <w:rPr>
          <w:rFonts w:cs="Times New Roman"/>
          <w:sz w:val="22"/>
        </w:rPr>
        <w:t xml:space="preserve"> that did not have </w:t>
      </w:r>
      <w:r w:rsidR="007F73F0" w:rsidRPr="00B361C9">
        <w:rPr>
          <w:rFonts w:cs="Times New Roman"/>
          <w:sz w:val="22"/>
        </w:rPr>
        <w:t>historical</w:t>
      </w:r>
      <w:r w:rsidRPr="00B361C9">
        <w:rPr>
          <w:rFonts w:cs="Times New Roman"/>
          <w:sz w:val="22"/>
        </w:rPr>
        <w:t xml:space="preserve"> QC data</w:t>
      </w:r>
      <w:r w:rsidR="00AA4818" w:rsidRPr="00B361C9">
        <w:rPr>
          <w:rFonts w:cs="Times New Roman"/>
          <w:sz w:val="22"/>
        </w:rPr>
        <w:t>,</w:t>
      </w:r>
      <w:r w:rsidRPr="00B361C9">
        <w:rPr>
          <w:rFonts w:cs="Times New Roman"/>
          <w:sz w:val="22"/>
        </w:rPr>
        <w:t xml:space="preserve"> experiments were designed to </w:t>
      </w:r>
      <w:r w:rsidR="007F73F0" w:rsidRPr="00B361C9">
        <w:rPr>
          <w:rFonts w:cs="Times New Roman"/>
          <w:sz w:val="22"/>
        </w:rPr>
        <w:t xml:space="preserve">not only understand the measurement systems in greater </w:t>
      </w:r>
      <w:r w:rsidR="00AA4818" w:rsidRPr="00B361C9">
        <w:rPr>
          <w:rFonts w:cs="Times New Roman"/>
          <w:sz w:val="22"/>
        </w:rPr>
        <w:t>detail</w:t>
      </w:r>
      <w:r w:rsidR="00E5365E" w:rsidRPr="00B361C9">
        <w:rPr>
          <w:rFonts w:cs="Times New Roman"/>
          <w:sz w:val="22"/>
        </w:rPr>
        <w:t>,</w:t>
      </w:r>
      <w:r w:rsidR="00AA4818" w:rsidRPr="00B361C9">
        <w:rPr>
          <w:rFonts w:cs="Times New Roman"/>
          <w:sz w:val="22"/>
        </w:rPr>
        <w:t xml:space="preserve"> </w:t>
      </w:r>
      <w:r w:rsidR="007F73F0" w:rsidRPr="00B361C9">
        <w:rPr>
          <w:rFonts w:cs="Times New Roman"/>
          <w:sz w:val="22"/>
        </w:rPr>
        <w:t>but to</w:t>
      </w:r>
      <w:r w:rsidR="008545D3" w:rsidRPr="00B361C9">
        <w:rPr>
          <w:rFonts w:cs="Times New Roman"/>
          <w:sz w:val="22"/>
        </w:rPr>
        <w:t xml:space="preserve"> </w:t>
      </w:r>
      <w:r w:rsidRPr="00B361C9">
        <w:rPr>
          <w:rFonts w:cs="Times New Roman"/>
          <w:sz w:val="22"/>
        </w:rPr>
        <w:t xml:space="preserve">provide the required information for the </w:t>
      </w:r>
      <w:r w:rsidR="007F73F0" w:rsidRPr="00B361C9">
        <w:rPr>
          <w:rFonts w:cs="Times New Roman"/>
          <w:sz w:val="22"/>
        </w:rPr>
        <w:t xml:space="preserve"> GUM </w:t>
      </w:r>
      <w:r w:rsidRPr="00B361C9">
        <w:rPr>
          <w:rFonts w:cs="Times New Roman"/>
          <w:sz w:val="22"/>
        </w:rPr>
        <w:t>models</w:t>
      </w:r>
      <w:r w:rsidR="007F73F0" w:rsidRPr="00B361C9">
        <w:rPr>
          <w:rFonts w:cs="Times New Roman"/>
          <w:sz w:val="22"/>
        </w:rPr>
        <w:t xml:space="preserve"> </w:t>
      </w:r>
      <w:r w:rsidR="00476B72">
        <w:rPr>
          <w:rFonts w:cs="Times New Roman"/>
          <w:sz w:val="22"/>
        </w:rPr>
        <w:t xml:space="preserve">in order </w:t>
      </w:r>
      <w:r w:rsidR="007F73F0" w:rsidRPr="00B361C9">
        <w:rPr>
          <w:rFonts w:cs="Times New Roman"/>
          <w:sz w:val="22"/>
        </w:rPr>
        <w:t>to calculate both Type A and Type B uncertainties</w:t>
      </w:r>
      <w:r w:rsidR="008545D3" w:rsidRPr="00B361C9">
        <w:rPr>
          <w:rFonts w:cs="Times New Roman"/>
          <w:sz w:val="22"/>
        </w:rPr>
        <w:t xml:space="preserve">.  </w:t>
      </w:r>
      <w:r w:rsidR="00393C00" w:rsidRPr="00B361C9">
        <w:rPr>
          <w:rFonts w:cs="Times New Roman"/>
          <w:sz w:val="22"/>
        </w:rPr>
        <w:t>Finally, independent</w:t>
      </w:r>
      <w:r w:rsidR="00C83C0F">
        <w:rPr>
          <w:rFonts w:cs="Times New Roman"/>
          <w:sz w:val="22"/>
        </w:rPr>
        <w:t xml:space="preserve"> peer</w:t>
      </w:r>
      <w:r w:rsidR="00393C00" w:rsidRPr="00B361C9">
        <w:rPr>
          <w:rFonts w:cs="Times New Roman"/>
          <w:sz w:val="22"/>
        </w:rPr>
        <w:t xml:space="preserve"> </w:t>
      </w:r>
      <w:r w:rsidR="00E43DF9" w:rsidRPr="00B361C9">
        <w:rPr>
          <w:rFonts w:cs="Times New Roman"/>
          <w:sz w:val="22"/>
        </w:rPr>
        <w:t xml:space="preserve">review of the </w:t>
      </w:r>
      <w:r w:rsidR="00476B72">
        <w:rPr>
          <w:rFonts w:cs="Times New Roman"/>
          <w:sz w:val="22"/>
        </w:rPr>
        <w:t xml:space="preserve">GUM </w:t>
      </w:r>
      <w:r w:rsidR="00E43DF9" w:rsidRPr="00B361C9">
        <w:rPr>
          <w:rFonts w:cs="Times New Roman"/>
          <w:sz w:val="22"/>
        </w:rPr>
        <w:t>models has</w:t>
      </w:r>
      <w:r w:rsidRPr="00B361C9">
        <w:rPr>
          <w:rFonts w:cs="Times New Roman"/>
          <w:sz w:val="22"/>
        </w:rPr>
        <w:t xml:space="preserve"> resulted in greatly improved models that capture known </w:t>
      </w:r>
      <w:r w:rsidR="007F73F0" w:rsidRPr="00B361C9">
        <w:rPr>
          <w:rFonts w:cs="Times New Roman"/>
          <w:sz w:val="22"/>
        </w:rPr>
        <w:t xml:space="preserve">sources </w:t>
      </w:r>
      <w:r w:rsidRPr="00B361C9">
        <w:rPr>
          <w:rFonts w:cs="Times New Roman"/>
          <w:sz w:val="22"/>
        </w:rPr>
        <w:t>uncertainties for the techniques being modeled.</w:t>
      </w:r>
    </w:p>
    <w:p w:rsidR="00DA7154" w:rsidRPr="00B361C9" w:rsidRDefault="008151E8" w:rsidP="008151E8">
      <w:pPr>
        <w:pStyle w:val="ListParagraph"/>
        <w:spacing w:after="0" w:line="240" w:lineRule="auto"/>
        <w:ind w:left="0"/>
        <w:rPr>
          <w:rFonts w:cs="Times New Roman"/>
          <w:sz w:val="22"/>
        </w:rPr>
      </w:pPr>
      <w:r>
        <w:rPr>
          <w:rFonts w:cs="Times New Roman"/>
          <w:sz w:val="22"/>
        </w:rPr>
        <w:t>In addition, p</w:t>
      </w:r>
      <w:r w:rsidR="00DA7154" w:rsidRPr="00B361C9">
        <w:rPr>
          <w:rFonts w:cs="Times New Roman"/>
          <w:sz w:val="22"/>
        </w:rPr>
        <w:t>articipation in the nuclear forensic program necessitated the development of detaile</w:t>
      </w:r>
      <w:r>
        <w:rPr>
          <w:rFonts w:cs="Times New Roman"/>
          <w:sz w:val="22"/>
        </w:rPr>
        <w:t>d data packages.  Traditionally</w:t>
      </w:r>
      <w:r w:rsidR="004F4431">
        <w:rPr>
          <w:rFonts w:cs="Times New Roman"/>
          <w:sz w:val="22"/>
        </w:rPr>
        <w:t>,</w:t>
      </w:r>
      <w:r w:rsidR="00DA7154" w:rsidRPr="00B361C9">
        <w:rPr>
          <w:rFonts w:cs="Times New Roman"/>
          <w:sz w:val="22"/>
        </w:rPr>
        <w:t xml:space="preserve"> data packages included relevant general information in support of the </w:t>
      </w:r>
      <w:r w:rsidRPr="00B361C9">
        <w:rPr>
          <w:rFonts w:cs="Times New Roman"/>
          <w:sz w:val="22"/>
        </w:rPr>
        <w:t>results</w:t>
      </w:r>
      <w:r w:rsidR="00DA7154" w:rsidRPr="00B361C9">
        <w:rPr>
          <w:rFonts w:cs="Times New Roman"/>
          <w:sz w:val="22"/>
        </w:rPr>
        <w:t xml:space="preserve">.  However, with the potential for legal review, a procedure for the development of a full casebook was written.  The casebook procedure details the need to include, at the time of the report, all </w:t>
      </w:r>
      <w:r w:rsidR="00476B72">
        <w:rPr>
          <w:rFonts w:cs="Times New Roman"/>
          <w:sz w:val="22"/>
        </w:rPr>
        <w:t>measuring and testing equipment and associated calibrations,</w:t>
      </w:r>
      <w:r w:rsidR="00DA7154" w:rsidRPr="00B361C9">
        <w:rPr>
          <w:rFonts w:cs="Times New Roman"/>
          <w:sz w:val="22"/>
        </w:rPr>
        <w:t xml:space="preserve"> information sufficient for traceability reconstruction,</w:t>
      </w:r>
      <w:r>
        <w:rPr>
          <w:rFonts w:cs="Times New Roman"/>
          <w:sz w:val="22"/>
        </w:rPr>
        <w:t xml:space="preserve"> chain</w:t>
      </w:r>
      <w:r w:rsidR="00EE27BE">
        <w:rPr>
          <w:rFonts w:cs="Times New Roman"/>
          <w:sz w:val="22"/>
        </w:rPr>
        <w:t>-</w:t>
      </w:r>
      <w:r>
        <w:rPr>
          <w:rFonts w:cs="Times New Roman"/>
          <w:sz w:val="22"/>
        </w:rPr>
        <w:t>of</w:t>
      </w:r>
      <w:r w:rsidR="00EE27BE">
        <w:rPr>
          <w:rFonts w:cs="Times New Roman"/>
          <w:sz w:val="22"/>
        </w:rPr>
        <w:t>-</w:t>
      </w:r>
      <w:r>
        <w:rPr>
          <w:rFonts w:cs="Times New Roman"/>
          <w:sz w:val="22"/>
        </w:rPr>
        <w:t>custody documentation,</w:t>
      </w:r>
      <w:r w:rsidR="00DA7154" w:rsidRPr="00B361C9">
        <w:rPr>
          <w:rFonts w:cs="Times New Roman"/>
          <w:sz w:val="22"/>
        </w:rPr>
        <w:t xml:space="preserve"> raw data, associated </w:t>
      </w:r>
      <w:r w:rsidR="008303BA" w:rsidRPr="00B361C9">
        <w:rPr>
          <w:rFonts w:cs="Times New Roman"/>
          <w:sz w:val="22"/>
        </w:rPr>
        <w:t>c</w:t>
      </w:r>
      <w:r w:rsidR="008303BA">
        <w:rPr>
          <w:rFonts w:cs="Times New Roman"/>
          <w:sz w:val="22"/>
        </w:rPr>
        <w:t>orrespondences</w:t>
      </w:r>
      <w:r w:rsidR="000C6D6F">
        <w:rPr>
          <w:rFonts w:cs="Times New Roman"/>
          <w:sz w:val="22"/>
        </w:rPr>
        <w:t>, etc</w:t>
      </w:r>
      <w:r w:rsidR="00DA7154" w:rsidRPr="00B361C9">
        <w:rPr>
          <w:rFonts w:cs="Times New Roman"/>
          <w:sz w:val="22"/>
        </w:rPr>
        <w:t>.  Understandably, these data package requirements create a significant amount of additional work.</w:t>
      </w:r>
    </w:p>
    <w:p w:rsidR="009A0CA7" w:rsidRPr="00B361C9" w:rsidRDefault="009A0CA7" w:rsidP="008151E8">
      <w:pPr>
        <w:pStyle w:val="ListParagraph"/>
        <w:spacing w:after="0" w:line="240" w:lineRule="auto"/>
        <w:ind w:left="0"/>
        <w:rPr>
          <w:rFonts w:cs="Times New Roman"/>
          <w:sz w:val="22"/>
        </w:rPr>
      </w:pPr>
    </w:p>
    <w:p w:rsidR="00D0773B" w:rsidRPr="00B361C9" w:rsidRDefault="00A06EB9" w:rsidP="008151E8">
      <w:pPr>
        <w:numPr>
          <w:ilvl w:val="0"/>
          <w:numId w:val="2"/>
        </w:numPr>
        <w:spacing w:line="240" w:lineRule="auto"/>
        <w:contextualSpacing/>
        <w:rPr>
          <w:rFonts w:cs="Times New Roman"/>
          <w:b/>
          <w:sz w:val="22"/>
        </w:rPr>
      </w:pPr>
      <w:r w:rsidRPr="00B361C9">
        <w:rPr>
          <w:rFonts w:cs="Times New Roman"/>
          <w:b/>
          <w:sz w:val="22"/>
        </w:rPr>
        <w:t>Conclusions</w:t>
      </w:r>
    </w:p>
    <w:p w:rsidR="000C6D6F" w:rsidRDefault="001B76D8" w:rsidP="000C6D6F">
      <w:pPr>
        <w:pStyle w:val="ListParagraph"/>
        <w:spacing w:line="240" w:lineRule="auto"/>
        <w:ind w:left="0"/>
        <w:outlineLvl w:val="0"/>
        <w:rPr>
          <w:rFonts w:cs="Times New Roman"/>
          <w:sz w:val="22"/>
        </w:rPr>
      </w:pPr>
      <w:r w:rsidRPr="00B361C9">
        <w:rPr>
          <w:rFonts w:cs="Times New Roman"/>
          <w:sz w:val="22"/>
        </w:rPr>
        <w:t xml:space="preserve">Drawing guidance from the NIST and NBL, the </w:t>
      </w:r>
      <w:r w:rsidR="00EC28B1">
        <w:rPr>
          <w:rFonts w:cs="Times New Roman"/>
          <w:sz w:val="22"/>
        </w:rPr>
        <w:t>US</w:t>
      </w:r>
      <w:r w:rsidRPr="00B361C9">
        <w:rPr>
          <w:rFonts w:cs="Times New Roman"/>
          <w:sz w:val="22"/>
        </w:rPr>
        <w:t xml:space="preserve"> nuclear forensic community is working to define and develop the </w:t>
      </w:r>
      <w:r w:rsidR="00A86CF0" w:rsidRPr="00B361C9">
        <w:rPr>
          <w:rFonts w:cs="Times New Roman"/>
          <w:sz w:val="22"/>
        </w:rPr>
        <w:t>well-characterized</w:t>
      </w:r>
      <w:r w:rsidRPr="00B361C9">
        <w:rPr>
          <w:rFonts w:cs="Times New Roman"/>
          <w:sz w:val="22"/>
        </w:rPr>
        <w:t xml:space="preserve"> reference materials necessary to ensure the integrity of critical forensic measurements.  LANL</w:t>
      </w:r>
      <w:r w:rsidR="00EC28B1">
        <w:rPr>
          <w:rFonts w:cs="Times New Roman"/>
          <w:sz w:val="22"/>
        </w:rPr>
        <w:t>,</w:t>
      </w:r>
      <w:r w:rsidRPr="00B361C9">
        <w:rPr>
          <w:rFonts w:cs="Times New Roman"/>
          <w:sz w:val="22"/>
        </w:rPr>
        <w:t xml:space="preserve"> </w:t>
      </w:r>
      <w:r w:rsidR="0073385D" w:rsidRPr="00B361C9">
        <w:rPr>
          <w:rFonts w:cs="Times New Roman"/>
          <w:sz w:val="22"/>
        </w:rPr>
        <w:t xml:space="preserve">has assisted the global community of nuclear forensic analysis by </w:t>
      </w:r>
      <w:r w:rsidRPr="00B361C9">
        <w:rPr>
          <w:rFonts w:cs="Times New Roman"/>
          <w:sz w:val="22"/>
        </w:rPr>
        <w:t xml:space="preserve">repackaging, </w:t>
      </w:r>
      <w:r w:rsidR="0073385D" w:rsidRPr="00B361C9">
        <w:rPr>
          <w:rFonts w:cs="Times New Roman"/>
          <w:sz w:val="22"/>
        </w:rPr>
        <w:t>providing measurements for re</w:t>
      </w:r>
      <w:r w:rsidR="00EE27BE">
        <w:rPr>
          <w:rFonts w:cs="Times New Roman"/>
          <w:sz w:val="22"/>
        </w:rPr>
        <w:t>-</w:t>
      </w:r>
      <w:r w:rsidR="0073385D" w:rsidRPr="00B361C9">
        <w:rPr>
          <w:rFonts w:cs="Times New Roman"/>
          <w:sz w:val="22"/>
        </w:rPr>
        <w:t>certification</w:t>
      </w:r>
      <w:r w:rsidRPr="00B361C9">
        <w:rPr>
          <w:rFonts w:cs="Times New Roman"/>
          <w:sz w:val="22"/>
        </w:rPr>
        <w:t xml:space="preserve">, and producing </w:t>
      </w:r>
      <w:r w:rsidR="009A0CA7" w:rsidRPr="00B361C9">
        <w:rPr>
          <w:rFonts w:cs="Times New Roman"/>
          <w:sz w:val="22"/>
        </w:rPr>
        <w:t>these pedig</w:t>
      </w:r>
      <w:r w:rsidR="0073385D" w:rsidRPr="00B361C9">
        <w:rPr>
          <w:rFonts w:cs="Times New Roman"/>
          <w:sz w:val="22"/>
        </w:rPr>
        <w:t>reed materials</w:t>
      </w:r>
      <w:r w:rsidRPr="00B361C9">
        <w:rPr>
          <w:rFonts w:cs="Times New Roman"/>
          <w:sz w:val="22"/>
        </w:rPr>
        <w:t xml:space="preserve"> </w:t>
      </w:r>
      <w:r w:rsidR="009A0CA7" w:rsidRPr="00B361C9">
        <w:rPr>
          <w:rFonts w:cs="Times New Roman"/>
          <w:sz w:val="22"/>
        </w:rPr>
        <w:t xml:space="preserve">to assure traceability and validation for measurements. </w:t>
      </w:r>
      <w:r w:rsidRPr="00B361C9">
        <w:rPr>
          <w:rFonts w:cs="Times New Roman"/>
          <w:sz w:val="22"/>
        </w:rPr>
        <w:t xml:space="preserve"> In addition</w:t>
      </w:r>
      <w:r w:rsidR="00EC28B1">
        <w:rPr>
          <w:rFonts w:cs="Times New Roman"/>
          <w:sz w:val="22"/>
        </w:rPr>
        <w:t>,</w:t>
      </w:r>
      <w:r w:rsidRPr="00B361C9">
        <w:rPr>
          <w:rFonts w:cs="Times New Roman"/>
          <w:sz w:val="22"/>
        </w:rPr>
        <w:t xml:space="preserve"> the analytical chemistry</w:t>
      </w:r>
      <w:r w:rsidR="009A0CA7" w:rsidRPr="00B361C9">
        <w:rPr>
          <w:rFonts w:cs="Times New Roman"/>
          <w:sz w:val="22"/>
        </w:rPr>
        <w:t xml:space="preserve"> </w:t>
      </w:r>
      <w:r w:rsidR="00FF28D7" w:rsidRPr="00B361C9">
        <w:rPr>
          <w:rFonts w:cs="Times New Roman"/>
          <w:sz w:val="22"/>
        </w:rPr>
        <w:t xml:space="preserve">resources at LANL have continued to validate historical methods, update protocols, and apply </w:t>
      </w:r>
      <w:r w:rsidR="008E131C" w:rsidRPr="00B361C9">
        <w:rPr>
          <w:rFonts w:cs="Times New Roman"/>
          <w:sz w:val="22"/>
        </w:rPr>
        <w:t>law enforcement requirements</w:t>
      </w:r>
      <w:r w:rsidR="00FF28D7" w:rsidRPr="00B361C9">
        <w:rPr>
          <w:rFonts w:cs="Times New Roman"/>
          <w:sz w:val="22"/>
        </w:rPr>
        <w:t xml:space="preserve"> to forensic samples while</w:t>
      </w:r>
      <w:r w:rsidR="00773935">
        <w:rPr>
          <w:rFonts w:cs="Times New Roman"/>
          <w:sz w:val="22"/>
        </w:rPr>
        <w:t xml:space="preserve"> achieving and </w:t>
      </w:r>
      <w:r w:rsidR="00FF28D7" w:rsidRPr="00B361C9">
        <w:rPr>
          <w:rFonts w:cs="Times New Roman"/>
          <w:sz w:val="22"/>
        </w:rPr>
        <w:t xml:space="preserve">maintaining </w:t>
      </w:r>
      <w:r w:rsidRPr="00B361C9">
        <w:rPr>
          <w:rFonts w:cs="Times New Roman"/>
          <w:sz w:val="22"/>
        </w:rPr>
        <w:t xml:space="preserve">ISO 17025 </w:t>
      </w:r>
      <w:r w:rsidR="002B3568">
        <w:rPr>
          <w:rFonts w:cs="Times New Roman"/>
          <w:sz w:val="22"/>
        </w:rPr>
        <w:t>accreditation</w:t>
      </w:r>
      <w:r w:rsidR="009A0CA7" w:rsidRPr="00B361C9">
        <w:rPr>
          <w:rFonts w:cs="Times New Roman"/>
          <w:sz w:val="22"/>
        </w:rPr>
        <w:t>.</w:t>
      </w:r>
    </w:p>
    <w:p w:rsidR="000C6D6F" w:rsidRDefault="000C6D6F" w:rsidP="000C6D6F">
      <w:pPr>
        <w:pStyle w:val="ListParagraph"/>
        <w:spacing w:line="240" w:lineRule="auto"/>
        <w:ind w:left="0"/>
        <w:outlineLvl w:val="0"/>
        <w:rPr>
          <w:rFonts w:cs="Times New Roman"/>
          <w:sz w:val="22"/>
        </w:rPr>
      </w:pPr>
    </w:p>
    <w:p w:rsidR="00D74F59" w:rsidRPr="000C6D6F" w:rsidRDefault="00D74F59" w:rsidP="000C6D6F">
      <w:pPr>
        <w:pStyle w:val="ListParagraph"/>
        <w:spacing w:line="240" w:lineRule="auto"/>
        <w:ind w:left="0"/>
        <w:jc w:val="center"/>
        <w:outlineLvl w:val="0"/>
        <w:rPr>
          <w:rFonts w:cs="Times New Roman"/>
          <w:sz w:val="22"/>
        </w:rPr>
      </w:pPr>
      <w:r w:rsidRPr="000C6D6F">
        <w:rPr>
          <w:rFonts w:eastAsia="Calibri" w:cs="Times New Roman"/>
          <w:b/>
          <w:caps/>
          <w:sz w:val="22"/>
        </w:rPr>
        <w:t>Acknowledgements</w:t>
      </w:r>
    </w:p>
    <w:p w:rsidR="00F54160" w:rsidRDefault="00404534" w:rsidP="008151E8">
      <w:pPr>
        <w:spacing w:line="240" w:lineRule="auto"/>
        <w:rPr>
          <w:rFonts w:cs="Times New Roman"/>
          <w:sz w:val="22"/>
        </w:rPr>
      </w:pPr>
      <w:r w:rsidRPr="00B361C9">
        <w:rPr>
          <w:rFonts w:cs="Times New Roman"/>
          <w:sz w:val="22"/>
        </w:rPr>
        <w:t xml:space="preserve">Multiple agencies within the </w:t>
      </w:r>
      <w:r w:rsidR="007E3E26" w:rsidRPr="00B361C9">
        <w:rPr>
          <w:rFonts w:cs="Times New Roman"/>
          <w:sz w:val="22"/>
        </w:rPr>
        <w:t>US</w:t>
      </w:r>
      <w:r w:rsidR="00D74F59" w:rsidRPr="00B361C9">
        <w:rPr>
          <w:rFonts w:eastAsia="Calibri" w:cs="Times New Roman"/>
          <w:sz w:val="22"/>
        </w:rPr>
        <w:t xml:space="preserve"> Department of Energy </w:t>
      </w:r>
      <w:r w:rsidR="00AD7596">
        <w:rPr>
          <w:rFonts w:eastAsia="Calibri" w:cs="Times New Roman"/>
          <w:sz w:val="22"/>
        </w:rPr>
        <w:t xml:space="preserve">National Nuclear Security </w:t>
      </w:r>
      <w:r w:rsidR="008303BA">
        <w:rPr>
          <w:rFonts w:eastAsia="Calibri" w:cs="Times New Roman"/>
          <w:sz w:val="22"/>
        </w:rPr>
        <w:t>Administration</w:t>
      </w:r>
      <w:r w:rsidR="00AD7596">
        <w:rPr>
          <w:rFonts w:eastAsia="Calibri" w:cs="Times New Roman"/>
          <w:sz w:val="22"/>
        </w:rPr>
        <w:t xml:space="preserve"> (</w:t>
      </w:r>
      <w:r w:rsidR="00D74F59" w:rsidRPr="00B361C9">
        <w:rPr>
          <w:rFonts w:eastAsia="Calibri" w:cs="Times New Roman"/>
          <w:sz w:val="22"/>
        </w:rPr>
        <w:t>NNSA</w:t>
      </w:r>
      <w:r w:rsidR="00AD7596">
        <w:rPr>
          <w:rFonts w:eastAsia="Calibri" w:cs="Times New Roman"/>
          <w:sz w:val="22"/>
        </w:rPr>
        <w:t>)</w:t>
      </w:r>
      <w:r w:rsidR="007E3E26" w:rsidRPr="00B361C9">
        <w:rPr>
          <w:rFonts w:cs="Times New Roman"/>
          <w:sz w:val="22"/>
        </w:rPr>
        <w:t>,</w:t>
      </w:r>
      <w:r w:rsidR="00D74F59" w:rsidRPr="00B361C9">
        <w:rPr>
          <w:rFonts w:eastAsia="Calibri" w:cs="Times New Roman"/>
          <w:sz w:val="22"/>
        </w:rPr>
        <w:t xml:space="preserve"> </w:t>
      </w:r>
      <w:r w:rsidR="007E3E26" w:rsidRPr="00B361C9">
        <w:rPr>
          <w:rFonts w:cs="Times New Roman"/>
          <w:sz w:val="22"/>
        </w:rPr>
        <w:t>US Federal Bureau of Investigation</w:t>
      </w:r>
      <w:r w:rsidR="00AD7596">
        <w:rPr>
          <w:rFonts w:cs="Times New Roman"/>
          <w:sz w:val="22"/>
        </w:rPr>
        <w:t xml:space="preserve"> (</w:t>
      </w:r>
      <w:r w:rsidR="00EC28B1">
        <w:rPr>
          <w:rFonts w:cs="Times New Roman"/>
          <w:sz w:val="22"/>
        </w:rPr>
        <w:t>FBI</w:t>
      </w:r>
      <w:r w:rsidR="00AD7596">
        <w:rPr>
          <w:rFonts w:cs="Times New Roman"/>
          <w:sz w:val="22"/>
        </w:rPr>
        <w:t>)</w:t>
      </w:r>
      <w:r w:rsidR="00D74F59" w:rsidRPr="00B361C9">
        <w:rPr>
          <w:rFonts w:eastAsia="Calibri" w:cs="Times New Roman"/>
          <w:sz w:val="22"/>
        </w:rPr>
        <w:t xml:space="preserve">, </w:t>
      </w:r>
      <w:r w:rsidR="007E3E26" w:rsidRPr="00B361C9">
        <w:rPr>
          <w:rFonts w:cs="Times New Roman"/>
          <w:sz w:val="22"/>
        </w:rPr>
        <w:t>and the US Department of Homeland Security-Domestic Nuclear Detection Office</w:t>
      </w:r>
      <w:r w:rsidR="00AD7596">
        <w:rPr>
          <w:rFonts w:cs="Times New Roman"/>
          <w:sz w:val="22"/>
        </w:rPr>
        <w:t xml:space="preserve"> (DHS-DNDO)</w:t>
      </w:r>
      <w:r w:rsidR="00D74F59" w:rsidRPr="00B361C9">
        <w:rPr>
          <w:rFonts w:eastAsia="Calibri" w:cs="Times New Roman"/>
          <w:sz w:val="22"/>
        </w:rPr>
        <w:t xml:space="preserve"> supported the work described. </w:t>
      </w:r>
      <w:r w:rsidRPr="00B361C9">
        <w:rPr>
          <w:rFonts w:eastAsia="Calibri" w:cs="Times New Roman"/>
          <w:sz w:val="22"/>
        </w:rPr>
        <w:t xml:space="preserve"> </w:t>
      </w:r>
      <w:r w:rsidR="00D74F59" w:rsidRPr="00B361C9">
        <w:rPr>
          <w:rFonts w:eastAsia="Calibri" w:cs="Times New Roman"/>
          <w:sz w:val="22"/>
        </w:rPr>
        <w:t>Los Alamos National Laboratory is operated by Los Alamos National Security, LLC for the U.S. Department of Energy under Cont</w:t>
      </w:r>
      <w:r w:rsidRPr="00B361C9">
        <w:rPr>
          <w:rFonts w:eastAsia="Calibri" w:cs="Times New Roman"/>
          <w:sz w:val="22"/>
        </w:rPr>
        <w:t xml:space="preserve">ract number DE-AC52-06NA25396. </w:t>
      </w:r>
      <w:r w:rsidR="00D74F59" w:rsidRPr="00B361C9">
        <w:rPr>
          <w:rFonts w:eastAsia="Calibri" w:cs="Times New Roman"/>
          <w:sz w:val="22"/>
        </w:rPr>
        <w:t xml:space="preserve"> We would like to thank </w:t>
      </w:r>
      <w:r w:rsidRPr="00B361C9">
        <w:rPr>
          <w:rFonts w:eastAsia="Calibri" w:cs="Times New Roman"/>
          <w:sz w:val="22"/>
        </w:rPr>
        <w:t xml:space="preserve">FBI: </w:t>
      </w:r>
      <w:r w:rsidR="007E3E26" w:rsidRPr="00B361C9">
        <w:rPr>
          <w:rFonts w:cs="Times New Roman"/>
          <w:sz w:val="22"/>
        </w:rPr>
        <w:t>James Blankenship, Kevin McLeary</w:t>
      </w:r>
      <w:r w:rsidRPr="00B361C9">
        <w:rPr>
          <w:rFonts w:cs="Times New Roman"/>
          <w:sz w:val="22"/>
        </w:rPr>
        <w:t>;</w:t>
      </w:r>
      <w:r w:rsidR="007E3E26" w:rsidRPr="00B361C9">
        <w:rPr>
          <w:rFonts w:cs="Times New Roman"/>
          <w:sz w:val="22"/>
        </w:rPr>
        <w:t xml:space="preserve"> </w:t>
      </w:r>
      <w:r w:rsidRPr="00B361C9">
        <w:rPr>
          <w:rFonts w:cs="Times New Roman"/>
          <w:sz w:val="22"/>
        </w:rPr>
        <w:t xml:space="preserve">NBL: </w:t>
      </w:r>
      <w:r w:rsidR="007E3E26" w:rsidRPr="00B361C9">
        <w:rPr>
          <w:rFonts w:cs="Times New Roman"/>
          <w:sz w:val="22"/>
        </w:rPr>
        <w:t>Richard Essex, Peter Mason</w:t>
      </w:r>
      <w:r w:rsidRPr="00B361C9">
        <w:rPr>
          <w:rFonts w:cs="Times New Roman"/>
          <w:sz w:val="22"/>
        </w:rPr>
        <w:t>; NNSA:</w:t>
      </w:r>
      <w:r w:rsidR="00F346A2" w:rsidRPr="00B361C9">
        <w:rPr>
          <w:rFonts w:cs="Times New Roman"/>
          <w:sz w:val="22"/>
        </w:rPr>
        <w:t xml:space="preserve"> Steve Goldberg, </w:t>
      </w:r>
      <w:r w:rsidRPr="00B361C9">
        <w:rPr>
          <w:rFonts w:cs="Times New Roman"/>
          <w:sz w:val="22"/>
        </w:rPr>
        <w:t xml:space="preserve">Steve LaMont, Heather Dion; DHS: </w:t>
      </w:r>
      <w:r w:rsidR="00F346A2" w:rsidRPr="00B361C9">
        <w:rPr>
          <w:rFonts w:cs="Times New Roman"/>
          <w:sz w:val="22"/>
        </w:rPr>
        <w:t>Jeffery Morrison</w:t>
      </w:r>
      <w:r w:rsidRPr="00B361C9">
        <w:rPr>
          <w:rFonts w:cs="Times New Roman"/>
          <w:sz w:val="22"/>
        </w:rPr>
        <w:t>;</w:t>
      </w:r>
      <w:r w:rsidR="00F346A2" w:rsidRPr="00B361C9">
        <w:rPr>
          <w:rFonts w:cs="Times New Roman"/>
          <w:sz w:val="22"/>
        </w:rPr>
        <w:t xml:space="preserve"> </w:t>
      </w:r>
      <w:r w:rsidRPr="00B361C9">
        <w:rPr>
          <w:rFonts w:cs="Times New Roman"/>
          <w:sz w:val="22"/>
        </w:rPr>
        <w:t xml:space="preserve">NIST: </w:t>
      </w:r>
      <w:r w:rsidR="00F346A2" w:rsidRPr="00B361C9">
        <w:rPr>
          <w:rFonts w:cs="Times New Roman"/>
          <w:sz w:val="22"/>
        </w:rPr>
        <w:t>Jacqueline Mann</w:t>
      </w:r>
      <w:r w:rsidRPr="00B361C9">
        <w:rPr>
          <w:rFonts w:cs="Times New Roman"/>
          <w:sz w:val="22"/>
        </w:rPr>
        <w:t>;</w:t>
      </w:r>
      <w:r w:rsidR="00F346A2" w:rsidRPr="00B361C9">
        <w:rPr>
          <w:rFonts w:cs="Times New Roman"/>
          <w:sz w:val="22"/>
        </w:rPr>
        <w:t xml:space="preserve"> </w:t>
      </w:r>
      <w:r w:rsidRPr="00B361C9">
        <w:rPr>
          <w:rFonts w:cs="Times New Roman"/>
          <w:sz w:val="22"/>
        </w:rPr>
        <w:t xml:space="preserve">LLNL:  </w:t>
      </w:r>
      <w:r w:rsidR="008303BA" w:rsidRPr="00B361C9">
        <w:rPr>
          <w:rFonts w:cs="Times New Roman"/>
          <w:sz w:val="22"/>
        </w:rPr>
        <w:t>Michael</w:t>
      </w:r>
      <w:r w:rsidR="00F346A2" w:rsidRPr="00B361C9">
        <w:rPr>
          <w:rFonts w:cs="Times New Roman"/>
          <w:sz w:val="22"/>
        </w:rPr>
        <w:t xml:space="preserve"> Kristo</w:t>
      </w:r>
      <w:r w:rsidR="00DA7154" w:rsidRPr="00B361C9">
        <w:rPr>
          <w:rFonts w:cs="Times New Roman"/>
          <w:sz w:val="22"/>
        </w:rPr>
        <w:t>; LANL:</w:t>
      </w:r>
      <w:r w:rsidR="00AD7596">
        <w:rPr>
          <w:rFonts w:cs="Times New Roman"/>
          <w:sz w:val="22"/>
        </w:rPr>
        <w:t xml:space="preserve"> Chris Worley, Elmer Lujan, </w:t>
      </w:r>
      <w:r w:rsidR="007C7F7B">
        <w:rPr>
          <w:rFonts w:cs="Times New Roman"/>
          <w:sz w:val="22"/>
        </w:rPr>
        <w:t>Mariam Thomas, Khal Spencer</w:t>
      </w:r>
      <w:r w:rsidR="00773935">
        <w:rPr>
          <w:rFonts w:cs="Times New Roman"/>
          <w:sz w:val="22"/>
        </w:rPr>
        <w:t>, and</w:t>
      </w:r>
      <w:r w:rsidR="008303BA">
        <w:rPr>
          <w:rFonts w:cs="Times New Roman"/>
          <w:sz w:val="22"/>
        </w:rPr>
        <w:t xml:space="preserve"> Kathy</w:t>
      </w:r>
      <w:r w:rsidR="00AD7596">
        <w:rPr>
          <w:rFonts w:cs="Times New Roman"/>
          <w:sz w:val="22"/>
        </w:rPr>
        <w:t xml:space="preserve"> Garduno</w:t>
      </w:r>
      <w:r w:rsidR="00EC28B1">
        <w:rPr>
          <w:rFonts w:cs="Times New Roman"/>
          <w:sz w:val="22"/>
        </w:rPr>
        <w:t>.</w:t>
      </w:r>
    </w:p>
    <w:p w:rsidR="00F54160" w:rsidRDefault="00F54160">
      <w:pPr>
        <w:rPr>
          <w:rFonts w:cs="Times New Roman"/>
          <w:sz w:val="22"/>
        </w:rPr>
      </w:pPr>
      <w:r>
        <w:rPr>
          <w:rFonts w:cs="Times New Roman"/>
          <w:sz w:val="22"/>
        </w:rPr>
        <w:br w:type="page"/>
      </w:r>
    </w:p>
    <w:p w:rsidR="0096210F" w:rsidRDefault="00397E0E" w:rsidP="008151E8">
      <w:pPr>
        <w:spacing w:line="240" w:lineRule="auto"/>
        <w:jc w:val="center"/>
        <w:rPr>
          <w:rFonts w:cs="Times New Roman"/>
          <w:b/>
          <w:sz w:val="22"/>
        </w:rPr>
      </w:pPr>
      <w:r w:rsidRPr="00B361C9">
        <w:rPr>
          <w:rFonts w:cs="Times New Roman"/>
          <w:b/>
          <w:sz w:val="22"/>
        </w:rPr>
        <w:lastRenderedPageBreak/>
        <w:t>R</w:t>
      </w:r>
      <w:r>
        <w:rPr>
          <w:rFonts w:cs="Times New Roman"/>
          <w:b/>
          <w:sz w:val="22"/>
        </w:rPr>
        <w:t>EFERENCES</w:t>
      </w:r>
    </w:p>
    <w:p w:rsidR="00870F9B" w:rsidRDefault="00F54160" w:rsidP="00870F9B">
      <w:pPr>
        <w:spacing w:line="240" w:lineRule="auto"/>
        <w:ind w:left="720" w:hanging="720"/>
        <w:rPr>
          <w:rFonts w:cs="Times New Roman"/>
          <w:sz w:val="22"/>
        </w:rPr>
      </w:pPr>
      <w:r>
        <w:rPr>
          <w:rFonts w:cs="Times New Roman"/>
          <w:sz w:val="22"/>
        </w:rPr>
        <w:t>[1</w:t>
      </w:r>
      <w:r w:rsidR="00870F9B">
        <w:rPr>
          <w:rFonts w:cs="Times New Roman"/>
          <w:sz w:val="22"/>
        </w:rPr>
        <w:t>]</w:t>
      </w:r>
      <w:r w:rsidR="00870F9B">
        <w:rPr>
          <w:rFonts w:cs="Times New Roman"/>
          <w:sz w:val="22"/>
        </w:rPr>
        <w:tab/>
      </w:r>
      <w:r w:rsidR="00870F9B" w:rsidRPr="00870F9B">
        <w:rPr>
          <w:rFonts w:cs="Times New Roman"/>
          <w:sz w:val="22"/>
        </w:rPr>
        <w:t xml:space="preserve">TANDON et. al, “Nuclear, chemical, and physical characterization of nuclear materials” J. </w:t>
      </w:r>
      <w:r w:rsidR="00870F9B" w:rsidRPr="009E0EAB">
        <w:rPr>
          <w:rFonts w:cs="Times New Roman"/>
          <w:sz w:val="22"/>
        </w:rPr>
        <w:t>Radioanal. Nucl. Chem</w:t>
      </w:r>
      <w:r w:rsidR="00870F9B">
        <w:rPr>
          <w:rFonts w:cs="Times New Roman"/>
          <w:sz w:val="22"/>
        </w:rPr>
        <w:t xml:space="preserve">. </w:t>
      </w:r>
      <w:r w:rsidR="00870F9B" w:rsidRPr="00870F9B">
        <w:rPr>
          <w:rFonts w:cs="Times New Roman"/>
          <w:b/>
          <w:sz w:val="22"/>
        </w:rPr>
        <w:t>276</w:t>
      </w:r>
      <w:r w:rsidR="00870F9B">
        <w:rPr>
          <w:rFonts w:cs="Times New Roman"/>
          <w:sz w:val="22"/>
        </w:rPr>
        <w:t xml:space="preserve"> (2008) 467-473.</w:t>
      </w:r>
    </w:p>
    <w:p w:rsidR="00870F9B" w:rsidRPr="00B361C9" w:rsidRDefault="00F54160" w:rsidP="00870F9B">
      <w:pPr>
        <w:spacing w:line="240" w:lineRule="auto"/>
        <w:ind w:left="720" w:hanging="720"/>
        <w:rPr>
          <w:rFonts w:cs="Times New Roman"/>
          <w:b/>
          <w:sz w:val="22"/>
        </w:rPr>
      </w:pPr>
      <w:r>
        <w:rPr>
          <w:rFonts w:cs="Times New Roman"/>
          <w:sz w:val="22"/>
        </w:rPr>
        <w:t>[2</w:t>
      </w:r>
      <w:r w:rsidR="00870F9B">
        <w:rPr>
          <w:rFonts w:cs="Times New Roman"/>
          <w:sz w:val="22"/>
        </w:rPr>
        <w:t>]</w:t>
      </w:r>
      <w:r w:rsidR="00870F9B">
        <w:rPr>
          <w:rFonts w:cs="Times New Roman"/>
          <w:sz w:val="22"/>
        </w:rPr>
        <w:tab/>
      </w:r>
      <w:r w:rsidR="00870F9B" w:rsidRPr="00870F9B">
        <w:rPr>
          <w:rFonts w:cs="Times New Roman"/>
          <w:sz w:val="22"/>
        </w:rPr>
        <w:t>TANDON et. al,</w:t>
      </w:r>
      <w:r w:rsidR="00870F9B">
        <w:rPr>
          <w:rFonts w:cs="Times New Roman"/>
          <w:sz w:val="22"/>
        </w:rPr>
        <w:t xml:space="preserve"> “Destructive analysis capabilities for plutonium and uranium characterization at Los Alamos National Laboratory,” </w:t>
      </w:r>
      <w:r w:rsidR="00AD207D">
        <w:rPr>
          <w:rFonts w:cs="Times New Roman"/>
          <w:sz w:val="22"/>
        </w:rPr>
        <w:t>INMM 51</w:t>
      </w:r>
      <w:r w:rsidR="00AD207D" w:rsidRPr="00AD207D">
        <w:rPr>
          <w:rFonts w:cs="Times New Roman"/>
          <w:sz w:val="22"/>
          <w:vertAlign w:val="superscript"/>
        </w:rPr>
        <w:t>st</w:t>
      </w:r>
      <w:r w:rsidR="00AD207D">
        <w:rPr>
          <w:rFonts w:cs="Times New Roman"/>
          <w:sz w:val="22"/>
        </w:rPr>
        <w:t xml:space="preserve"> Ann. Proceed. (2010).</w:t>
      </w:r>
    </w:p>
    <w:p w:rsidR="00CB1814" w:rsidRDefault="00CB1814" w:rsidP="006F78CC">
      <w:pPr>
        <w:tabs>
          <w:tab w:val="left" w:pos="720"/>
        </w:tabs>
        <w:spacing w:line="240" w:lineRule="auto"/>
        <w:ind w:left="720" w:hanging="720"/>
        <w:contextualSpacing/>
        <w:rPr>
          <w:rFonts w:cs="Times New Roman"/>
          <w:sz w:val="22"/>
        </w:rPr>
      </w:pPr>
      <w:r w:rsidRPr="009E0EAB">
        <w:rPr>
          <w:rFonts w:cs="Times New Roman"/>
          <w:sz w:val="22"/>
        </w:rPr>
        <w:t>[</w:t>
      </w:r>
      <w:r w:rsidR="00F54160">
        <w:rPr>
          <w:rFonts w:cs="Times New Roman"/>
          <w:sz w:val="22"/>
        </w:rPr>
        <w:t>3]</w:t>
      </w:r>
      <w:r w:rsidR="000A3688">
        <w:rPr>
          <w:rFonts w:cs="Times New Roman"/>
          <w:sz w:val="22"/>
        </w:rPr>
        <w:tab/>
      </w:r>
      <w:r w:rsidRPr="006F78CC">
        <w:rPr>
          <w:rFonts w:cs="Times New Roman"/>
          <w:caps/>
          <w:sz w:val="22"/>
        </w:rPr>
        <w:t>Kraiem, M</w:t>
      </w:r>
      <w:r w:rsidR="000B34FA">
        <w:rPr>
          <w:rFonts w:cs="Times New Roman"/>
          <w:caps/>
          <w:sz w:val="22"/>
        </w:rPr>
        <w:t>.,</w:t>
      </w:r>
      <w:r w:rsidRPr="006F78CC">
        <w:rPr>
          <w:rFonts w:cs="Times New Roman"/>
          <w:caps/>
          <w:sz w:val="22"/>
        </w:rPr>
        <w:t xml:space="preserve"> Essex, R.M.</w:t>
      </w:r>
      <w:r w:rsidR="000B34FA">
        <w:rPr>
          <w:rFonts w:cs="Times New Roman"/>
          <w:caps/>
          <w:sz w:val="22"/>
        </w:rPr>
        <w:t>,</w:t>
      </w:r>
      <w:r w:rsidRPr="006F78CC">
        <w:rPr>
          <w:rFonts w:cs="Times New Roman"/>
          <w:caps/>
          <w:sz w:val="22"/>
        </w:rPr>
        <w:t xml:space="preserve"> Mathew, K.J.</w:t>
      </w:r>
      <w:r w:rsidR="000B34FA">
        <w:rPr>
          <w:rFonts w:cs="Times New Roman"/>
          <w:caps/>
          <w:sz w:val="22"/>
        </w:rPr>
        <w:t>,</w:t>
      </w:r>
      <w:r w:rsidRPr="006F78CC">
        <w:rPr>
          <w:rFonts w:cs="Times New Roman"/>
          <w:caps/>
          <w:sz w:val="22"/>
        </w:rPr>
        <w:t xml:space="preserve"> Orlowicz, G.J.</w:t>
      </w:r>
      <w:r w:rsidR="000B34FA">
        <w:rPr>
          <w:rFonts w:cs="Times New Roman"/>
          <w:caps/>
          <w:sz w:val="22"/>
        </w:rPr>
        <w:t>,</w:t>
      </w:r>
      <w:r w:rsidRPr="006F78CC">
        <w:rPr>
          <w:rFonts w:cs="Times New Roman"/>
          <w:caps/>
          <w:sz w:val="22"/>
        </w:rPr>
        <w:t xml:space="preserve"> Soriano, M.D.,</w:t>
      </w:r>
      <w:r w:rsidRPr="009E0EAB">
        <w:rPr>
          <w:rFonts w:cs="Times New Roman"/>
          <w:sz w:val="22"/>
        </w:rPr>
        <w:t xml:space="preserve"> ” Re-certification of the CRM 125-A UO2 fuel pellet standard for uranium isotopic composition</w:t>
      </w:r>
      <w:r w:rsidR="00F2663B">
        <w:rPr>
          <w:rFonts w:cs="Times New Roman"/>
          <w:sz w:val="22"/>
        </w:rPr>
        <w:t xml:space="preserve">,” </w:t>
      </w:r>
      <w:r w:rsidR="00F2663B" w:rsidRPr="006F78CC">
        <w:rPr>
          <w:rFonts w:cs="Times New Roman"/>
          <w:sz w:val="22"/>
        </w:rPr>
        <w:t xml:space="preserve">Int. J. </w:t>
      </w:r>
      <w:r w:rsidRPr="006F78CC">
        <w:rPr>
          <w:rFonts w:cs="Times New Roman"/>
          <w:sz w:val="22"/>
        </w:rPr>
        <w:t>Mass Spectrom</w:t>
      </w:r>
      <w:r w:rsidR="00F2663B" w:rsidRPr="006F78CC">
        <w:rPr>
          <w:rFonts w:cs="Times New Roman"/>
          <w:sz w:val="22"/>
        </w:rPr>
        <w:t>.</w:t>
      </w:r>
      <w:r w:rsidRPr="006F78CC">
        <w:rPr>
          <w:rFonts w:cs="Times New Roman"/>
          <w:sz w:val="22"/>
        </w:rPr>
        <w:t xml:space="preserve"> </w:t>
      </w:r>
      <w:r w:rsidRPr="006F78CC">
        <w:rPr>
          <w:rFonts w:cs="Times New Roman"/>
          <w:b/>
          <w:sz w:val="22"/>
        </w:rPr>
        <w:t>352</w:t>
      </w:r>
      <w:r w:rsidR="00F2663B">
        <w:rPr>
          <w:rFonts w:cs="Times New Roman"/>
          <w:sz w:val="22"/>
        </w:rPr>
        <w:t xml:space="preserve"> (2013) </w:t>
      </w:r>
      <w:r w:rsidRPr="009E0EAB">
        <w:rPr>
          <w:rFonts w:cs="Times New Roman"/>
          <w:sz w:val="22"/>
        </w:rPr>
        <w:t>37–43</w:t>
      </w:r>
      <w:r w:rsidR="000A3688">
        <w:rPr>
          <w:rFonts w:cs="Times New Roman"/>
          <w:sz w:val="22"/>
        </w:rPr>
        <w:t>.</w:t>
      </w:r>
    </w:p>
    <w:p w:rsidR="000A3688" w:rsidRDefault="000A3688" w:rsidP="006F78CC">
      <w:pPr>
        <w:tabs>
          <w:tab w:val="left" w:pos="720"/>
        </w:tabs>
        <w:spacing w:line="240" w:lineRule="auto"/>
        <w:ind w:left="720" w:hanging="720"/>
        <w:contextualSpacing/>
        <w:rPr>
          <w:rFonts w:cs="Times New Roman"/>
          <w:sz w:val="22"/>
        </w:rPr>
      </w:pPr>
      <w:r w:rsidRPr="009E0EAB">
        <w:rPr>
          <w:rFonts w:cs="Times New Roman"/>
          <w:sz w:val="22"/>
        </w:rPr>
        <w:t>[</w:t>
      </w:r>
      <w:r w:rsidR="00F54160">
        <w:rPr>
          <w:rFonts w:cs="Times New Roman"/>
          <w:sz w:val="22"/>
        </w:rPr>
        <w:t>4]</w:t>
      </w:r>
      <w:r>
        <w:rPr>
          <w:rFonts w:cs="Times New Roman"/>
          <w:sz w:val="22"/>
        </w:rPr>
        <w:tab/>
      </w:r>
      <w:r w:rsidRPr="006F78CC">
        <w:rPr>
          <w:rFonts w:cs="Times New Roman"/>
          <w:caps/>
          <w:sz w:val="22"/>
        </w:rPr>
        <w:t xml:space="preserve">Richter, </w:t>
      </w:r>
      <w:r w:rsidR="000B34FA">
        <w:rPr>
          <w:rFonts w:cs="Times New Roman"/>
          <w:caps/>
          <w:sz w:val="22"/>
        </w:rPr>
        <w:t xml:space="preserve">S., </w:t>
      </w:r>
      <w:r w:rsidR="000B34FA" w:rsidRPr="006F78CC">
        <w:rPr>
          <w:rFonts w:cs="Times New Roman"/>
          <w:sz w:val="22"/>
        </w:rPr>
        <w:t xml:space="preserve">et. </w:t>
      </w:r>
      <w:r w:rsidR="008303BA" w:rsidRPr="006F78CC">
        <w:rPr>
          <w:rFonts w:cs="Times New Roman"/>
          <w:sz w:val="22"/>
        </w:rPr>
        <w:t>al.</w:t>
      </w:r>
      <w:r w:rsidR="008303BA">
        <w:rPr>
          <w:rFonts w:cs="Times New Roman"/>
          <w:caps/>
          <w:sz w:val="22"/>
        </w:rPr>
        <w:t>,</w:t>
      </w:r>
      <w:r w:rsidR="008303BA" w:rsidRPr="009E0EAB">
        <w:rPr>
          <w:rFonts w:cs="Times New Roman"/>
          <w:sz w:val="22"/>
        </w:rPr>
        <w:t xml:space="preserve"> “Improvements in routine uranium isotope ratio measurements using the modified total evaporation method for multi-collector thermal ionization mass spectrometry,” </w:t>
      </w:r>
      <w:r w:rsidR="008303BA" w:rsidRPr="006F78CC">
        <w:rPr>
          <w:rFonts w:cs="Times New Roman"/>
          <w:sz w:val="22"/>
        </w:rPr>
        <w:t xml:space="preserve">J. Anal. </w:t>
      </w:r>
      <w:r w:rsidRPr="006F78CC">
        <w:rPr>
          <w:rFonts w:cs="Times New Roman"/>
          <w:sz w:val="22"/>
        </w:rPr>
        <w:t>At. Spectrom.,</w:t>
      </w:r>
      <w:r w:rsidRPr="009E0EAB">
        <w:rPr>
          <w:rFonts w:cs="Times New Roman"/>
          <w:sz w:val="22"/>
        </w:rPr>
        <w:t xml:space="preserve"> </w:t>
      </w:r>
      <w:r w:rsidRPr="009E0EAB">
        <w:rPr>
          <w:rFonts w:cs="Times New Roman"/>
          <w:b/>
          <w:sz w:val="22"/>
        </w:rPr>
        <w:t>26</w:t>
      </w:r>
      <w:r w:rsidR="00FF214C">
        <w:rPr>
          <w:rFonts w:cs="Times New Roman"/>
          <w:sz w:val="22"/>
        </w:rPr>
        <w:t xml:space="preserve"> (</w:t>
      </w:r>
      <w:r w:rsidR="00FF214C" w:rsidRPr="009E0EAB">
        <w:rPr>
          <w:rFonts w:cs="Times New Roman"/>
          <w:sz w:val="22"/>
        </w:rPr>
        <w:t>2011</w:t>
      </w:r>
      <w:r w:rsidR="00FF214C">
        <w:rPr>
          <w:rFonts w:cs="Times New Roman"/>
          <w:sz w:val="22"/>
        </w:rPr>
        <w:t xml:space="preserve">) </w:t>
      </w:r>
      <w:r w:rsidRPr="009E0EAB">
        <w:rPr>
          <w:rFonts w:cs="Times New Roman"/>
          <w:sz w:val="22"/>
        </w:rPr>
        <w:t>550.</w:t>
      </w:r>
    </w:p>
    <w:p w:rsidR="00F54160" w:rsidRDefault="00F54160" w:rsidP="00F54160">
      <w:pPr>
        <w:tabs>
          <w:tab w:val="left" w:pos="720"/>
        </w:tabs>
        <w:spacing w:line="240" w:lineRule="auto"/>
        <w:ind w:left="720" w:hanging="720"/>
        <w:contextualSpacing/>
        <w:rPr>
          <w:rFonts w:cs="Times New Roman"/>
          <w:sz w:val="22"/>
        </w:rPr>
      </w:pPr>
      <w:r w:rsidRPr="009E0EAB">
        <w:rPr>
          <w:rFonts w:cs="Times New Roman"/>
          <w:sz w:val="22"/>
        </w:rPr>
        <w:t>[</w:t>
      </w:r>
      <w:r>
        <w:rPr>
          <w:rFonts w:cs="Times New Roman"/>
          <w:sz w:val="22"/>
        </w:rPr>
        <w:t>5]</w:t>
      </w:r>
      <w:r>
        <w:rPr>
          <w:rFonts w:cs="Times New Roman"/>
          <w:sz w:val="22"/>
        </w:rPr>
        <w:tab/>
      </w:r>
      <w:r w:rsidRPr="006F78CC">
        <w:rPr>
          <w:rFonts w:cs="Times New Roman"/>
          <w:caps/>
          <w:sz w:val="22"/>
        </w:rPr>
        <w:t>Leggit, J.</w:t>
      </w:r>
      <w:r>
        <w:rPr>
          <w:rFonts w:cs="Times New Roman"/>
          <w:caps/>
          <w:sz w:val="22"/>
        </w:rPr>
        <w:t xml:space="preserve">, </w:t>
      </w:r>
      <w:r w:rsidRPr="006F78CC">
        <w:rPr>
          <w:rFonts w:cs="Times New Roman"/>
          <w:caps/>
          <w:sz w:val="22"/>
        </w:rPr>
        <w:t>Inn, K., Goldberg, S., Essex, R</w:t>
      </w:r>
      <w:r w:rsidRPr="009E0EAB">
        <w:rPr>
          <w:rFonts w:cs="Times New Roman"/>
          <w:sz w:val="22"/>
        </w:rPr>
        <w:t>., “Nuclear forensi</w:t>
      </w:r>
      <w:r>
        <w:rPr>
          <w:rFonts w:cs="Times New Roman"/>
          <w:sz w:val="22"/>
        </w:rPr>
        <w:t xml:space="preserve">cs—metrological basis for legal </w:t>
      </w:r>
      <w:r w:rsidRPr="009E0EAB">
        <w:rPr>
          <w:rFonts w:cs="Times New Roman"/>
          <w:sz w:val="22"/>
        </w:rPr>
        <w:t xml:space="preserve">defensibility,” </w:t>
      </w:r>
      <w:r w:rsidRPr="006F78CC">
        <w:rPr>
          <w:rFonts w:cs="Times New Roman"/>
          <w:sz w:val="22"/>
        </w:rPr>
        <w:t>J. Radioanal. Nucl. Chem.</w:t>
      </w:r>
      <w:r w:rsidRPr="009E0EAB">
        <w:rPr>
          <w:rFonts w:cs="Times New Roman"/>
          <w:i/>
          <w:sz w:val="22"/>
        </w:rPr>
        <w:t>,</w:t>
      </w:r>
      <w:r w:rsidRPr="009E0EAB">
        <w:rPr>
          <w:rFonts w:cs="Times New Roman"/>
          <w:sz w:val="22"/>
        </w:rPr>
        <w:t xml:space="preserve"> </w:t>
      </w:r>
      <w:r w:rsidRPr="006F78CC">
        <w:rPr>
          <w:rFonts w:cs="Times New Roman"/>
          <w:b/>
          <w:sz w:val="22"/>
        </w:rPr>
        <w:t>282</w:t>
      </w:r>
      <w:r>
        <w:rPr>
          <w:rFonts w:cs="Times New Roman"/>
          <w:b/>
          <w:sz w:val="22"/>
        </w:rPr>
        <w:t xml:space="preserve"> (</w:t>
      </w:r>
      <w:r w:rsidRPr="009E0EAB">
        <w:rPr>
          <w:rFonts w:cs="Times New Roman"/>
          <w:sz w:val="22"/>
        </w:rPr>
        <w:t>2009</w:t>
      </w:r>
      <w:r>
        <w:rPr>
          <w:rFonts w:cs="Times New Roman"/>
          <w:sz w:val="22"/>
        </w:rPr>
        <w:t>)</w:t>
      </w:r>
      <w:r w:rsidRPr="009E0EAB">
        <w:rPr>
          <w:rFonts w:cs="Times New Roman"/>
          <w:sz w:val="22"/>
        </w:rPr>
        <w:t xml:space="preserve"> 997-1001.</w:t>
      </w:r>
    </w:p>
    <w:p w:rsidR="00F54160" w:rsidRPr="009E0EAB" w:rsidRDefault="00F54160" w:rsidP="00F54160">
      <w:pPr>
        <w:tabs>
          <w:tab w:val="left" w:pos="720"/>
        </w:tabs>
        <w:spacing w:line="240" w:lineRule="auto"/>
        <w:ind w:left="720" w:hanging="720"/>
        <w:contextualSpacing/>
        <w:rPr>
          <w:rFonts w:cs="Times New Roman"/>
          <w:sz w:val="22"/>
        </w:rPr>
      </w:pPr>
      <w:r w:rsidRPr="009E0EAB">
        <w:rPr>
          <w:rFonts w:cs="Times New Roman"/>
          <w:sz w:val="22"/>
        </w:rPr>
        <w:t>[</w:t>
      </w:r>
      <w:r>
        <w:rPr>
          <w:rFonts w:cs="Times New Roman"/>
          <w:sz w:val="22"/>
        </w:rPr>
        <w:t>6</w:t>
      </w:r>
      <w:r w:rsidRPr="009E0EAB">
        <w:rPr>
          <w:rFonts w:cs="Times New Roman"/>
          <w:sz w:val="22"/>
        </w:rPr>
        <w:t>]</w:t>
      </w:r>
      <w:r>
        <w:rPr>
          <w:rFonts w:cs="Times New Roman"/>
          <w:sz w:val="22"/>
        </w:rPr>
        <w:tab/>
      </w:r>
      <w:r w:rsidRPr="009770EF">
        <w:rPr>
          <w:rFonts w:cs="Times New Roman"/>
          <w:caps/>
          <w:sz w:val="22"/>
        </w:rPr>
        <w:t>Inn, K</w:t>
      </w:r>
      <w:r>
        <w:rPr>
          <w:rFonts w:cs="Times New Roman"/>
          <w:caps/>
          <w:sz w:val="22"/>
        </w:rPr>
        <w:t>.</w:t>
      </w:r>
      <w:r w:rsidRPr="009770EF">
        <w:rPr>
          <w:rFonts w:cs="Times New Roman"/>
          <w:caps/>
          <w:sz w:val="22"/>
        </w:rPr>
        <w:t>G</w:t>
      </w:r>
      <w:r>
        <w:rPr>
          <w:rFonts w:cs="Times New Roman"/>
          <w:caps/>
          <w:sz w:val="22"/>
        </w:rPr>
        <w:t>.</w:t>
      </w:r>
      <w:r w:rsidRPr="009770EF">
        <w:rPr>
          <w:rFonts w:cs="Times New Roman"/>
          <w:caps/>
          <w:sz w:val="22"/>
        </w:rPr>
        <w:t>W</w:t>
      </w:r>
      <w:r>
        <w:rPr>
          <w:rFonts w:cs="Times New Roman"/>
          <w:caps/>
          <w:sz w:val="22"/>
        </w:rPr>
        <w:t>,</w:t>
      </w:r>
      <w:r w:rsidRPr="009E0EAB">
        <w:rPr>
          <w:rFonts w:cs="Times New Roman"/>
          <w:sz w:val="22"/>
        </w:rPr>
        <w:t xml:space="preserve"> </w:t>
      </w:r>
      <w:r>
        <w:rPr>
          <w:rFonts w:cs="Times New Roman"/>
          <w:sz w:val="22"/>
        </w:rPr>
        <w:t>et. al</w:t>
      </w:r>
      <w:r w:rsidRPr="009E0EAB">
        <w:rPr>
          <w:rFonts w:cs="Times New Roman"/>
          <w:sz w:val="22"/>
        </w:rPr>
        <w:t xml:space="preserve">.  “A blueprint for radioanalytical metrology CRMS, intercomparison and PE,” </w:t>
      </w:r>
      <w:r w:rsidRPr="006F78CC">
        <w:rPr>
          <w:rFonts w:cs="Times New Roman"/>
          <w:sz w:val="22"/>
        </w:rPr>
        <w:t>Ap. Rad. Iso.</w:t>
      </w:r>
      <w:r>
        <w:rPr>
          <w:rFonts w:cs="Times New Roman"/>
          <w:sz w:val="22"/>
        </w:rPr>
        <w:t>,</w:t>
      </w:r>
      <w:r w:rsidRPr="006F78CC">
        <w:rPr>
          <w:rFonts w:cs="Times New Roman"/>
          <w:sz w:val="22"/>
        </w:rPr>
        <w:t xml:space="preserve"> </w:t>
      </w:r>
      <w:r w:rsidRPr="006F78CC">
        <w:rPr>
          <w:rFonts w:cs="Times New Roman"/>
          <w:b/>
          <w:sz w:val="22"/>
        </w:rPr>
        <w:t>66</w:t>
      </w:r>
      <w:r>
        <w:rPr>
          <w:rFonts w:cs="Times New Roman"/>
          <w:sz w:val="22"/>
        </w:rPr>
        <w:t xml:space="preserve"> (</w:t>
      </w:r>
      <w:r w:rsidRPr="009E0EAB">
        <w:rPr>
          <w:rFonts w:cs="Times New Roman"/>
          <w:sz w:val="22"/>
        </w:rPr>
        <w:t>2008</w:t>
      </w:r>
      <w:r>
        <w:rPr>
          <w:rFonts w:cs="Times New Roman"/>
          <w:sz w:val="22"/>
        </w:rPr>
        <w:t xml:space="preserve">) </w:t>
      </w:r>
      <w:r w:rsidRPr="009E0EAB">
        <w:rPr>
          <w:rFonts w:cs="Times New Roman"/>
          <w:sz w:val="22"/>
        </w:rPr>
        <w:t>835.</w:t>
      </w:r>
    </w:p>
    <w:p w:rsidR="00F54160" w:rsidRPr="009E0EAB" w:rsidRDefault="00F54160" w:rsidP="00F54160">
      <w:pPr>
        <w:tabs>
          <w:tab w:val="left" w:pos="720"/>
        </w:tabs>
        <w:spacing w:line="240" w:lineRule="auto"/>
        <w:ind w:left="720" w:hanging="720"/>
        <w:contextualSpacing/>
        <w:rPr>
          <w:rFonts w:cs="Times New Roman"/>
          <w:sz w:val="22"/>
        </w:rPr>
      </w:pPr>
      <w:r w:rsidRPr="009E0EAB">
        <w:rPr>
          <w:rFonts w:cs="Times New Roman"/>
          <w:sz w:val="22"/>
        </w:rPr>
        <w:t>[</w:t>
      </w:r>
      <w:r>
        <w:rPr>
          <w:rFonts w:cs="Times New Roman"/>
          <w:sz w:val="22"/>
        </w:rPr>
        <w:t>7</w:t>
      </w:r>
      <w:r w:rsidRPr="009E0EAB">
        <w:rPr>
          <w:rFonts w:cs="Times New Roman"/>
          <w:sz w:val="22"/>
        </w:rPr>
        <w:t>]</w:t>
      </w:r>
      <w:r>
        <w:rPr>
          <w:rFonts w:cs="Times New Roman"/>
          <w:sz w:val="22"/>
        </w:rPr>
        <w:tab/>
      </w:r>
      <w:r w:rsidRPr="006F78CC">
        <w:rPr>
          <w:rFonts w:cs="Times New Roman"/>
          <w:caps/>
          <w:sz w:val="22"/>
        </w:rPr>
        <w:t>Inn, K</w:t>
      </w:r>
      <w:r>
        <w:rPr>
          <w:rFonts w:cs="Times New Roman"/>
          <w:caps/>
          <w:sz w:val="22"/>
        </w:rPr>
        <w:t>.</w:t>
      </w:r>
      <w:r w:rsidRPr="006F78CC">
        <w:rPr>
          <w:rFonts w:cs="Times New Roman"/>
          <w:caps/>
          <w:sz w:val="22"/>
        </w:rPr>
        <w:t>G</w:t>
      </w:r>
      <w:r>
        <w:rPr>
          <w:rFonts w:cs="Times New Roman"/>
          <w:caps/>
          <w:sz w:val="22"/>
        </w:rPr>
        <w:t>.</w:t>
      </w:r>
      <w:r w:rsidRPr="006F78CC">
        <w:rPr>
          <w:rFonts w:cs="Times New Roman"/>
          <w:caps/>
          <w:sz w:val="22"/>
        </w:rPr>
        <w:t>W</w:t>
      </w:r>
      <w:r>
        <w:rPr>
          <w:rFonts w:cs="Times New Roman"/>
          <w:caps/>
          <w:sz w:val="22"/>
        </w:rPr>
        <w:t>,</w:t>
      </w:r>
      <w:r w:rsidRPr="009E0EAB">
        <w:rPr>
          <w:rFonts w:cs="Times New Roman"/>
          <w:sz w:val="22"/>
        </w:rPr>
        <w:t xml:space="preserve"> </w:t>
      </w:r>
      <w:r>
        <w:rPr>
          <w:rFonts w:cs="Times New Roman"/>
          <w:sz w:val="22"/>
        </w:rPr>
        <w:t>et. al.</w:t>
      </w:r>
      <w:r w:rsidRPr="009E0EAB">
        <w:rPr>
          <w:rFonts w:cs="Times New Roman"/>
          <w:sz w:val="22"/>
        </w:rPr>
        <w:t>; “The urgent requirement for new radioanalytical certified reference materials for nuclear safeguards, forensics, and consequence management,” J. Radioanal. Nucl. Chem</w:t>
      </w:r>
      <w:r>
        <w:rPr>
          <w:rFonts w:cs="Times New Roman"/>
          <w:sz w:val="22"/>
        </w:rPr>
        <w:t>.</w:t>
      </w:r>
      <w:r w:rsidRPr="009E0EAB">
        <w:rPr>
          <w:rFonts w:cs="Times New Roman"/>
          <w:sz w:val="22"/>
        </w:rPr>
        <w:t xml:space="preserve">, </w:t>
      </w:r>
      <w:r w:rsidRPr="006F78CC">
        <w:rPr>
          <w:rFonts w:cs="Times New Roman"/>
          <w:b/>
          <w:sz w:val="22"/>
        </w:rPr>
        <w:t>296</w:t>
      </w:r>
      <w:r>
        <w:rPr>
          <w:rFonts w:cs="Times New Roman"/>
          <w:sz w:val="22"/>
        </w:rPr>
        <w:t xml:space="preserve"> (</w:t>
      </w:r>
      <w:r w:rsidRPr="009E0EAB">
        <w:rPr>
          <w:rFonts w:cs="Times New Roman"/>
          <w:sz w:val="22"/>
        </w:rPr>
        <w:t>2013</w:t>
      </w:r>
      <w:r>
        <w:rPr>
          <w:rFonts w:cs="Times New Roman"/>
          <w:sz w:val="22"/>
        </w:rPr>
        <w:t>)</w:t>
      </w:r>
      <w:r w:rsidRPr="009E0EAB">
        <w:rPr>
          <w:rFonts w:cs="Times New Roman"/>
          <w:sz w:val="22"/>
        </w:rPr>
        <w:t xml:space="preserve"> 5-22.</w:t>
      </w:r>
    </w:p>
    <w:p w:rsidR="00F54160" w:rsidRPr="009E0EAB" w:rsidRDefault="00F54160" w:rsidP="00F54160">
      <w:pPr>
        <w:tabs>
          <w:tab w:val="left" w:pos="720"/>
        </w:tabs>
        <w:spacing w:line="240" w:lineRule="auto"/>
        <w:ind w:left="720" w:hanging="720"/>
        <w:contextualSpacing/>
        <w:rPr>
          <w:rFonts w:cs="Times New Roman"/>
          <w:sz w:val="22"/>
        </w:rPr>
      </w:pPr>
      <w:r w:rsidRPr="009E0EAB">
        <w:rPr>
          <w:rFonts w:cs="Times New Roman"/>
          <w:sz w:val="22"/>
        </w:rPr>
        <w:t>[</w:t>
      </w:r>
      <w:r>
        <w:rPr>
          <w:rFonts w:cs="Times New Roman"/>
          <w:sz w:val="22"/>
        </w:rPr>
        <w:t>8</w:t>
      </w:r>
      <w:r w:rsidRPr="009E0EAB">
        <w:rPr>
          <w:rFonts w:cs="Times New Roman"/>
          <w:sz w:val="22"/>
        </w:rPr>
        <w:t>]</w:t>
      </w:r>
      <w:r>
        <w:rPr>
          <w:rFonts w:cs="Times New Roman"/>
          <w:sz w:val="22"/>
        </w:rPr>
        <w:tab/>
      </w:r>
      <w:r w:rsidRPr="009E0EAB">
        <w:rPr>
          <w:rFonts w:cs="Times New Roman"/>
          <w:sz w:val="22"/>
        </w:rPr>
        <w:t>J</w:t>
      </w:r>
      <w:r w:rsidRPr="006F78CC">
        <w:rPr>
          <w:rFonts w:cs="Times New Roman"/>
          <w:caps/>
          <w:sz w:val="22"/>
        </w:rPr>
        <w:t>akopič, R</w:t>
      </w:r>
      <w:r>
        <w:rPr>
          <w:rFonts w:cs="Times New Roman"/>
          <w:caps/>
          <w:sz w:val="22"/>
        </w:rPr>
        <w:t>.,</w:t>
      </w:r>
      <w:r w:rsidRPr="006F78CC">
        <w:rPr>
          <w:rFonts w:cs="Times New Roman"/>
          <w:caps/>
          <w:sz w:val="22"/>
        </w:rPr>
        <w:t xml:space="preserve"> Sturm, M.</w:t>
      </w:r>
      <w:r>
        <w:rPr>
          <w:rFonts w:cs="Times New Roman"/>
          <w:caps/>
          <w:sz w:val="22"/>
        </w:rPr>
        <w:t>,</w:t>
      </w:r>
      <w:r w:rsidRPr="006F78CC">
        <w:rPr>
          <w:rFonts w:cs="Times New Roman"/>
          <w:caps/>
          <w:sz w:val="22"/>
        </w:rPr>
        <w:t xml:space="preserve"> Kraiem, M.</w:t>
      </w:r>
      <w:r>
        <w:rPr>
          <w:rFonts w:cs="Times New Roman"/>
          <w:caps/>
          <w:sz w:val="22"/>
        </w:rPr>
        <w:t>,</w:t>
      </w:r>
      <w:r w:rsidRPr="006F78CC">
        <w:rPr>
          <w:rFonts w:cs="Times New Roman"/>
          <w:caps/>
          <w:sz w:val="22"/>
        </w:rPr>
        <w:t xml:space="preserve"> Richter, S.</w:t>
      </w:r>
      <w:r>
        <w:rPr>
          <w:rFonts w:cs="Times New Roman"/>
          <w:caps/>
          <w:sz w:val="22"/>
        </w:rPr>
        <w:t>,</w:t>
      </w:r>
      <w:r w:rsidRPr="006F78CC">
        <w:rPr>
          <w:rFonts w:cs="Times New Roman"/>
          <w:caps/>
          <w:sz w:val="22"/>
        </w:rPr>
        <w:t xml:space="preserve"> Aregbe, Y.,</w:t>
      </w:r>
      <w:r w:rsidRPr="009E0EAB">
        <w:rPr>
          <w:rFonts w:cs="Times New Roman"/>
          <w:sz w:val="22"/>
        </w:rPr>
        <w:t xml:space="preserve"> “Certified reference materials and reference methods for nuclear safeguards and security,” </w:t>
      </w:r>
      <w:r w:rsidRPr="006F78CC">
        <w:rPr>
          <w:rFonts w:cs="Times New Roman"/>
          <w:sz w:val="22"/>
        </w:rPr>
        <w:t xml:space="preserve">J. Environ. Radioactiv., </w:t>
      </w:r>
      <w:r w:rsidRPr="006F78CC">
        <w:rPr>
          <w:rFonts w:cs="Times New Roman"/>
          <w:b/>
          <w:sz w:val="22"/>
        </w:rPr>
        <w:t>125</w:t>
      </w:r>
      <w:r>
        <w:rPr>
          <w:rFonts w:cs="Times New Roman"/>
          <w:sz w:val="22"/>
        </w:rPr>
        <w:t xml:space="preserve"> (</w:t>
      </w:r>
      <w:r w:rsidRPr="009E0EAB">
        <w:rPr>
          <w:rFonts w:cs="Times New Roman"/>
          <w:sz w:val="22"/>
        </w:rPr>
        <w:t>2013</w:t>
      </w:r>
      <w:r>
        <w:rPr>
          <w:rFonts w:cs="Times New Roman"/>
          <w:sz w:val="22"/>
        </w:rPr>
        <w:t xml:space="preserve">) </w:t>
      </w:r>
      <w:r w:rsidRPr="009E0EAB">
        <w:rPr>
          <w:rFonts w:cs="Times New Roman"/>
          <w:sz w:val="22"/>
        </w:rPr>
        <w:t>17-22</w:t>
      </w:r>
      <w:r>
        <w:rPr>
          <w:rFonts w:cs="Times New Roman"/>
          <w:sz w:val="22"/>
        </w:rPr>
        <w:t>.</w:t>
      </w:r>
    </w:p>
    <w:p w:rsidR="00F54160" w:rsidRDefault="00F54160" w:rsidP="00F54160">
      <w:pPr>
        <w:tabs>
          <w:tab w:val="left" w:pos="720"/>
        </w:tabs>
        <w:spacing w:line="240" w:lineRule="auto"/>
        <w:ind w:left="720" w:hanging="720"/>
        <w:contextualSpacing/>
        <w:rPr>
          <w:rFonts w:cs="Times New Roman"/>
          <w:sz w:val="22"/>
        </w:rPr>
      </w:pPr>
      <w:r w:rsidRPr="009E0EAB">
        <w:rPr>
          <w:rFonts w:cs="Times New Roman"/>
          <w:sz w:val="22"/>
        </w:rPr>
        <w:t>[</w:t>
      </w:r>
      <w:r>
        <w:rPr>
          <w:rFonts w:cs="Times New Roman"/>
          <w:sz w:val="22"/>
        </w:rPr>
        <w:t>9]</w:t>
      </w:r>
      <w:r>
        <w:rPr>
          <w:rFonts w:cs="Times New Roman"/>
          <w:sz w:val="22"/>
        </w:rPr>
        <w:tab/>
      </w:r>
      <w:r w:rsidRPr="006F78CC">
        <w:rPr>
          <w:rFonts w:cs="Times New Roman"/>
          <w:caps/>
          <w:sz w:val="22"/>
        </w:rPr>
        <w:t>Roudil, D</w:t>
      </w:r>
      <w:r>
        <w:rPr>
          <w:rFonts w:cs="Times New Roman"/>
          <w:caps/>
          <w:sz w:val="22"/>
        </w:rPr>
        <w:t>.,</w:t>
      </w:r>
      <w:r w:rsidRPr="006F78CC">
        <w:rPr>
          <w:rFonts w:cs="Times New Roman"/>
          <w:caps/>
          <w:sz w:val="22"/>
        </w:rPr>
        <w:t xml:space="preserve"> Rigaux, C</w:t>
      </w:r>
      <w:r>
        <w:rPr>
          <w:rFonts w:cs="Times New Roman"/>
          <w:caps/>
          <w:sz w:val="22"/>
        </w:rPr>
        <w:t>.,</w:t>
      </w:r>
      <w:r w:rsidRPr="006F78CC">
        <w:rPr>
          <w:rFonts w:cs="Times New Roman"/>
          <w:caps/>
          <w:sz w:val="22"/>
        </w:rPr>
        <w:t xml:space="preserve"> Rivier, C</w:t>
      </w:r>
      <w:r>
        <w:rPr>
          <w:rFonts w:cs="Times New Roman"/>
          <w:caps/>
          <w:sz w:val="22"/>
        </w:rPr>
        <w:t>.,</w:t>
      </w:r>
      <w:r w:rsidRPr="006F78CC">
        <w:rPr>
          <w:rFonts w:cs="Times New Roman"/>
          <w:caps/>
          <w:sz w:val="22"/>
        </w:rPr>
        <w:t xml:space="preserve"> Hubinois, JC</w:t>
      </w:r>
      <w:r>
        <w:rPr>
          <w:rFonts w:cs="Times New Roman"/>
          <w:caps/>
          <w:sz w:val="22"/>
        </w:rPr>
        <w:t>,</w:t>
      </w:r>
      <w:r w:rsidRPr="006F78CC">
        <w:rPr>
          <w:rFonts w:cs="Times New Roman"/>
          <w:caps/>
          <w:sz w:val="22"/>
        </w:rPr>
        <w:t xml:space="preserve"> Aufore, L</w:t>
      </w:r>
      <w:r>
        <w:rPr>
          <w:rFonts w:cs="Times New Roman"/>
          <w:caps/>
          <w:sz w:val="22"/>
        </w:rPr>
        <w:t>.,</w:t>
      </w:r>
      <w:r w:rsidRPr="009E0EAB">
        <w:rPr>
          <w:rFonts w:cs="Times New Roman"/>
          <w:sz w:val="22"/>
        </w:rPr>
        <w:t xml:space="preserve"> “CETAMA contribution to safeguards and nuclear forensic analysis based on nuclear reference materials,” </w:t>
      </w:r>
      <w:r w:rsidRPr="006F78CC">
        <w:rPr>
          <w:rFonts w:cs="Times New Roman"/>
          <w:sz w:val="22"/>
        </w:rPr>
        <w:t>Procedia Chem</w:t>
      </w:r>
      <w:r>
        <w:rPr>
          <w:rFonts w:cs="Times New Roman"/>
          <w:sz w:val="22"/>
        </w:rPr>
        <w:t>.</w:t>
      </w:r>
      <w:r w:rsidRPr="006F78CC">
        <w:rPr>
          <w:rFonts w:cs="Times New Roman"/>
          <w:sz w:val="22"/>
        </w:rPr>
        <w:t>,</w:t>
      </w:r>
      <w:r w:rsidRPr="009E0EAB">
        <w:rPr>
          <w:rFonts w:cs="Times New Roman"/>
          <w:sz w:val="22"/>
        </w:rPr>
        <w:t xml:space="preserve"> </w:t>
      </w:r>
      <w:r w:rsidRPr="009770EF">
        <w:rPr>
          <w:rFonts w:cs="Times New Roman"/>
          <w:b/>
          <w:sz w:val="22"/>
        </w:rPr>
        <w:t>7</w:t>
      </w:r>
      <w:r>
        <w:rPr>
          <w:rFonts w:cs="Times New Roman"/>
          <w:i/>
          <w:sz w:val="22"/>
        </w:rPr>
        <w:t xml:space="preserve"> </w:t>
      </w:r>
      <w:r>
        <w:rPr>
          <w:rFonts w:cs="Times New Roman"/>
          <w:sz w:val="22"/>
        </w:rPr>
        <w:t xml:space="preserve">(2012) </w:t>
      </w:r>
      <w:r w:rsidRPr="009E0EAB">
        <w:rPr>
          <w:rFonts w:cs="Times New Roman"/>
          <w:sz w:val="22"/>
        </w:rPr>
        <w:t xml:space="preserve"> 709-715.</w:t>
      </w:r>
    </w:p>
    <w:p w:rsidR="00F54160" w:rsidRDefault="00F54160" w:rsidP="00F54160">
      <w:pPr>
        <w:tabs>
          <w:tab w:val="left" w:pos="720"/>
        </w:tabs>
        <w:spacing w:line="240" w:lineRule="auto"/>
        <w:ind w:left="720" w:hanging="720"/>
        <w:contextualSpacing/>
        <w:rPr>
          <w:rFonts w:cs="Times New Roman"/>
          <w:sz w:val="22"/>
        </w:rPr>
      </w:pPr>
      <w:r>
        <w:rPr>
          <w:rFonts w:cs="Times New Roman"/>
          <w:sz w:val="22"/>
        </w:rPr>
        <w:t>[10]</w:t>
      </w:r>
      <w:r>
        <w:rPr>
          <w:rFonts w:cs="Times New Roman"/>
          <w:sz w:val="22"/>
        </w:rPr>
        <w:tab/>
      </w:r>
      <w:r w:rsidRPr="006F78CC">
        <w:rPr>
          <w:rFonts w:cs="Times New Roman"/>
          <w:caps/>
          <w:sz w:val="22"/>
        </w:rPr>
        <w:t>Granier, G</w:t>
      </w:r>
      <w:r>
        <w:rPr>
          <w:rFonts w:cs="Times New Roman"/>
          <w:caps/>
          <w:sz w:val="22"/>
        </w:rPr>
        <w:t>.,</w:t>
      </w:r>
      <w:r w:rsidRPr="006F78CC">
        <w:rPr>
          <w:rFonts w:cs="Times New Roman"/>
          <w:caps/>
          <w:sz w:val="22"/>
        </w:rPr>
        <w:t xml:space="preserve"> Balsley, S</w:t>
      </w:r>
      <w:r>
        <w:rPr>
          <w:rFonts w:cs="Times New Roman"/>
          <w:caps/>
          <w:sz w:val="22"/>
        </w:rPr>
        <w:t>.</w:t>
      </w:r>
      <w:r w:rsidRPr="006F78CC">
        <w:rPr>
          <w:rFonts w:cs="Times New Roman"/>
          <w:caps/>
          <w:sz w:val="22"/>
        </w:rPr>
        <w:t>D</w:t>
      </w:r>
      <w:r>
        <w:rPr>
          <w:rFonts w:cs="Times New Roman"/>
          <w:caps/>
          <w:sz w:val="22"/>
        </w:rPr>
        <w:t>.,</w:t>
      </w:r>
      <w:r w:rsidRPr="006F78CC">
        <w:rPr>
          <w:rFonts w:cs="Times New Roman"/>
          <w:caps/>
          <w:sz w:val="22"/>
        </w:rPr>
        <w:t xml:space="preserve"> Bulyha, S</w:t>
      </w:r>
      <w:r>
        <w:rPr>
          <w:rFonts w:cs="Times New Roman"/>
          <w:caps/>
          <w:sz w:val="22"/>
        </w:rPr>
        <w:t>.,</w:t>
      </w:r>
      <w:r w:rsidRPr="006F78CC">
        <w:rPr>
          <w:rFonts w:cs="Times New Roman"/>
          <w:caps/>
          <w:sz w:val="22"/>
        </w:rPr>
        <w:t xml:space="preserve"> Aregbe, Y</w:t>
      </w:r>
      <w:r>
        <w:rPr>
          <w:rFonts w:cs="Times New Roman"/>
          <w:caps/>
          <w:sz w:val="22"/>
        </w:rPr>
        <w:t>.,</w:t>
      </w:r>
      <w:r w:rsidRPr="006F78CC">
        <w:rPr>
          <w:rFonts w:cs="Times New Roman"/>
          <w:caps/>
          <w:sz w:val="22"/>
        </w:rPr>
        <w:t xml:space="preserve"> Roudil, D</w:t>
      </w:r>
      <w:r>
        <w:rPr>
          <w:rFonts w:cs="Times New Roman"/>
          <w:caps/>
          <w:sz w:val="22"/>
        </w:rPr>
        <w:t>.,</w:t>
      </w:r>
      <w:r w:rsidRPr="006F78CC">
        <w:rPr>
          <w:rFonts w:cs="Times New Roman"/>
          <w:caps/>
          <w:sz w:val="22"/>
        </w:rPr>
        <w:t xml:space="preserve"> </w:t>
      </w:r>
      <w:r>
        <w:rPr>
          <w:rFonts w:cs="Times New Roman"/>
          <w:sz w:val="22"/>
        </w:rPr>
        <w:t xml:space="preserve">“Round robin ‘Impurities in uranium matrix’: a success for CETAMA and IAEA,” </w:t>
      </w:r>
      <w:r w:rsidRPr="006F78CC">
        <w:rPr>
          <w:rFonts w:cs="Times New Roman"/>
          <w:sz w:val="22"/>
        </w:rPr>
        <w:t>Procedia Chem.</w:t>
      </w:r>
      <w:r>
        <w:rPr>
          <w:rFonts w:cs="Times New Roman"/>
          <w:sz w:val="22"/>
        </w:rPr>
        <w:t>,</w:t>
      </w:r>
      <w:r w:rsidRPr="006F78CC">
        <w:rPr>
          <w:rFonts w:cs="Times New Roman"/>
          <w:sz w:val="22"/>
        </w:rPr>
        <w:t xml:space="preserve"> </w:t>
      </w:r>
      <w:r w:rsidRPr="006F78CC">
        <w:rPr>
          <w:rFonts w:cs="Times New Roman"/>
          <w:b/>
          <w:sz w:val="22"/>
        </w:rPr>
        <w:t>7</w:t>
      </w:r>
      <w:r>
        <w:rPr>
          <w:rFonts w:cs="Times New Roman"/>
          <w:i/>
          <w:sz w:val="22"/>
        </w:rPr>
        <w:t xml:space="preserve"> </w:t>
      </w:r>
      <w:r>
        <w:rPr>
          <w:rFonts w:cs="Times New Roman"/>
          <w:sz w:val="22"/>
        </w:rPr>
        <w:t>(2012) 666-672.</w:t>
      </w:r>
    </w:p>
    <w:p w:rsidR="00F54160" w:rsidRPr="00B361C9" w:rsidRDefault="00F54160" w:rsidP="00F54160">
      <w:pPr>
        <w:tabs>
          <w:tab w:val="left" w:pos="720"/>
        </w:tabs>
        <w:spacing w:line="240" w:lineRule="auto"/>
        <w:ind w:left="720" w:hanging="720"/>
        <w:contextualSpacing/>
        <w:rPr>
          <w:rFonts w:cs="Times New Roman"/>
          <w:sz w:val="22"/>
        </w:rPr>
      </w:pPr>
      <w:r w:rsidRPr="00B361C9">
        <w:rPr>
          <w:rFonts w:cs="Times New Roman"/>
          <w:sz w:val="22"/>
        </w:rPr>
        <w:t>[</w:t>
      </w:r>
      <w:r>
        <w:rPr>
          <w:rFonts w:cs="Times New Roman"/>
          <w:sz w:val="22"/>
        </w:rPr>
        <w:t>11]</w:t>
      </w:r>
      <w:r>
        <w:rPr>
          <w:rFonts w:cs="Times New Roman"/>
          <w:sz w:val="22"/>
        </w:rPr>
        <w:tab/>
      </w:r>
      <w:r w:rsidRPr="006F78CC">
        <w:rPr>
          <w:rFonts w:cs="Times New Roman"/>
          <w:caps/>
          <w:sz w:val="22"/>
        </w:rPr>
        <w:t>Burr, T</w:t>
      </w:r>
      <w:r>
        <w:rPr>
          <w:rFonts w:cs="Times New Roman"/>
          <w:caps/>
          <w:sz w:val="22"/>
        </w:rPr>
        <w:t>.,</w:t>
      </w:r>
      <w:r w:rsidRPr="006F78CC">
        <w:rPr>
          <w:rFonts w:cs="Times New Roman"/>
          <w:caps/>
          <w:sz w:val="22"/>
        </w:rPr>
        <w:t xml:space="preserve"> Kuhn, K</w:t>
      </w:r>
      <w:r>
        <w:rPr>
          <w:rFonts w:cs="Times New Roman"/>
          <w:caps/>
          <w:sz w:val="22"/>
        </w:rPr>
        <w:t>.,</w:t>
      </w:r>
      <w:r w:rsidRPr="006F78CC">
        <w:rPr>
          <w:rFonts w:cs="Times New Roman"/>
          <w:caps/>
          <w:sz w:val="22"/>
        </w:rPr>
        <w:t xml:space="preserve"> Tandon, L.</w:t>
      </w:r>
      <w:r>
        <w:rPr>
          <w:rFonts w:cs="Times New Roman"/>
          <w:caps/>
          <w:sz w:val="22"/>
        </w:rPr>
        <w:t>,</w:t>
      </w:r>
      <w:r w:rsidRPr="006F78CC">
        <w:rPr>
          <w:rFonts w:cs="Times New Roman"/>
          <w:caps/>
          <w:sz w:val="22"/>
        </w:rPr>
        <w:t xml:space="preserve"> Tompkins, D</w:t>
      </w:r>
      <w:r>
        <w:rPr>
          <w:rFonts w:cs="Times New Roman"/>
          <w:caps/>
          <w:sz w:val="22"/>
        </w:rPr>
        <w:t>.,</w:t>
      </w:r>
      <w:r w:rsidRPr="00B361C9">
        <w:rPr>
          <w:rFonts w:cs="Times New Roman"/>
          <w:sz w:val="22"/>
        </w:rPr>
        <w:t xml:space="preserve"> “Measurement performance assessment of analytical chemistry analysis methods using sample exchange data,” </w:t>
      </w:r>
      <w:r w:rsidRPr="006F78CC">
        <w:rPr>
          <w:rFonts w:cs="Times New Roman"/>
          <w:sz w:val="22"/>
        </w:rPr>
        <w:t>Int.. J. Chem.</w:t>
      </w:r>
      <w:r w:rsidRPr="00B361C9">
        <w:rPr>
          <w:rFonts w:cs="Times New Roman"/>
          <w:sz w:val="22"/>
        </w:rPr>
        <w:t xml:space="preserve">, </w:t>
      </w:r>
      <w:r w:rsidRPr="006F78CC">
        <w:rPr>
          <w:rFonts w:cs="Times New Roman"/>
          <w:b/>
          <w:sz w:val="22"/>
        </w:rPr>
        <w:t>3</w:t>
      </w:r>
      <w:r w:rsidRPr="00B361C9">
        <w:rPr>
          <w:rFonts w:cs="Times New Roman"/>
          <w:sz w:val="22"/>
        </w:rPr>
        <w:t xml:space="preserve"> 4</w:t>
      </w:r>
      <w:r>
        <w:rPr>
          <w:rFonts w:cs="Times New Roman"/>
          <w:sz w:val="22"/>
        </w:rPr>
        <w:t xml:space="preserve"> (</w:t>
      </w:r>
      <w:r w:rsidRPr="00B361C9">
        <w:rPr>
          <w:rFonts w:cs="Times New Roman"/>
          <w:sz w:val="22"/>
        </w:rPr>
        <w:t>2011</w:t>
      </w:r>
      <w:r>
        <w:rPr>
          <w:rFonts w:cs="Times New Roman"/>
          <w:sz w:val="22"/>
        </w:rPr>
        <w:t xml:space="preserve">) </w:t>
      </w:r>
      <w:r w:rsidRPr="00B361C9">
        <w:rPr>
          <w:rFonts w:cs="Times New Roman"/>
          <w:sz w:val="22"/>
        </w:rPr>
        <w:t>40-46.</w:t>
      </w:r>
    </w:p>
    <w:p w:rsidR="009F72FE" w:rsidRPr="00B361C9" w:rsidRDefault="009F72FE" w:rsidP="006F78CC">
      <w:pPr>
        <w:tabs>
          <w:tab w:val="left" w:pos="720"/>
        </w:tabs>
        <w:spacing w:line="240" w:lineRule="auto"/>
        <w:ind w:left="720" w:hanging="720"/>
        <w:contextualSpacing/>
        <w:rPr>
          <w:rFonts w:cs="Times New Roman"/>
          <w:sz w:val="22"/>
        </w:rPr>
      </w:pPr>
      <w:r>
        <w:rPr>
          <w:rFonts w:cs="Times New Roman"/>
          <w:sz w:val="22"/>
        </w:rPr>
        <w:t>[</w:t>
      </w:r>
      <w:r w:rsidR="00F54160">
        <w:rPr>
          <w:rFonts w:cs="Times New Roman"/>
          <w:sz w:val="22"/>
        </w:rPr>
        <w:t>12</w:t>
      </w:r>
      <w:r>
        <w:rPr>
          <w:rFonts w:cs="Times New Roman"/>
          <w:sz w:val="22"/>
        </w:rPr>
        <w:t>]</w:t>
      </w:r>
      <w:r w:rsidR="000A3688">
        <w:rPr>
          <w:rFonts w:cs="Times New Roman"/>
          <w:sz w:val="22"/>
        </w:rPr>
        <w:tab/>
      </w:r>
      <w:r w:rsidRPr="006F78CC">
        <w:rPr>
          <w:rFonts w:cs="Times New Roman"/>
          <w:caps/>
          <w:sz w:val="22"/>
        </w:rPr>
        <w:t>Waterbury, G</w:t>
      </w:r>
      <w:r w:rsidR="000B34FA">
        <w:rPr>
          <w:rFonts w:cs="Times New Roman"/>
          <w:caps/>
          <w:sz w:val="22"/>
        </w:rPr>
        <w:t>.</w:t>
      </w:r>
      <w:r w:rsidRPr="006F78CC">
        <w:rPr>
          <w:rFonts w:cs="Times New Roman"/>
          <w:caps/>
          <w:sz w:val="22"/>
        </w:rPr>
        <w:t>R</w:t>
      </w:r>
      <w:r w:rsidR="000B34FA">
        <w:rPr>
          <w:rFonts w:cs="Times New Roman"/>
          <w:caps/>
          <w:sz w:val="22"/>
        </w:rPr>
        <w:t>.,</w:t>
      </w:r>
      <w:r w:rsidRPr="006F78CC">
        <w:rPr>
          <w:rFonts w:cs="Times New Roman"/>
          <w:caps/>
          <w:sz w:val="22"/>
        </w:rPr>
        <w:t xml:space="preserve"> </w:t>
      </w:r>
      <w:r w:rsidR="000B34FA">
        <w:rPr>
          <w:rFonts w:cs="Times New Roman"/>
          <w:sz w:val="22"/>
        </w:rPr>
        <w:t xml:space="preserve">et. al., </w:t>
      </w:r>
      <w:r w:rsidRPr="00B361C9">
        <w:rPr>
          <w:rFonts w:cs="Times New Roman"/>
          <w:sz w:val="22"/>
        </w:rPr>
        <w:t xml:space="preserve">“Nuclear Materials (Fuels)-Panel 64,”  </w:t>
      </w:r>
      <w:r w:rsidRPr="006F78CC">
        <w:rPr>
          <w:rFonts w:cs="Times New Roman"/>
          <w:sz w:val="22"/>
        </w:rPr>
        <w:t>Standard reference materials and meaningful measurements: proceedings of the 6th Materials Research Symposium</w:t>
      </w:r>
      <w:r w:rsidRPr="00B361C9">
        <w:rPr>
          <w:rFonts w:cs="Times New Roman"/>
          <w:i/>
          <w:sz w:val="22"/>
        </w:rPr>
        <w:t xml:space="preserve">, </w:t>
      </w:r>
      <w:r w:rsidR="000B3BD0">
        <w:rPr>
          <w:rFonts w:cs="Times New Roman"/>
          <w:sz w:val="22"/>
        </w:rPr>
        <w:t>(</w:t>
      </w:r>
      <w:r w:rsidRPr="00B361C9">
        <w:rPr>
          <w:rFonts w:cs="Times New Roman"/>
          <w:sz w:val="22"/>
        </w:rPr>
        <w:t>Seward</w:t>
      </w:r>
      <w:r w:rsidR="000B3BD0">
        <w:rPr>
          <w:rFonts w:cs="Times New Roman"/>
          <w:sz w:val="22"/>
        </w:rPr>
        <w:t xml:space="preserve">, </w:t>
      </w:r>
      <w:r w:rsidR="000B3BD0" w:rsidRPr="00B361C9">
        <w:rPr>
          <w:rFonts w:cs="Times New Roman"/>
          <w:sz w:val="22"/>
        </w:rPr>
        <w:t>R</w:t>
      </w:r>
      <w:r w:rsidR="000B3BD0">
        <w:rPr>
          <w:rFonts w:cs="Times New Roman"/>
          <w:sz w:val="22"/>
        </w:rPr>
        <w:t>.</w:t>
      </w:r>
      <w:r w:rsidR="000B3BD0" w:rsidRPr="00B361C9">
        <w:rPr>
          <w:rFonts w:cs="Times New Roman"/>
          <w:sz w:val="22"/>
        </w:rPr>
        <w:t>W</w:t>
      </w:r>
      <w:r w:rsidR="000B3BD0">
        <w:rPr>
          <w:rFonts w:cs="Times New Roman"/>
          <w:sz w:val="22"/>
        </w:rPr>
        <w:t xml:space="preserve">. </w:t>
      </w:r>
      <w:r w:rsidR="000B3BD0" w:rsidRPr="00B361C9">
        <w:rPr>
          <w:rFonts w:cs="Times New Roman"/>
          <w:sz w:val="22"/>
        </w:rPr>
        <w:t>Ed.</w:t>
      </w:r>
      <w:r w:rsidR="000B3BD0">
        <w:rPr>
          <w:rFonts w:cs="Times New Roman"/>
          <w:sz w:val="22"/>
        </w:rPr>
        <w:t>)</w:t>
      </w:r>
      <w:r w:rsidRPr="00B361C9">
        <w:rPr>
          <w:rFonts w:cs="Times New Roman"/>
          <w:sz w:val="22"/>
        </w:rPr>
        <w:t>, Institute for Materials Research: National Bureau of Standards</w:t>
      </w:r>
      <w:r w:rsidRPr="00B361C9">
        <w:rPr>
          <w:rFonts w:cs="Times New Roman"/>
          <w:i/>
          <w:sz w:val="22"/>
        </w:rPr>
        <w:t xml:space="preserve">, </w:t>
      </w:r>
      <w:r w:rsidRPr="00B361C9">
        <w:rPr>
          <w:rFonts w:cs="Times New Roman"/>
          <w:sz w:val="22"/>
        </w:rPr>
        <w:t xml:space="preserve">Washington DC, </w:t>
      </w:r>
      <w:r w:rsidR="000B3BD0">
        <w:rPr>
          <w:rFonts w:cs="Times New Roman"/>
          <w:sz w:val="22"/>
        </w:rPr>
        <w:t>(</w:t>
      </w:r>
      <w:r w:rsidRPr="00B361C9">
        <w:rPr>
          <w:rFonts w:cs="Times New Roman"/>
          <w:sz w:val="22"/>
        </w:rPr>
        <w:t>1975</w:t>
      </w:r>
      <w:r w:rsidR="000B3BD0">
        <w:rPr>
          <w:rFonts w:cs="Times New Roman"/>
          <w:sz w:val="22"/>
        </w:rPr>
        <w:t>)</w:t>
      </w:r>
      <w:r w:rsidRPr="00B361C9">
        <w:rPr>
          <w:rFonts w:cs="Times New Roman"/>
          <w:sz w:val="22"/>
        </w:rPr>
        <w:t xml:space="preserve">, 643-654. </w:t>
      </w:r>
    </w:p>
    <w:p w:rsidR="009F72FE" w:rsidRDefault="00CB1814" w:rsidP="006F78CC">
      <w:pPr>
        <w:tabs>
          <w:tab w:val="left" w:pos="720"/>
        </w:tabs>
        <w:spacing w:line="240" w:lineRule="auto"/>
        <w:ind w:left="720" w:hanging="720"/>
        <w:contextualSpacing/>
        <w:rPr>
          <w:rFonts w:cs="Times New Roman"/>
          <w:sz w:val="22"/>
        </w:rPr>
      </w:pPr>
      <w:r w:rsidRPr="009E0EAB">
        <w:rPr>
          <w:rFonts w:cs="Times New Roman"/>
          <w:sz w:val="22"/>
        </w:rPr>
        <w:t>[</w:t>
      </w:r>
      <w:r w:rsidR="00F54160">
        <w:rPr>
          <w:rFonts w:cs="Times New Roman"/>
          <w:sz w:val="22"/>
        </w:rPr>
        <w:t>13</w:t>
      </w:r>
      <w:r w:rsidRPr="009E0EAB">
        <w:rPr>
          <w:rFonts w:cs="Times New Roman"/>
          <w:sz w:val="22"/>
        </w:rPr>
        <w:t>]</w:t>
      </w:r>
      <w:r w:rsidR="000A3688">
        <w:rPr>
          <w:rFonts w:cs="Times New Roman"/>
          <w:sz w:val="22"/>
        </w:rPr>
        <w:tab/>
      </w:r>
      <w:r w:rsidRPr="006F78CC">
        <w:rPr>
          <w:rFonts w:cs="Times New Roman"/>
          <w:caps/>
          <w:sz w:val="22"/>
        </w:rPr>
        <w:t>Lujan</w:t>
      </w:r>
      <w:r w:rsidR="000B34FA">
        <w:rPr>
          <w:rFonts w:cs="Times New Roman"/>
          <w:caps/>
          <w:sz w:val="22"/>
        </w:rPr>
        <w:t xml:space="preserve">, </w:t>
      </w:r>
      <w:r w:rsidR="000B34FA" w:rsidRPr="009770EF">
        <w:rPr>
          <w:rFonts w:cs="Times New Roman"/>
          <w:caps/>
          <w:sz w:val="22"/>
        </w:rPr>
        <w:t>E.J.</w:t>
      </w:r>
      <w:r w:rsidRPr="006F78CC">
        <w:rPr>
          <w:rFonts w:cs="Times New Roman"/>
          <w:caps/>
          <w:sz w:val="22"/>
        </w:rPr>
        <w:t>,</w:t>
      </w:r>
      <w:r w:rsidR="005D5328">
        <w:rPr>
          <w:rFonts w:cs="Times New Roman"/>
          <w:caps/>
          <w:sz w:val="22"/>
        </w:rPr>
        <w:t xml:space="preserve"> </w:t>
      </w:r>
      <w:r w:rsidR="005D5328" w:rsidRPr="006F78CC">
        <w:rPr>
          <w:rFonts w:cs="Times New Roman"/>
          <w:sz w:val="22"/>
        </w:rPr>
        <w:t>et. al.</w:t>
      </w:r>
      <w:r w:rsidRPr="009E0EAB">
        <w:rPr>
          <w:rFonts w:cs="Times New Roman"/>
          <w:sz w:val="22"/>
        </w:rPr>
        <w:t xml:space="preserve"> “Re-Packaging of Certified Reference Materials (CRM)</w:t>
      </w:r>
      <w:r w:rsidR="005D5328">
        <w:rPr>
          <w:rFonts w:cs="Times New Roman"/>
          <w:sz w:val="22"/>
        </w:rPr>
        <w:t>,</w:t>
      </w:r>
      <w:r w:rsidRPr="009E0EAB">
        <w:rPr>
          <w:rFonts w:cs="Times New Roman"/>
          <w:sz w:val="22"/>
        </w:rPr>
        <w:t>”</w:t>
      </w:r>
      <w:r w:rsidR="005D5328">
        <w:rPr>
          <w:rFonts w:cs="Times New Roman"/>
          <w:sz w:val="22"/>
        </w:rPr>
        <w:t xml:space="preserve"> Rep. </w:t>
      </w:r>
      <w:r w:rsidRPr="009E0EAB">
        <w:rPr>
          <w:rFonts w:cs="Times New Roman"/>
          <w:sz w:val="22"/>
        </w:rPr>
        <w:t xml:space="preserve">LA-UR-09-4297, </w:t>
      </w:r>
      <w:r w:rsidR="005D5328">
        <w:rPr>
          <w:rFonts w:cs="Times New Roman"/>
          <w:sz w:val="22"/>
        </w:rPr>
        <w:t>Los Alamos National Laboratory, NM (</w:t>
      </w:r>
      <w:r w:rsidRPr="009E0EAB">
        <w:rPr>
          <w:rFonts w:cs="Times New Roman"/>
          <w:sz w:val="22"/>
        </w:rPr>
        <w:t>2009</w:t>
      </w:r>
      <w:r w:rsidR="005D5328">
        <w:rPr>
          <w:rFonts w:cs="Times New Roman"/>
          <w:sz w:val="22"/>
        </w:rPr>
        <w:t>).</w:t>
      </w:r>
    </w:p>
    <w:p w:rsidR="00CB1814" w:rsidRPr="009E0EAB" w:rsidRDefault="00CB1814" w:rsidP="006F78CC">
      <w:pPr>
        <w:tabs>
          <w:tab w:val="left" w:pos="720"/>
        </w:tabs>
        <w:spacing w:line="240" w:lineRule="auto"/>
        <w:ind w:left="720" w:hanging="720"/>
        <w:contextualSpacing/>
        <w:rPr>
          <w:rFonts w:cs="Times New Roman"/>
          <w:sz w:val="22"/>
        </w:rPr>
      </w:pPr>
      <w:r w:rsidRPr="009E0EAB">
        <w:rPr>
          <w:rFonts w:cs="Times New Roman"/>
          <w:sz w:val="22"/>
        </w:rPr>
        <w:t>[</w:t>
      </w:r>
      <w:r w:rsidR="00F54160">
        <w:rPr>
          <w:rFonts w:cs="Times New Roman"/>
          <w:sz w:val="22"/>
        </w:rPr>
        <w:t>14]</w:t>
      </w:r>
      <w:r w:rsidR="000A3688">
        <w:rPr>
          <w:rFonts w:cs="Times New Roman"/>
          <w:sz w:val="22"/>
        </w:rPr>
        <w:tab/>
      </w:r>
      <w:r w:rsidR="005D5328" w:rsidRPr="006F78CC">
        <w:rPr>
          <w:rFonts w:cs="Times New Roman"/>
          <w:caps/>
          <w:sz w:val="22"/>
        </w:rPr>
        <w:t>Zebrowski, J.P., Orlowicz, G.J., Johnson, K.D., Smith, M.M., Soriano, M.D.,</w:t>
      </w:r>
      <w:r w:rsidR="005D5328">
        <w:rPr>
          <w:rFonts w:cs="Times New Roman"/>
          <w:sz w:val="22"/>
        </w:rPr>
        <w:t xml:space="preserve"> </w:t>
      </w:r>
      <w:r w:rsidRPr="009E0EAB">
        <w:rPr>
          <w:rFonts w:cs="Times New Roman"/>
          <w:sz w:val="22"/>
        </w:rPr>
        <w:t>“Evaluation on the Use of Cerium in the NBL Titrimetric Method</w:t>
      </w:r>
      <w:r w:rsidR="005D5328">
        <w:rPr>
          <w:rFonts w:cs="Times New Roman"/>
          <w:sz w:val="22"/>
        </w:rPr>
        <w:t>,</w:t>
      </w:r>
      <w:r w:rsidRPr="009E0EAB">
        <w:rPr>
          <w:rFonts w:cs="Times New Roman"/>
          <w:sz w:val="22"/>
        </w:rPr>
        <w:t xml:space="preserve">” </w:t>
      </w:r>
      <w:r w:rsidR="005D5328">
        <w:rPr>
          <w:rFonts w:cs="Times New Roman"/>
          <w:sz w:val="22"/>
        </w:rPr>
        <w:t>Rep.</w:t>
      </w:r>
      <w:r w:rsidR="000B3BD0">
        <w:rPr>
          <w:rFonts w:cs="Times New Roman"/>
          <w:sz w:val="22"/>
        </w:rPr>
        <w:t xml:space="preserve"> </w:t>
      </w:r>
      <w:r w:rsidR="005D5328">
        <w:rPr>
          <w:rFonts w:cs="Times New Roman"/>
          <w:sz w:val="22"/>
        </w:rPr>
        <w:t>NBL-</w:t>
      </w:r>
      <w:r w:rsidRPr="009E0EAB">
        <w:rPr>
          <w:rFonts w:cs="Times New Roman"/>
          <w:sz w:val="22"/>
        </w:rPr>
        <w:t>332,</w:t>
      </w:r>
      <w:r w:rsidR="005D5328">
        <w:rPr>
          <w:rFonts w:cs="Times New Roman"/>
          <w:sz w:val="22"/>
        </w:rPr>
        <w:t xml:space="preserve"> </w:t>
      </w:r>
      <w:r w:rsidR="005D5328" w:rsidRPr="009E0EAB">
        <w:rPr>
          <w:rFonts w:cs="Times New Roman"/>
          <w:sz w:val="22"/>
        </w:rPr>
        <w:t>New Brunswick Laboratory</w:t>
      </w:r>
      <w:r w:rsidR="00497F4F">
        <w:rPr>
          <w:rFonts w:cs="Times New Roman"/>
          <w:sz w:val="22"/>
        </w:rPr>
        <w:t>, IL</w:t>
      </w:r>
      <w:r w:rsidRPr="009E0EAB">
        <w:rPr>
          <w:rFonts w:cs="Times New Roman"/>
          <w:sz w:val="22"/>
        </w:rPr>
        <w:t xml:space="preserve"> </w:t>
      </w:r>
      <w:r w:rsidR="005D5328">
        <w:rPr>
          <w:rFonts w:cs="Times New Roman"/>
          <w:sz w:val="22"/>
        </w:rPr>
        <w:t>(</w:t>
      </w:r>
      <w:r w:rsidRPr="009E0EAB">
        <w:rPr>
          <w:rFonts w:cs="Times New Roman"/>
          <w:sz w:val="22"/>
        </w:rPr>
        <w:t>1995</w:t>
      </w:r>
      <w:r w:rsidR="005D5328">
        <w:rPr>
          <w:rFonts w:cs="Times New Roman"/>
          <w:sz w:val="22"/>
        </w:rPr>
        <w:t>).</w:t>
      </w:r>
    </w:p>
    <w:p w:rsidR="00CB1814" w:rsidRPr="00B361C9" w:rsidRDefault="00CB1814" w:rsidP="006F78CC">
      <w:pPr>
        <w:tabs>
          <w:tab w:val="left" w:pos="720"/>
        </w:tabs>
        <w:spacing w:line="240" w:lineRule="auto"/>
        <w:ind w:left="720" w:hanging="720"/>
        <w:contextualSpacing/>
        <w:rPr>
          <w:rFonts w:cs="Times New Roman"/>
          <w:sz w:val="22"/>
        </w:rPr>
      </w:pPr>
      <w:r w:rsidRPr="009E0EAB">
        <w:rPr>
          <w:rFonts w:cs="Times New Roman"/>
          <w:sz w:val="22"/>
        </w:rPr>
        <w:t>[</w:t>
      </w:r>
      <w:r w:rsidR="00F54160">
        <w:rPr>
          <w:rFonts w:cs="Times New Roman"/>
          <w:sz w:val="22"/>
        </w:rPr>
        <w:t>15]</w:t>
      </w:r>
      <w:r w:rsidR="000A3688">
        <w:rPr>
          <w:rFonts w:cs="Times New Roman"/>
          <w:sz w:val="22"/>
        </w:rPr>
        <w:tab/>
      </w:r>
      <w:r w:rsidRPr="009E0EAB">
        <w:rPr>
          <w:rFonts w:cs="Times New Roman"/>
          <w:sz w:val="22"/>
        </w:rPr>
        <w:t>WALLENIUS,</w:t>
      </w:r>
      <w:r w:rsidR="005D5328" w:rsidRPr="005D5328">
        <w:rPr>
          <w:rFonts w:cs="Times New Roman"/>
          <w:sz w:val="22"/>
        </w:rPr>
        <w:t xml:space="preserve"> </w:t>
      </w:r>
      <w:r w:rsidR="005D5328" w:rsidRPr="009E0EAB">
        <w:rPr>
          <w:rFonts w:cs="Times New Roman"/>
          <w:sz w:val="22"/>
        </w:rPr>
        <w:t>M.</w:t>
      </w:r>
      <w:r w:rsidR="005D5328">
        <w:rPr>
          <w:rFonts w:cs="Times New Roman"/>
          <w:sz w:val="22"/>
        </w:rPr>
        <w:t>,</w:t>
      </w:r>
      <w:r w:rsidRPr="009E0EAB">
        <w:rPr>
          <w:rFonts w:cs="Times New Roman"/>
          <w:sz w:val="22"/>
        </w:rPr>
        <w:t xml:space="preserve"> MAYER</w:t>
      </w:r>
      <w:r w:rsidR="005D5328">
        <w:rPr>
          <w:rFonts w:cs="Times New Roman"/>
          <w:sz w:val="22"/>
        </w:rPr>
        <w:t xml:space="preserve">, </w:t>
      </w:r>
      <w:r w:rsidR="005D5328" w:rsidRPr="009E0EAB">
        <w:rPr>
          <w:rFonts w:cs="Times New Roman"/>
          <w:sz w:val="22"/>
        </w:rPr>
        <w:t>K.</w:t>
      </w:r>
      <w:r w:rsidRPr="009E0EAB">
        <w:rPr>
          <w:rFonts w:cs="Times New Roman"/>
          <w:sz w:val="22"/>
        </w:rPr>
        <w:t>, RAY,</w:t>
      </w:r>
      <w:r w:rsidR="005D5328" w:rsidRPr="009E0EAB">
        <w:rPr>
          <w:rFonts w:cs="Times New Roman"/>
          <w:sz w:val="22"/>
        </w:rPr>
        <w:t xml:space="preserve"> I.</w:t>
      </w:r>
      <w:r w:rsidR="005D5328">
        <w:rPr>
          <w:rFonts w:cs="Times New Roman"/>
          <w:sz w:val="22"/>
        </w:rPr>
        <w:t>,</w:t>
      </w:r>
      <w:r w:rsidRPr="009E0EAB">
        <w:rPr>
          <w:rFonts w:cs="Times New Roman"/>
          <w:sz w:val="22"/>
        </w:rPr>
        <w:t xml:space="preserve"> Forensic Sci. Intern., </w:t>
      </w:r>
      <w:r w:rsidRPr="006F78CC">
        <w:rPr>
          <w:rFonts w:cs="Times New Roman"/>
          <w:b/>
          <w:sz w:val="22"/>
        </w:rPr>
        <w:t xml:space="preserve">156 </w:t>
      </w:r>
      <w:r w:rsidRPr="009E0EAB">
        <w:rPr>
          <w:rFonts w:cs="Times New Roman"/>
          <w:sz w:val="22"/>
        </w:rPr>
        <w:t xml:space="preserve">(2006) 55. </w:t>
      </w:r>
    </w:p>
    <w:p w:rsidR="0054223D" w:rsidRPr="00B361C9" w:rsidRDefault="008303BA" w:rsidP="006F78CC">
      <w:pPr>
        <w:tabs>
          <w:tab w:val="left" w:pos="720"/>
        </w:tabs>
        <w:spacing w:line="240" w:lineRule="auto"/>
        <w:ind w:left="720" w:hanging="720"/>
        <w:contextualSpacing/>
        <w:rPr>
          <w:rFonts w:cs="Times New Roman"/>
          <w:sz w:val="22"/>
        </w:rPr>
      </w:pPr>
      <w:r w:rsidRPr="00B361C9">
        <w:rPr>
          <w:rFonts w:cs="Times New Roman"/>
          <w:sz w:val="22"/>
        </w:rPr>
        <w:t>[</w:t>
      </w:r>
      <w:r w:rsidR="00F54160">
        <w:rPr>
          <w:rFonts w:cs="Times New Roman"/>
          <w:sz w:val="22"/>
        </w:rPr>
        <w:t>16]</w:t>
      </w:r>
      <w:r>
        <w:rPr>
          <w:rFonts w:cs="Times New Roman"/>
          <w:sz w:val="22"/>
        </w:rPr>
        <w:tab/>
      </w:r>
      <w:r w:rsidRPr="006F78CC">
        <w:rPr>
          <w:rFonts w:cs="Times New Roman"/>
          <w:caps/>
          <w:sz w:val="22"/>
        </w:rPr>
        <w:t>Moody, K</w:t>
      </w:r>
      <w:r>
        <w:rPr>
          <w:rFonts w:cs="Times New Roman"/>
          <w:caps/>
          <w:sz w:val="22"/>
        </w:rPr>
        <w:t>.</w:t>
      </w:r>
      <w:r w:rsidRPr="006F78CC">
        <w:rPr>
          <w:rFonts w:cs="Times New Roman"/>
          <w:caps/>
          <w:sz w:val="22"/>
        </w:rPr>
        <w:t>J</w:t>
      </w:r>
      <w:r>
        <w:rPr>
          <w:rFonts w:cs="Times New Roman"/>
          <w:caps/>
          <w:sz w:val="22"/>
        </w:rPr>
        <w:t>.</w:t>
      </w:r>
      <w:r w:rsidRPr="006F78CC">
        <w:rPr>
          <w:rFonts w:cs="Times New Roman"/>
          <w:caps/>
          <w:sz w:val="22"/>
        </w:rPr>
        <w:t>, Hutcheon, I</w:t>
      </w:r>
      <w:r>
        <w:rPr>
          <w:rFonts w:cs="Times New Roman"/>
          <w:caps/>
          <w:sz w:val="22"/>
        </w:rPr>
        <w:t>.</w:t>
      </w:r>
      <w:r w:rsidRPr="006F78CC">
        <w:rPr>
          <w:rFonts w:cs="Times New Roman"/>
          <w:caps/>
          <w:sz w:val="22"/>
        </w:rPr>
        <w:t>D</w:t>
      </w:r>
      <w:r>
        <w:rPr>
          <w:rFonts w:cs="Times New Roman"/>
          <w:caps/>
          <w:sz w:val="22"/>
        </w:rPr>
        <w:t>.,</w:t>
      </w:r>
      <w:r w:rsidRPr="006F78CC">
        <w:rPr>
          <w:rFonts w:cs="Times New Roman"/>
          <w:caps/>
          <w:sz w:val="22"/>
        </w:rPr>
        <w:t>Grant, P</w:t>
      </w:r>
      <w:r>
        <w:rPr>
          <w:rFonts w:cs="Times New Roman"/>
          <w:caps/>
          <w:sz w:val="22"/>
        </w:rPr>
        <w:t>.</w:t>
      </w:r>
      <w:r w:rsidRPr="006F78CC">
        <w:rPr>
          <w:rFonts w:cs="Times New Roman"/>
          <w:caps/>
          <w:sz w:val="22"/>
        </w:rPr>
        <w:t>M</w:t>
      </w:r>
      <w:r>
        <w:rPr>
          <w:rFonts w:cs="Times New Roman"/>
          <w:caps/>
          <w:sz w:val="22"/>
        </w:rPr>
        <w:t>.</w:t>
      </w:r>
      <w:r w:rsidRPr="00B361C9">
        <w:rPr>
          <w:rFonts w:cs="Times New Roman"/>
          <w:sz w:val="22"/>
        </w:rPr>
        <w:t xml:space="preserve"> </w:t>
      </w:r>
      <w:r>
        <w:rPr>
          <w:rFonts w:cs="Times New Roman"/>
          <w:sz w:val="22"/>
        </w:rPr>
        <w:t>“</w:t>
      </w:r>
      <w:r w:rsidRPr="006F78CC">
        <w:rPr>
          <w:rFonts w:cs="Times New Roman"/>
          <w:sz w:val="22"/>
        </w:rPr>
        <w:t>Nuclear forensic Analysis,</w:t>
      </w:r>
      <w:r>
        <w:rPr>
          <w:rFonts w:cs="Times New Roman"/>
          <w:sz w:val="22"/>
        </w:rPr>
        <w:t>”</w:t>
      </w:r>
      <w:r w:rsidRPr="00B361C9">
        <w:rPr>
          <w:rFonts w:cs="Times New Roman"/>
          <w:sz w:val="22"/>
        </w:rPr>
        <w:t xml:space="preserve"> CRC Press, Taylor &amp; Francis Group,</w:t>
      </w:r>
      <w:r>
        <w:rPr>
          <w:rFonts w:cs="Times New Roman"/>
          <w:sz w:val="22"/>
        </w:rPr>
        <w:t xml:space="preserve"> Boca Raton, FL (</w:t>
      </w:r>
      <w:r w:rsidRPr="00B361C9">
        <w:rPr>
          <w:rFonts w:cs="Times New Roman"/>
          <w:sz w:val="22"/>
        </w:rPr>
        <w:t>2005</w:t>
      </w:r>
      <w:r>
        <w:rPr>
          <w:rFonts w:cs="Times New Roman"/>
          <w:sz w:val="22"/>
        </w:rPr>
        <w:t>)</w:t>
      </w:r>
      <w:r w:rsidRPr="00B361C9">
        <w:rPr>
          <w:rFonts w:cs="Times New Roman"/>
          <w:sz w:val="22"/>
        </w:rPr>
        <w:t>.</w:t>
      </w:r>
    </w:p>
    <w:p w:rsidR="0054223D" w:rsidRDefault="0054223D" w:rsidP="006F78CC">
      <w:pPr>
        <w:tabs>
          <w:tab w:val="left" w:pos="720"/>
        </w:tabs>
        <w:spacing w:line="240" w:lineRule="auto"/>
        <w:ind w:left="720" w:hanging="720"/>
        <w:contextualSpacing/>
        <w:rPr>
          <w:rFonts w:cs="Times New Roman"/>
          <w:sz w:val="22"/>
        </w:rPr>
      </w:pPr>
      <w:r w:rsidRPr="00B361C9">
        <w:rPr>
          <w:rFonts w:cs="Times New Roman"/>
          <w:sz w:val="22"/>
        </w:rPr>
        <w:t>[</w:t>
      </w:r>
      <w:r w:rsidR="00F54160">
        <w:rPr>
          <w:rFonts w:cs="Times New Roman"/>
          <w:sz w:val="22"/>
        </w:rPr>
        <w:t>17]</w:t>
      </w:r>
      <w:r w:rsidR="000A3688">
        <w:rPr>
          <w:rFonts w:cs="Times New Roman"/>
          <w:sz w:val="22"/>
        </w:rPr>
        <w:tab/>
      </w:r>
      <w:r w:rsidRPr="006F78CC">
        <w:rPr>
          <w:rFonts w:cs="Times New Roman"/>
          <w:caps/>
          <w:sz w:val="22"/>
        </w:rPr>
        <w:t>Mayer, K</w:t>
      </w:r>
      <w:r w:rsidR="005D5328">
        <w:rPr>
          <w:rFonts w:cs="Times New Roman"/>
          <w:caps/>
          <w:sz w:val="22"/>
        </w:rPr>
        <w:t>.,</w:t>
      </w:r>
      <w:r w:rsidR="005D5328" w:rsidRPr="006F78CC">
        <w:rPr>
          <w:rFonts w:cs="Times New Roman"/>
          <w:caps/>
          <w:sz w:val="22"/>
        </w:rPr>
        <w:t xml:space="preserve"> </w:t>
      </w:r>
      <w:r w:rsidRPr="006F78CC">
        <w:rPr>
          <w:rFonts w:cs="Times New Roman"/>
          <w:caps/>
          <w:sz w:val="22"/>
        </w:rPr>
        <w:t>Wallenius, M</w:t>
      </w:r>
      <w:r w:rsidR="005D5328">
        <w:rPr>
          <w:rFonts w:cs="Times New Roman"/>
          <w:caps/>
          <w:sz w:val="22"/>
        </w:rPr>
        <w:t>.,</w:t>
      </w:r>
      <w:r w:rsidR="005D5328" w:rsidRPr="006F78CC">
        <w:rPr>
          <w:rFonts w:cs="Times New Roman"/>
          <w:caps/>
          <w:sz w:val="22"/>
        </w:rPr>
        <w:t xml:space="preserve"> </w:t>
      </w:r>
      <w:r w:rsidRPr="006F78CC">
        <w:rPr>
          <w:rFonts w:cs="Times New Roman"/>
          <w:caps/>
          <w:sz w:val="22"/>
        </w:rPr>
        <w:t>Fanghanel, T</w:t>
      </w:r>
      <w:r w:rsidR="005D5328">
        <w:rPr>
          <w:rFonts w:cs="Times New Roman"/>
          <w:caps/>
          <w:sz w:val="22"/>
        </w:rPr>
        <w:t>.,</w:t>
      </w:r>
      <w:r w:rsidRPr="00B361C9">
        <w:rPr>
          <w:rFonts w:cs="Times New Roman"/>
          <w:sz w:val="22"/>
        </w:rPr>
        <w:t xml:space="preserve"> “Nuclear forensic science—From cradle to maturity,” </w:t>
      </w:r>
      <w:r w:rsidRPr="006F78CC">
        <w:rPr>
          <w:rFonts w:cs="Times New Roman"/>
          <w:sz w:val="22"/>
        </w:rPr>
        <w:t>J. Alloy</w:t>
      </w:r>
      <w:r w:rsidR="00FF214C">
        <w:rPr>
          <w:rFonts w:cs="Times New Roman"/>
          <w:sz w:val="22"/>
        </w:rPr>
        <w:t>.</w:t>
      </w:r>
      <w:r w:rsidRPr="006F78CC">
        <w:rPr>
          <w:rFonts w:cs="Times New Roman"/>
          <w:sz w:val="22"/>
        </w:rPr>
        <w:t xml:space="preserve"> Cmpd</w:t>
      </w:r>
      <w:r w:rsidRPr="00B361C9">
        <w:rPr>
          <w:rFonts w:cs="Times New Roman"/>
          <w:i/>
          <w:sz w:val="22"/>
        </w:rPr>
        <w:t>.,</w:t>
      </w:r>
      <w:r w:rsidRPr="00B361C9">
        <w:rPr>
          <w:rFonts w:cs="Times New Roman"/>
          <w:sz w:val="22"/>
        </w:rPr>
        <w:t xml:space="preserve"> </w:t>
      </w:r>
      <w:r w:rsidRPr="006F78CC">
        <w:rPr>
          <w:rFonts w:cs="Times New Roman"/>
          <w:b/>
          <w:sz w:val="22"/>
        </w:rPr>
        <w:t>444-445</w:t>
      </w:r>
      <w:r w:rsidRPr="00B361C9">
        <w:rPr>
          <w:rFonts w:cs="Times New Roman"/>
          <w:sz w:val="22"/>
        </w:rPr>
        <w:t xml:space="preserve"> </w:t>
      </w:r>
      <w:r w:rsidR="00FF214C">
        <w:rPr>
          <w:rFonts w:cs="Times New Roman"/>
          <w:sz w:val="22"/>
        </w:rPr>
        <w:t>(</w:t>
      </w:r>
      <w:r w:rsidR="00FF214C" w:rsidRPr="00B361C9">
        <w:rPr>
          <w:rFonts w:cs="Times New Roman"/>
          <w:sz w:val="22"/>
        </w:rPr>
        <w:t>2007</w:t>
      </w:r>
      <w:r w:rsidR="00FF214C">
        <w:rPr>
          <w:rFonts w:cs="Times New Roman"/>
          <w:sz w:val="22"/>
        </w:rPr>
        <w:t xml:space="preserve">) </w:t>
      </w:r>
      <w:r w:rsidRPr="00B361C9">
        <w:rPr>
          <w:rFonts w:cs="Times New Roman"/>
          <w:sz w:val="22"/>
        </w:rPr>
        <w:t>50-56.</w:t>
      </w:r>
    </w:p>
    <w:p w:rsidR="009F72FE" w:rsidRDefault="009F72FE" w:rsidP="006F78CC">
      <w:pPr>
        <w:tabs>
          <w:tab w:val="left" w:pos="720"/>
        </w:tabs>
        <w:spacing w:line="240" w:lineRule="auto"/>
        <w:ind w:left="720" w:hanging="720"/>
        <w:contextualSpacing/>
        <w:rPr>
          <w:rFonts w:cs="Times New Roman"/>
          <w:sz w:val="22"/>
        </w:rPr>
      </w:pPr>
      <w:r w:rsidRPr="00B361C9">
        <w:rPr>
          <w:rFonts w:cs="Times New Roman"/>
          <w:sz w:val="22"/>
        </w:rPr>
        <w:t>[</w:t>
      </w:r>
      <w:r w:rsidR="00F54160">
        <w:rPr>
          <w:rFonts w:cs="Times New Roman"/>
          <w:sz w:val="22"/>
        </w:rPr>
        <w:t>18]</w:t>
      </w:r>
      <w:r w:rsidR="000A3688">
        <w:rPr>
          <w:rFonts w:cs="Times New Roman"/>
          <w:sz w:val="22"/>
        </w:rPr>
        <w:tab/>
      </w:r>
      <w:r w:rsidR="00EC0968">
        <w:rPr>
          <w:rFonts w:cs="Times New Roman"/>
          <w:sz w:val="22"/>
        </w:rPr>
        <w:t xml:space="preserve">UNITED STATES </w:t>
      </w:r>
      <w:r w:rsidRPr="00B361C9">
        <w:rPr>
          <w:rFonts w:cs="Times New Roman"/>
          <w:sz w:val="22"/>
        </w:rPr>
        <w:t>D</w:t>
      </w:r>
      <w:r w:rsidR="00EC0968">
        <w:rPr>
          <w:rFonts w:cs="Times New Roman"/>
          <w:sz w:val="22"/>
        </w:rPr>
        <w:t>EPARTEMENT OF ENERGY, DOE</w:t>
      </w:r>
      <w:r w:rsidRPr="00B361C9">
        <w:rPr>
          <w:rFonts w:cs="Times New Roman"/>
          <w:sz w:val="22"/>
        </w:rPr>
        <w:t xml:space="preserve"> Manual 474.1-1,</w:t>
      </w:r>
      <w:r w:rsidR="00EC0968">
        <w:rPr>
          <w:rFonts w:cs="Times New Roman"/>
          <w:sz w:val="22"/>
        </w:rPr>
        <w:t xml:space="preserve"> </w:t>
      </w:r>
      <w:r w:rsidR="00EC0968" w:rsidRPr="00B361C9">
        <w:rPr>
          <w:rFonts w:cs="Times New Roman"/>
          <w:sz w:val="22"/>
        </w:rPr>
        <w:t>Chapter II.4.e (7)</w:t>
      </w:r>
      <w:r w:rsidR="005D5328">
        <w:rPr>
          <w:rFonts w:cs="Times New Roman"/>
          <w:sz w:val="22"/>
        </w:rPr>
        <w:t>,</w:t>
      </w:r>
      <w:r w:rsidRPr="00B361C9">
        <w:rPr>
          <w:rFonts w:cs="Times New Roman"/>
          <w:sz w:val="22"/>
        </w:rPr>
        <w:t xml:space="preserve"> </w:t>
      </w:r>
      <w:r w:rsidR="00EC0968">
        <w:rPr>
          <w:rFonts w:cs="Times New Roman"/>
          <w:sz w:val="22"/>
        </w:rPr>
        <w:t>(</w:t>
      </w:r>
      <w:r w:rsidRPr="00B361C9">
        <w:rPr>
          <w:rFonts w:cs="Times New Roman"/>
          <w:sz w:val="22"/>
        </w:rPr>
        <w:t>2000</w:t>
      </w:r>
      <w:r w:rsidR="00EC0968">
        <w:rPr>
          <w:rFonts w:cs="Times New Roman"/>
          <w:sz w:val="22"/>
        </w:rPr>
        <w:t>).</w:t>
      </w:r>
      <w:r w:rsidRPr="00B361C9">
        <w:rPr>
          <w:rFonts w:cs="Times New Roman"/>
          <w:sz w:val="22"/>
        </w:rPr>
        <w:t xml:space="preserve"> </w:t>
      </w:r>
    </w:p>
    <w:sectPr w:rsidR="009F72FE" w:rsidSect="00563A49">
      <w:footerReference w:type="even" r:id="rId13"/>
      <w:footerReference w:type="default" r:id="rId14"/>
      <w:pgSz w:w="11907" w:h="16839" w:code="9"/>
      <w:pgMar w:top="1138" w:right="1440" w:bottom="15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22D" w:rsidRDefault="003A322D" w:rsidP="00784CD7">
      <w:pPr>
        <w:spacing w:after="0" w:line="240" w:lineRule="auto"/>
      </w:pPr>
      <w:r>
        <w:separator/>
      </w:r>
    </w:p>
  </w:endnote>
  <w:endnote w:type="continuationSeparator" w:id="0">
    <w:p w:rsidR="003A322D" w:rsidRDefault="003A322D" w:rsidP="00784CD7">
      <w:pPr>
        <w:spacing w:after="0" w:line="240" w:lineRule="auto"/>
      </w:pPr>
      <w:r>
        <w:continuationSeparator/>
      </w:r>
    </w:p>
  </w:endnote>
  <w:endnote w:type="continuationNotice" w:id="1">
    <w:p w:rsidR="003A322D" w:rsidRDefault="003A32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461553"/>
      <w:docPartObj>
        <w:docPartGallery w:val="Page Numbers (Bottom of Page)"/>
        <w:docPartUnique/>
      </w:docPartObj>
    </w:sdtPr>
    <w:sdtEndPr>
      <w:rPr>
        <w:noProof/>
      </w:rPr>
    </w:sdtEndPr>
    <w:sdtContent>
      <w:p w:rsidR="00131A45" w:rsidRDefault="00131A45">
        <w:pPr>
          <w:pStyle w:val="Footer"/>
        </w:pPr>
        <w:r>
          <w:fldChar w:fldCharType="begin"/>
        </w:r>
        <w:r>
          <w:instrText xml:space="preserve"> PAGE   \* MERGEFORMAT </w:instrText>
        </w:r>
        <w:r>
          <w:fldChar w:fldCharType="separate"/>
        </w:r>
        <w:r w:rsidR="00717E95">
          <w:rPr>
            <w:noProof/>
          </w:rPr>
          <w:t>10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233142"/>
      <w:docPartObj>
        <w:docPartGallery w:val="Page Numbers (Bottom of Page)"/>
        <w:docPartUnique/>
      </w:docPartObj>
    </w:sdtPr>
    <w:sdtEndPr>
      <w:rPr>
        <w:noProof/>
      </w:rPr>
    </w:sdtEndPr>
    <w:sdtContent>
      <w:p w:rsidR="00131A45" w:rsidRDefault="00131A45">
        <w:pPr>
          <w:pStyle w:val="Footer"/>
          <w:jc w:val="right"/>
        </w:pPr>
        <w:r>
          <w:fldChar w:fldCharType="begin"/>
        </w:r>
        <w:r>
          <w:instrText xml:space="preserve"> PAGE   \* MERGEFORMAT </w:instrText>
        </w:r>
        <w:r>
          <w:fldChar w:fldCharType="separate"/>
        </w:r>
        <w:r w:rsidR="00717E95">
          <w:rPr>
            <w:noProof/>
          </w:rPr>
          <w:t>1</w:t>
        </w:r>
        <w:r>
          <w:rPr>
            <w:noProof/>
          </w:rPr>
          <w:fldChar w:fldCharType="end"/>
        </w:r>
      </w:p>
    </w:sdtContent>
  </w:sdt>
  <w:p w:rsidR="00131A45" w:rsidRDefault="00131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22D" w:rsidRDefault="003A322D" w:rsidP="00784CD7">
      <w:pPr>
        <w:spacing w:after="0" w:line="240" w:lineRule="auto"/>
      </w:pPr>
      <w:r>
        <w:separator/>
      </w:r>
    </w:p>
  </w:footnote>
  <w:footnote w:type="continuationSeparator" w:id="0">
    <w:p w:rsidR="003A322D" w:rsidRDefault="003A322D" w:rsidP="00784CD7">
      <w:pPr>
        <w:spacing w:after="0" w:line="240" w:lineRule="auto"/>
      </w:pPr>
      <w:r>
        <w:continuationSeparator/>
      </w:r>
    </w:p>
  </w:footnote>
  <w:footnote w:type="continuationNotice" w:id="1">
    <w:p w:rsidR="003A322D" w:rsidRDefault="003A322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7E98"/>
    <w:multiLevelType w:val="hybridMultilevel"/>
    <w:tmpl w:val="6D40D3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646E6"/>
    <w:multiLevelType w:val="multilevel"/>
    <w:tmpl w:val="3B6C248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63C1162"/>
    <w:multiLevelType w:val="multilevel"/>
    <w:tmpl w:val="EF58A6C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67020605"/>
    <w:multiLevelType w:val="hybridMultilevel"/>
    <w:tmpl w:val="75D027EC"/>
    <w:lvl w:ilvl="0" w:tplc="E9F294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A6"/>
    <w:rsid w:val="00003F76"/>
    <w:rsid w:val="00003F92"/>
    <w:rsid w:val="00012405"/>
    <w:rsid w:val="000165A1"/>
    <w:rsid w:val="00020824"/>
    <w:rsid w:val="00020B06"/>
    <w:rsid w:val="000248B0"/>
    <w:rsid w:val="00031D56"/>
    <w:rsid w:val="00036BDC"/>
    <w:rsid w:val="00036DD4"/>
    <w:rsid w:val="000410A6"/>
    <w:rsid w:val="00045C84"/>
    <w:rsid w:val="00052D14"/>
    <w:rsid w:val="00061E72"/>
    <w:rsid w:val="000645FA"/>
    <w:rsid w:val="00064AAF"/>
    <w:rsid w:val="00072E3A"/>
    <w:rsid w:val="00073C64"/>
    <w:rsid w:val="000748CF"/>
    <w:rsid w:val="00075A0C"/>
    <w:rsid w:val="000A3688"/>
    <w:rsid w:val="000A61AE"/>
    <w:rsid w:val="000B34FA"/>
    <w:rsid w:val="000B3BD0"/>
    <w:rsid w:val="000C3683"/>
    <w:rsid w:val="000C6D6F"/>
    <w:rsid w:val="000C7ABC"/>
    <w:rsid w:val="000E2D45"/>
    <w:rsid w:val="000F2AEB"/>
    <w:rsid w:val="000F4432"/>
    <w:rsid w:val="000F48C5"/>
    <w:rsid w:val="00101C2A"/>
    <w:rsid w:val="00102840"/>
    <w:rsid w:val="00110355"/>
    <w:rsid w:val="00111B43"/>
    <w:rsid w:val="00113CFD"/>
    <w:rsid w:val="00120438"/>
    <w:rsid w:val="0012135F"/>
    <w:rsid w:val="001214EC"/>
    <w:rsid w:val="001227BC"/>
    <w:rsid w:val="00123461"/>
    <w:rsid w:val="00123C73"/>
    <w:rsid w:val="001273A3"/>
    <w:rsid w:val="00130FC5"/>
    <w:rsid w:val="00131A45"/>
    <w:rsid w:val="001377CF"/>
    <w:rsid w:val="00137812"/>
    <w:rsid w:val="00146405"/>
    <w:rsid w:val="00150A4E"/>
    <w:rsid w:val="001523F6"/>
    <w:rsid w:val="00153A99"/>
    <w:rsid w:val="00162E5F"/>
    <w:rsid w:val="001643DA"/>
    <w:rsid w:val="001655AE"/>
    <w:rsid w:val="00167FC3"/>
    <w:rsid w:val="001857A9"/>
    <w:rsid w:val="00193587"/>
    <w:rsid w:val="00195850"/>
    <w:rsid w:val="00195A1E"/>
    <w:rsid w:val="00196FF7"/>
    <w:rsid w:val="00197EB0"/>
    <w:rsid w:val="001A08A4"/>
    <w:rsid w:val="001A38E3"/>
    <w:rsid w:val="001B2AD1"/>
    <w:rsid w:val="001B76D8"/>
    <w:rsid w:val="001C08B4"/>
    <w:rsid w:val="001C48A6"/>
    <w:rsid w:val="001C557C"/>
    <w:rsid w:val="001C7766"/>
    <w:rsid w:val="001D305D"/>
    <w:rsid w:val="001E189F"/>
    <w:rsid w:val="001E319E"/>
    <w:rsid w:val="001F18AA"/>
    <w:rsid w:val="00220446"/>
    <w:rsid w:val="0022696D"/>
    <w:rsid w:val="002327F9"/>
    <w:rsid w:val="00240086"/>
    <w:rsid w:val="002440DA"/>
    <w:rsid w:val="00244D82"/>
    <w:rsid w:val="0025461D"/>
    <w:rsid w:val="00262AA5"/>
    <w:rsid w:val="00263E3A"/>
    <w:rsid w:val="00270956"/>
    <w:rsid w:val="00271B01"/>
    <w:rsid w:val="0027526A"/>
    <w:rsid w:val="002755CC"/>
    <w:rsid w:val="00275ED1"/>
    <w:rsid w:val="0027762D"/>
    <w:rsid w:val="00283260"/>
    <w:rsid w:val="002856C5"/>
    <w:rsid w:val="00292AE2"/>
    <w:rsid w:val="00294B8F"/>
    <w:rsid w:val="00297A5E"/>
    <w:rsid w:val="00297C46"/>
    <w:rsid w:val="00297E06"/>
    <w:rsid w:val="002A0484"/>
    <w:rsid w:val="002A0E79"/>
    <w:rsid w:val="002A17C2"/>
    <w:rsid w:val="002A2D27"/>
    <w:rsid w:val="002B2A8D"/>
    <w:rsid w:val="002B3568"/>
    <w:rsid w:val="002C4C98"/>
    <w:rsid w:val="002D6129"/>
    <w:rsid w:val="002E480A"/>
    <w:rsid w:val="002E7085"/>
    <w:rsid w:val="002F4C0B"/>
    <w:rsid w:val="002F501D"/>
    <w:rsid w:val="002F637B"/>
    <w:rsid w:val="003048A3"/>
    <w:rsid w:val="00324851"/>
    <w:rsid w:val="00326084"/>
    <w:rsid w:val="00331446"/>
    <w:rsid w:val="00333B5B"/>
    <w:rsid w:val="00335533"/>
    <w:rsid w:val="003462A7"/>
    <w:rsid w:val="00347221"/>
    <w:rsid w:val="003541F0"/>
    <w:rsid w:val="00355294"/>
    <w:rsid w:val="0035613E"/>
    <w:rsid w:val="00357EDB"/>
    <w:rsid w:val="003613C3"/>
    <w:rsid w:val="0036360E"/>
    <w:rsid w:val="00364C16"/>
    <w:rsid w:val="00366DFF"/>
    <w:rsid w:val="00374BFF"/>
    <w:rsid w:val="00380F7F"/>
    <w:rsid w:val="0038493E"/>
    <w:rsid w:val="00390EE3"/>
    <w:rsid w:val="003927BC"/>
    <w:rsid w:val="00393C00"/>
    <w:rsid w:val="003974D5"/>
    <w:rsid w:val="00397E0E"/>
    <w:rsid w:val="003A0B54"/>
    <w:rsid w:val="003A322D"/>
    <w:rsid w:val="003A3B63"/>
    <w:rsid w:val="003A3F83"/>
    <w:rsid w:val="003B0D91"/>
    <w:rsid w:val="003B5A44"/>
    <w:rsid w:val="003C1551"/>
    <w:rsid w:val="003E1BEC"/>
    <w:rsid w:val="003E754E"/>
    <w:rsid w:val="003F1F81"/>
    <w:rsid w:val="003F68F7"/>
    <w:rsid w:val="0040270E"/>
    <w:rsid w:val="00404534"/>
    <w:rsid w:val="0040492F"/>
    <w:rsid w:val="00406154"/>
    <w:rsid w:val="00406D6C"/>
    <w:rsid w:val="0041096C"/>
    <w:rsid w:val="00416FE5"/>
    <w:rsid w:val="00423583"/>
    <w:rsid w:val="004302B2"/>
    <w:rsid w:val="00430E96"/>
    <w:rsid w:val="0043224F"/>
    <w:rsid w:val="00433CB4"/>
    <w:rsid w:val="00433D57"/>
    <w:rsid w:val="004423CB"/>
    <w:rsid w:val="00442FD0"/>
    <w:rsid w:val="00452DD0"/>
    <w:rsid w:val="00454C4A"/>
    <w:rsid w:val="00455637"/>
    <w:rsid w:val="00460D63"/>
    <w:rsid w:val="004745E4"/>
    <w:rsid w:val="00476B72"/>
    <w:rsid w:val="00481A75"/>
    <w:rsid w:val="0048770C"/>
    <w:rsid w:val="004878C6"/>
    <w:rsid w:val="00497F4F"/>
    <w:rsid w:val="004A02BA"/>
    <w:rsid w:val="004B0A63"/>
    <w:rsid w:val="004B1C0D"/>
    <w:rsid w:val="004C336D"/>
    <w:rsid w:val="004C4AD5"/>
    <w:rsid w:val="004D4295"/>
    <w:rsid w:val="004E25BA"/>
    <w:rsid w:val="004E72BD"/>
    <w:rsid w:val="004F150A"/>
    <w:rsid w:val="004F21E7"/>
    <w:rsid w:val="004F4431"/>
    <w:rsid w:val="004F5013"/>
    <w:rsid w:val="0050757E"/>
    <w:rsid w:val="00525281"/>
    <w:rsid w:val="00533D63"/>
    <w:rsid w:val="0054223D"/>
    <w:rsid w:val="0054251D"/>
    <w:rsid w:val="00550A88"/>
    <w:rsid w:val="00555324"/>
    <w:rsid w:val="00563A49"/>
    <w:rsid w:val="00591253"/>
    <w:rsid w:val="005A31D9"/>
    <w:rsid w:val="005A5DB5"/>
    <w:rsid w:val="005A62F7"/>
    <w:rsid w:val="005C0BD2"/>
    <w:rsid w:val="005C45CE"/>
    <w:rsid w:val="005D2B20"/>
    <w:rsid w:val="005D5328"/>
    <w:rsid w:val="005D6EB1"/>
    <w:rsid w:val="005E0530"/>
    <w:rsid w:val="005E07CE"/>
    <w:rsid w:val="005E1E6D"/>
    <w:rsid w:val="005E21BF"/>
    <w:rsid w:val="005E425D"/>
    <w:rsid w:val="005E7CEF"/>
    <w:rsid w:val="005F15FC"/>
    <w:rsid w:val="005F17A8"/>
    <w:rsid w:val="005F2519"/>
    <w:rsid w:val="005F2F62"/>
    <w:rsid w:val="00601073"/>
    <w:rsid w:val="00604470"/>
    <w:rsid w:val="0060540B"/>
    <w:rsid w:val="006075CC"/>
    <w:rsid w:val="00613AB9"/>
    <w:rsid w:val="006144BD"/>
    <w:rsid w:val="00615635"/>
    <w:rsid w:val="00616134"/>
    <w:rsid w:val="00621B14"/>
    <w:rsid w:val="00623949"/>
    <w:rsid w:val="00627BCD"/>
    <w:rsid w:val="00635742"/>
    <w:rsid w:val="006361D9"/>
    <w:rsid w:val="006445D9"/>
    <w:rsid w:val="00647C9A"/>
    <w:rsid w:val="00653B1F"/>
    <w:rsid w:val="00653BCA"/>
    <w:rsid w:val="00654343"/>
    <w:rsid w:val="006578DF"/>
    <w:rsid w:val="006607F8"/>
    <w:rsid w:val="006629FA"/>
    <w:rsid w:val="00662C75"/>
    <w:rsid w:val="006677EB"/>
    <w:rsid w:val="00667967"/>
    <w:rsid w:val="00670891"/>
    <w:rsid w:val="00683CD1"/>
    <w:rsid w:val="006842B8"/>
    <w:rsid w:val="006906C3"/>
    <w:rsid w:val="006928DB"/>
    <w:rsid w:val="006A0562"/>
    <w:rsid w:val="006A0688"/>
    <w:rsid w:val="006A1F74"/>
    <w:rsid w:val="006A2C9A"/>
    <w:rsid w:val="006A7A4E"/>
    <w:rsid w:val="006C33B0"/>
    <w:rsid w:val="006D3B23"/>
    <w:rsid w:val="006D72D0"/>
    <w:rsid w:val="006D7F2E"/>
    <w:rsid w:val="006E5737"/>
    <w:rsid w:val="006E58F7"/>
    <w:rsid w:val="006F003D"/>
    <w:rsid w:val="006F78CC"/>
    <w:rsid w:val="00706CF5"/>
    <w:rsid w:val="00717E95"/>
    <w:rsid w:val="00723C46"/>
    <w:rsid w:val="0073385D"/>
    <w:rsid w:val="00742D35"/>
    <w:rsid w:val="0074540F"/>
    <w:rsid w:val="00746ADC"/>
    <w:rsid w:val="0075700E"/>
    <w:rsid w:val="00760700"/>
    <w:rsid w:val="007632ED"/>
    <w:rsid w:val="00773935"/>
    <w:rsid w:val="00784CD7"/>
    <w:rsid w:val="00785597"/>
    <w:rsid w:val="00785BF7"/>
    <w:rsid w:val="007860FE"/>
    <w:rsid w:val="00797D70"/>
    <w:rsid w:val="007A717C"/>
    <w:rsid w:val="007B5A77"/>
    <w:rsid w:val="007C7F7B"/>
    <w:rsid w:val="007D1280"/>
    <w:rsid w:val="007D4186"/>
    <w:rsid w:val="007D6072"/>
    <w:rsid w:val="007E3CFE"/>
    <w:rsid w:val="007E3E26"/>
    <w:rsid w:val="007F1530"/>
    <w:rsid w:val="007F33E3"/>
    <w:rsid w:val="007F35C8"/>
    <w:rsid w:val="007F5F53"/>
    <w:rsid w:val="007F6B7F"/>
    <w:rsid w:val="007F73F0"/>
    <w:rsid w:val="008034C9"/>
    <w:rsid w:val="008050D1"/>
    <w:rsid w:val="00813927"/>
    <w:rsid w:val="008151E8"/>
    <w:rsid w:val="008179B2"/>
    <w:rsid w:val="008303BA"/>
    <w:rsid w:val="0083283D"/>
    <w:rsid w:val="00840B0F"/>
    <w:rsid w:val="00844C7E"/>
    <w:rsid w:val="008467A4"/>
    <w:rsid w:val="00846BE3"/>
    <w:rsid w:val="00852EF6"/>
    <w:rsid w:val="008545D3"/>
    <w:rsid w:val="00855875"/>
    <w:rsid w:val="00856015"/>
    <w:rsid w:val="00856D3D"/>
    <w:rsid w:val="008615CB"/>
    <w:rsid w:val="008617D7"/>
    <w:rsid w:val="00870F9B"/>
    <w:rsid w:val="00876F93"/>
    <w:rsid w:val="00891218"/>
    <w:rsid w:val="00893BC5"/>
    <w:rsid w:val="008A2A2A"/>
    <w:rsid w:val="008A4CA9"/>
    <w:rsid w:val="008B0DCD"/>
    <w:rsid w:val="008B18C3"/>
    <w:rsid w:val="008B701F"/>
    <w:rsid w:val="008B7BC6"/>
    <w:rsid w:val="008C0F92"/>
    <w:rsid w:val="008E0344"/>
    <w:rsid w:val="008E131C"/>
    <w:rsid w:val="008E3337"/>
    <w:rsid w:val="008F1324"/>
    <w:rsid w:val="00900986"/>
    <w:rsid w:val="00904071"/>
    <w:rsid w:val="0091719D"/>
    <w:rsid w:val="0092639A"/>
    <w:rsid w:val="00930934"/>
    <w:rsid w:val="00941931"/>
    <w:rsid w:val="009503C9"/>
    <w:rsid w:val="009529BF"/>
    <w:rsid w:val="0096210F"/>
    <w:rsid w:val="00964DA9"/>
    <w:rsid w:val="00975862"/>
    <w:rsid w:val="009868C1"/>
    <w:rsid w:val="00987170"/>
    <w:rsid w:val="00995F11"/>
    <w:rsid w:val="009A0CA7"/>
    <w:rsid w:val="009A45F3"/>
    <w:rsid w:val="009B48BE"/>
    <w:rsid w:val="009C409E"/>
    <w:rsid w:val="009D3490"/>
    <w:rsid w:val="009E3435"/>
    <w:rsid w:val="009E516C"/>
    <w:rsid w:val="009F0C04"/>
    <w:rsid w:val="009F373C"/>
    <w:rsid w:val="009F3B55"/>
    <w:rsid w:val="009F42EE"/>
    <w:rsid w:val="009F573F"/>
    <w:rsid w:val="009F72FE"/>
    <w:rsid w:val="00A06EB9"/>
    <w:rsid w:val="00A10F89"/>
    <w:rsid w:val="00A143FD"/>
    <w:rsid w:val="00A1722F"/>
    <w:rsid w:val="00A35A31"/>
    <w:rsid w:val="00A36BB3"/>
    <w:rsid w:val="00A37AF7"/>
    <w:rsid w:val="00A44202"/>
    <w:rsid w:val="00A50421"/>
    <w:rsid w:val="00A52596"/>
    <w:rsid w:val="00A52875"/>
    <w:rsid w:val="00A54089"/>
    <w:rsid w:val="00A5543A"/>
    <w:rsid w:val="00A56875"/>
    <w:rsid w:val="00A601F6"/>
    <w:rsid w:val="00A73665"/>
    <w:rsid w:val="00A86CF0"/>
    <w:rsid w:val="00A9266C"/>
    <w:rsid w:val="00A97333"/>
    <w:rsid w:val="00AA0855"/>
    <w:rsid w:val="00AA225D"/>
    <w:rsid w:val="00AA359C"/>
    <w:rsid w:val="00AA4818"/>
    <w:rsid w:val="00AA6B32"/>
    <w:rsid w:val="00AB0877"/>
    <w:rsid w:val="00AB0945"/>
    <w:rsid w:val="00AC285A"/>
    <w:rsid w:val="00AD207D"/>
    <w:rsid w:val="00AD4955"/>
    <w:rsid w:val="00AD7596"/>
    <w:rsid w:val="00AE12BB"/>
    <w:rsid w:val="00AE50A7"/>
    <w:rsid w:val="00AE5F35"/>
    <w:rsid w:val="00AE727A"/>
    <w:rsid w:val="00AF3562"/>
    <w:rsid w:val="00B00EDF"/>
    <w:rsid w:val="00B02CC8"/>
    <w:rsid w:val="00B04656"/>
    <w:rsid w:val="00B070D0"/>
    <w:rsid w:val="00B11F94"/>
    <w:rsid w:val="00B131B5"/>
    <w:rsid w:val="00B13A5F"/>
    <w:rsid w:val="00B17090"/>
    <w:rsid w:val="00B25CF8"/>
    <w:rsid w:val="00B26186"/>
    <w:rsid w:val="00B2718E"/>
    <w:rsid w:val="00B34761"/>
    <w:rsid w:val="00B361C9"/>
    <w:rsid w:val="00B446AC"/>
    <w:rsid w:val="00B4568D"/>
    <w:rsid w:val="00B70457"/>
    <w:rsid w:val="00B710F1"/>
    <w:rsid w:val="00B7145A"/>
    <w:rsid w:val="00B7230C"/>
    <w:rsid w:val="00B73DBE"/>
    <w:rsid w:val="00B73DD1"/>
    <w:rsid w:val="00B836A5"/>
    <w:rsid w:val="00B84E01"/>
    <w:rsid w:val="00B84FB6"/>
    <w:rsid w:val="00B96BD1"/>
    <w:rsid w:val="00BA58E0"/>
    <w:rsid w:val="00BC69D3"/>
    <w:rsid w:val="00BC7BA0"/>
    <w:rsid w:val="00BD0334"/>
    <w:rsid w:val="00BD0B8E"/>
    <w:rsid w:val="00BD342A"/>
    <w:rsid w:val="00BD3B6E"/>
    <w:rsid w:val="00BE00FB"/>
    <w:rsid w:val="00BF0019"/>
    <w:rsid w:val="00BF6352"/>
    <w:rsid w:val="00C04B24"/>
    <w:rsid w:val="00C05092"/>
    <w:rsid w:val="00C12323"/>
    <w:rsid w:val="00C20E74"/>
    <w:rsid w:val="00C20FEE"/>
    <w:rsid w:val="00C33888"/>
    <w:rsid w:val="00C433F2"/>
    <w:rsid w:val="00C43B57"/>
    <w:rsid w:val="00C53B2F"/>
    <w:rsid w:val="00C5440F"/>
    <w:rsid w:val="00C5478D"/>
    <w:rsid w:val="00C5555F"/>
    <w:rsid w:val="00C62DE7"/>
    <w:rsid w:val="00C812A2"/>
    <w:rsid w:val="00C83C0F"/>
    <w:rsid w:val="00CA03F7"/>
    <w:rsid w:val="00CB1814"/>
    <w:rsid w:val="00CB37A3"/>
    <w:rsid w:val="00CB7ADC"/>
    <w:rsid w:val="00CD2E22"/>
    <w:rsid w:val="00CD2FA9"/>
    <w:rsid w:val="00CE1265"/>
    <w:rsid w:val="00CE1770"/>
    <w:rsid w:val="00CE5E57"/>
    <w:rsid w:val="00CF791C"/>
    <w:rsid w:val="00D0213B"/>
    <w:rsid w:val="00D025C9"/>
    <w:rsid w:val="00D0377A"/>
    <w:rsid w:val="00D05638"/>
    <w:rsid w:val="00D0773B"/>
    <w:rsid w:val="00D21E91"/>
    <w:rsid w:val="00D3399D"/>
    <w:rsid w:val="00D368AE"/>
    <w:rsid w:val="00D40657"/>
    <w:rsid w:val="00D42785"/>
    <w:rsid w:val="00D443C6"/>
    <w:rsid w:val="00D5268F"/>
    <w:rsid w:val="00D53F9E"/>
    <w:rsid w:val="00D54CEF"/>
    <w:rsid w:val="00D56D74"/>
    <w:rsid w:val="00D63EF0"/>
    <w:rsid w:val="00D66208"/>
    <w:rsid w:val="00D665A9"/>
    <w:rsid w:val="00D74F59"/>
    <w:rsid w:val="00D766F1"/>
    <w:rsid w:val="00D833AD"/>
    <w:rsid w:val="00D861B9"/>
    <w:rsid w:val="00D93BB6"/>
    <w:rsid w:val="00DA7154"/>
    <w:rsid w:val="00DB5024"/>
    <w:rsid w:val="00DD569D"/>
    <w:rsid w:val="00DD6607"/>
    <w:rsid w:val="00DD7CF7"/>
    <w:rsid w:val="00DE3FF9"/>
    <w:rsid w:val="00DE7EB9"/>
    <w:rsid w:val="00DF28F0"/>
    <w:rsid w:val="00DF2D7B"/>
    <w:rsid w:val="00DF454C"/>
    <w:rsid w:val="00E0498C"/>
    <w:rsid w:val="00E04E3B"/>
    <w:rsid w:val="00E06910"/>
    <w:rsid w:val="00E10023"/>
    <w:rsid w:val="00E10D59"/>
    <w:rsid w:val="00E240A6"/>
    <w:rsid w:val="00E31665"/>
    <w:rsid w:val="00E4128E"/>
    <w:rsid w:val="00E43DAB"/>
    <w:rsid w:val="00E43DF9"/>
    <w:rsid w:val="00E4777E"/>
    <w:rsid w:val="00E47D22"/>
    <w:rsid w:val="00E5365E"/>
    <w:rsid w:val="00E53917"/>
    <w:rsid w:val="00E54B96"/>
    <w:rsid w:val="00E550E9"/>
    <w:rsid w:val="00E61F37"/>
    <w:rsid w:val="00E66137"/>
    <w:rsid w:val="00E73CDA"/>
    <w:rsid w:val="00E91F50"/>
    <w:rsid w:val="00E92BAE"/>
    <w:rsid w:val="00E93DBB"/>
    <w:rsid w:val="00EA04F0"/>
    <w:rsid w:val="00EA7A03"/>
    <w:rsid w:val="00EB202E"/>
    <w:rsid w:val="00EC0968"/>
    <w:rsid w:val="00EC28B1"/>
    <w:rsid w:val="00ED4552"/>
    <w:rsid w:val="00ED45CB"/>
    <w:rsid w:val="00ED7C48"/>
    <w:rsid w:val="00ED7EC1"/>
    <w:rsid w:val="00EE27BE"/>
    <w:rsid w:val="00F107F1"/>
    <w:rsid w:val="00F12E5F"/>
    <w:rsid w:val="00F2663B"/>
    <w:rsid w:val="00F323EF"/>
    <w:rsid w:val="00F33235"/>
    <w:rsid w:val="00F346A2"/>
    <w:rsid w:val="00F374C0"/>
    <w:rsid w:val="00F40B6B"/>
    <w:rsid w:val="00F42011"/>
    <w:rsid w:val="00F50249"/>
    <w:rsid w:val="00F54160"/>
    <w:rsid w:val="00F64E3E"/>
    <w:rsid w:val="00F763A0"/>
    <w:rsid w:val="00F7698C"/>
    <w:rsid w:val="00F85DE6"/>
    <w:rsid w:val="00FA5401"/>
    <w:rsid w:val="00FA5A0A"/>
    <w:rsid w:val="00FA61AA"/>
    <w:rsid w:val="00FA7CEE"/>
    <w:rsid w:val="00FB551B"/>
    <w:rsid w:val="00FE318E"/>
    <w:rsid w:val="00FE6C3C"/>
    <w:rsid w:val="00FF214C"/>
    <w:rsid w:val="00FF28D7"/>
    <w:rsid w:val="00FF290F"/>
    <w:rsid w:val="00FF3B2D"/>
    <w:rsid w:val="00FF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2B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10F"/>
    <w:pPr>
      <w:ind w:left="720"/>
      <w:contextualSpacing/>
    </w:pPr>
  </w:style>
  <w:style w:type="paragraph" w:styleId="BalloonText">
    <w:name w:val="Balloon Text"/>
    <w:basedOn w:val="Normal"/>
    <w:link w:val="BalloonTextChar"/>
    <w:uiPriority w:val="99"/>
    <w:semiHidden/>
    <w:unhideWhenUsed/>
    <w:rsid w:val="00167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FC3"/>
    <w:rPr>
      <w:rFonts w:ascii="Tahoma" w:hAnsi="Tahoma" w:cs="Tahoma"/>
      <w:sz w:val="16"/>
      <w:szCs w:val="16"/>
    </w:rPr>
  </w:style>
  <w:style w:type="character" w:styleId="CommentReference">
    <w:name w:val="annotation reference"/>
    <w:basedOn w:val="DefaultParagraphFont"/>
    <w:uiPriority w:val="99"/>
    <w:semiHidden/>
    <w:unhideWhenUsed/>
    <w:rsid w:val="008050D1"/>
    <w:rPr>
      <w:sz w:val="16"/>
      <w:szCs w:val="16"/>
    </w:rPr>
  </w:style>
  <w:style w:type="paragraph" w:styleId="CommentText">
    <w:name w:val="annotation text"/>
    <w:basedOn w:val="Normal"/>
    <w:link w:val="CommentTextChar"/>
    <w:uiPriority w:val="99"/>
    <w:semiHidden/>
    <w:unhideWhenUsed/>
    <w:rsid w:val="008050D1"/>
    <w:pPr>
      <w:spacing w:line="240" w:lineRule="auto"/>
    </w:pPr>
    <w:rPr>
      <w:sz w:val="20"/>
      <w:szCs w:val="20"/>
    </w:rPr>
  </w:style>
  <w:style w:type="character" w:customStyle="1" w:styleId="CommentTextChar">
    <w:name w:val="Comment Text Char"/>
    <w:basedOn w:val="DefaultParagraphFont"/>
    <w:link w:val="CommentText"/>
    <w:uiPriority w:val="99"/>
    <w:semiHidden/>
    <w:rsid w:val="008050D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050D1"/>
    <w:rPr>
      <w:b/>
      <w:bCs/>
    </w:rPr>
  </w:style>
  <w:style w:type="character" w:customStyle="1" w:styleId="CommentSubjectChar">
    <w:name w:val="Comment Subject Char"/>
    <w:basedOn w:val="CommentTextChar"/>
    <w:link w:val="CommentSubject"/>
    <w:uiPriority w:val="99"/>
    <w:semiHidden/>
    <w:rsid w:val="008050D1"/>
    <w:rPr>
      <w:rFonts w:ascii="Times New Roman" w:hAnsi="Times New Roman"/>
      <w:b/>
      <w:bCs/>
      <w:sz w:val="20"/>
      <w:szCs w:val="20"/>
    </w:rPr>
  </w:style>
  <w:style w:type="paragraph" w:styleId="Revision">
    <w:name w:val="Revision"/>
    <w:hidden/>
    <w:uiPriority w:val="99"/>
    <w:semiHidden/>
    <w:rsid w:val="00941931"/>
    <w:pPr>
      <w:spacing w:after="0" w:line="240" w:lineRule="auto"/>
    </w:pPr>
    <w:rPr>
      <w:rFonts w:ascii="Times New Roman" w:hAnsi="Times New Roman"/>
      <w:sz w:val="24"/>
    </w:rPr>
  </w:style>
  <w:style w:type="paragraph" w:styleId="BodyText2">
    <w:name w:val="Body Text 2"/>
    <w:basedOn w:val="Normal"/>
    <w:link w:val="BodyText2Char"/>
    <w:rsid w:val="00D74F59"/>
    <w:pPr>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D74F5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4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CD7"/>
    <w:rPr>
      <w:rFonts w:ascii="Times New Roman" w:hAnsi="Times New Roman"/>
      <w:sz w:val="24"/>
    </w:rPr>
  </w:style>
  <w:style w:type="paragraph" w:styleId="Footer">
    <w:name w:val="footer"/>
    <w:basedOn w:val="Normal"/>
    <w:link w:val="FooterChar"/>
    <w:uiPriority w:val="99"/>
    <w:unhideWhenUsed/>
    <w:rsid w:val="00784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CD7"/>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2B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10F"/>
    <w:pPr>
      <w:ind w:left="720"/>
      <w:contextualSpacing/>
    </w:pPr>
  </w:style>
  <w:style w:type="paragraph" w:styleId="BalloonText">
    <w:name w:val="Balloon Text"/>
    <w:basedOn w:val="Normal"/>
    <w:link w:val="BalloonTextChar"/>
    <w:uiPriority w:val="99"/>
    <w:semiHidden/>
    <w:unhideWhenUsed/>
    <w:rsid w:val="00167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FC3"/>
    <w:rPr>
      <w:rFonts w:ascii="Tahoma" w:hAnsi="Tahoma" w:cs="Tahoma"/>
      <w:sz w:val="16"/>
      <w:szCs w:val="16"/>
    </w:rPr>
  </w:style>
  <w:style w:type="character" w:styleId="CommentReference">
    <w:name w:val="annotation reference"/>
    <w:basedOn w:val="DefaultParagraphFont"/>
    <w:uiPriority w:val="99"/>
    <w:semiHidden/>
    <w:unhideWhenUsed/>
    <w:rsid w:val="008050D1"/>
    <w:rPr>
      <w:sz w:val="16"/>
      <w:szCs w:val="16"/>
    </w:rPr>
  </w:style>
  <w:style w:type="paragraph" w:styleId="CommentText">
    <w:name w:val="annotation text"/>
    <w:basedOn w:val="Normal"/>
    <w:link w:val="CommentTextChar"/>
    <w:uiPriority w:val="99"/>
    <w:semiHidden/>
    <w:unhideWhenUsed/>
    <w:rsid w:val="008050D1"/>
    <w:pPr>
      <w:spacing w:line="240" w:lineRule="auto"/>
    </w:pPr>
    <w:rPr>
      <w:sz w:val="20"/>
      <w:szCs w:val="20"/>
    </w:rPr>
  </w:style>
  <w:style w:type="character" w:customStyle="1" w:styleId="CommentTextChar">
    <w:name w:val="Comment Text Char"/>
    <w:basedOn w:val="DefaultParagraphFont"/>
    <w:link w:val="CommentText"/>
    <w:uiPriority w:val="99"/>
    <w:semiHidden/>
    <w:rsid w:val="008050D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050D1"/>
    <w:rPr>
      <w:b/>
      <w:bCs/>
    </w:rPr>
  </w:style>
  <w:style w:type="character" w:customStyle="1" w:styleId="CommentSubjectChar">
    <w:name w:val="Comment Subject Char"/>
    <w:basedOn w:val="CommentTextChar"/>
    <w:link w:val="CommentSubject"/>
    <w:uiPriority w:val="99"/>
    <w:semiHidden/>
    <w:rsid w:val="008050D1"/>
    <w:rPr>
      <w:rFonts w:ascii="Times New Roman" w:hAnsi="Times New Roman"/>
      <w:b/>
      <w:bCs/>
      <w:sz w:val="20"/>
      <w:szCs w:val="20"/>
    </w:rPr>
  </w:style>
  <w:style w:type="paragraph" w:styleId="Revision">
    <w:name w:val="Revision"/>
    <w:hidden/>
    <w:uiPriority w:val="99"/>
    <w:semiHidden/>
    <w:rsid w:val="00941931"/>
    <w:pPr>
      <w:spacing w:after="0" w:line="240" w:lineRule="auto"/>
    </w:pPr>
    <w:rPr>
      <w:rFonts w:ascii="Times New Roman" w:hAnsi="Times New Roman"/>
      <w:sz w:val="24"/>
    </w:rPr>
  </w:style>
  <w:style w:type="paragraph" w:styleId="BodyText2">
    <w:name w:val="Body Text 2"/>
    <w:basedOn w:val="Normal"/>
    <w:link w:val="BodyText2Char"/>
    <w:rsid w:val="00D74F59"/>
    <w:pPr>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D74F5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4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CD7"/>
    <w:rPr>
      <w:rFonts w:ascii="Times New Roman" w:hAnsi="Times New Roman"/>
      <w:sz w:val="24"/>
    </w:rPr>
  </w:style>
  <w:style w:type="paragraph" w:styleId="Footer">
    <w:name w:val="footer"/>
    <w:basedOn w:val="Normal"/>
    <w:link w:val="FooterChar"/>
    <w:uiPriority w:val="99"/>
    <w:unhideWhenUsed/>
    <w:rsid w:val="00784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CD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09776">
      <w:bodyDiv w:val="1"/>
      <w:marLeft w:val="0"/>
      <w:marRight w:val="0"/>
      <w:marTop w:val="0"/>
      <w:marBottom w:val="0"/>
      <w:divBdr>
        <w:top w:val="none" w:sz="0" w:space="0" w:color="auto"/>
        <w:left w:val="none" w:sz="0" w:space="0" w:color="auto"/>
        <w:bottom w:val="none" w:sz="0" w:space="0" w:color="auto"/>
        <w:right w:val="none" w:sz="0" w:space="0" w:color="auto"/>
      </w:divBdr>
    </w:div>
    <w:div w:id="433131069">
      <w:bodyDiv w:val="1"/>
      <w:marLeft w:val="0"/>
      <w:marRight w:val="0"/>
      <w:marTop w:val="0"/>
      <w:marBottom w:val="0"/>
      <w:divBdr>
        <w:top w:val="none" w:sz="0" w:space="0" w:color="auto"/>
        <w:left w:val="none" w:sz="0" w:space="0" w:color="auto"/>
        <w:bottom w:val="none" w:sz="0" w:space="0" w:color="auto"/>
        <w:right w:val="none" w:sz="0" w:space="0" w:color="auto"/>
      </w:divBdr>
    </w:div>
    <w:div w:id="523904826">
      <w:bodyDiv w:val="1"/>
      <w:marLeft w:val="0"/>
      <w:marRight w:val="0"/>
      <w:marTop w:val="0"/>
      <w:marBottom w:val="0"/>
      <w:divBdr>
        <w:top w:val="none" w:sz="0" w:space="0" w:color="auto"/>
        <w:left w:val="none" w:sz="0" w:space="0" w:color="auto"/>
        <w:bottom w:val="none" w:sz="0" w:space="0" w:color="auto"/>
        <w:right w:val="none" w:sz="0" w:space="0" w:color="auto"/>
      </w:divBdr>
    </w:div>
    <w:div w:id="606040327">
      <w:bodyDiv w:val="1"/>
      <w:marLeft w:val="0"/>
      <w:marRight w:val="0"/>
      <w:marTop w:val="0"/>
      <w:marBottom w:val="0"/>
      <w:divBdr>
        <w:top w:val="none" w:sz="0" w:space="0" w:color="auto"/>
        <w:left w:val="none" w:sz="0" w:space="0" w:color="auto"/>
        <w:bottom w:val="none" w:sz="0" w:space="0" w:color="auto"/>
        <w:right w:val="none" w:sz="0" w:space="0" w:color="auto"/>
      </w:divBdr>
    </w:div>
    <w:div w:id="665524316">
      <w:bodyDiv w:val="1"/>
      <w:marLeft w:val="0"/>
      <w:marRight w:val="0"/>
      <w:marTop w:val="0"/>
      <w:marBottom w:val="0"/>
      <w:divBdr>
        <w:top w:val="none" w:sz="0" w:space="0" w:color="auto"/>
        <w:left w:val="none" w:sz="0" w:space="0" w:color="auto"/>
        <w:bottom w:val="none" w:sz="0" w:space="0" w:color="auto"/>
        <w:right w:val="none" w:sz="0" w:space="0" w:color="auto"/>
      </w:divBdr>
    </w:div>
    <w:div w:id="837696684">
      <w:bodyDiv w:val="1"/>
      <w:marLeft w:val="0"/>
      <w:marRight w:val="0"/>
      <w:marTop w:val="0"/>
      <w:marBottom w:val="0"/>
      <w:divBdr>
        <w:top w:val="none" w:sz="0" w:space="0" w:color="auto"/>
        <w:left w:val="none" w:sz="0" w:space="0" w:color="auto"/>
        <w:bottom w:val="none" w:sz="0" w:space="0" w:color="auto"/>
        <w:right w:val="none" w:sz="0" w:space="0" w:color="auto"/>
      </w:divBdr>
    </w:div>
    <w:div w:id="938104504">
      <w:bodyDiv w:val="1"/>
      <w:marLeft w:val="0"/>
      <w:marRight w:val="0"/>
      <w:marTop w:val="0"/>
      <w:marBottom w:val="0"/>
      <w:divBdr>
        <w:top w:val="none" w:sz="0" w:space="0" w:color="auto"/>
        <w:left w:val="none" w:sz="0" w:space="0" w:color="auto"/>
        <w:bottom w:val="none" w:sz="0" w:space="0" w:color="auto"/>
        <w:right w:val="none" w:sz="0" w:space="0" w:color="auto"/>
      </w:divBdr>
    </w:div>
    <w:div w:id="1080372885">
      <w:bodyDiv w:val="1"/>
      <w:marLeft w:val="0"/>
      <w:marRight w:val="0"/>
      <w:marTop w:val="0"/>
      <w:marBottom w:val="0"/>
      <w:divBdr>
        <w:top w:val="none" w:sz="0" w:space="0" w:color="auto"/>
        <w:left w:val="none" w:sz="0" w:space="0" w:color="auto"/>
        <w:bottom w:val="none" w:sz="0" w:space="0" w:color="auto"/>
        <w:right w:val="none" w:sz="0" w:space="0" w:color="auto"/>
      </w:divBdr>
      <w:divsChild>
        <w:div w:id="1470392049">
          <w:marLeft w:val="0"/>
          <w:marRight w:val="0"/>
          <w:marTop w:val="0"/>
          <w:marBottom w:val="0"/>
          <w:divBdr>
            <w:top w:val="none" w:sz="0" w:space="0" w:color="auto"/>
            <w:left w:val="none" w:sz="0" w:space="0" w:color="auto"/>
            <w:bottom w:val="none" w:sz="0" w:space="0" w:color="auto"/>
            <w:right w:val="none" w:sz="0" w:space="0" w:color="auto"/>
          </w:divBdr>
        </w:div>
      </w:divsChild>
    </w:div>
    <w:div w:id="1282035265">
      <w:bodyDiv w:val="1"/>
      <w:marLeft w:val="0"/>
      <w:marRight w:val="0"/>
      <w:marTop w:val="0"/>
      <w:marBottom w:val="0"/>
      <w:divBdr>
        <w:top w:val="none" w:sz="0" w:space="0" w:color="auto"/>
        <w:left w:val="none" w:sz="0" w:space="0" w:color="auto"/>
        <w:bottom w:val="none" w:sz="0" w:space="0" w:color="auto"/>
        <w:right w:val="none" w:sz="0" w:space="0" w:color="auto"/>
      </w:divBdr>
    </w:div>
    <w:div w:id="1295525706">
      <w:bodyDiv w:val="1"/>
      <w:marLeft w:val="0"/>
      <w:marRight w:val="0"/>
      <w:marTop w:val="0"/>
      <w:marBottom w:val="0"/>
      <w:divBdr>
        <w:top w:val="none" w:sz="0" w:space="0" w:color="auto"/>
        <w:left w:val="none" w:sz="0" w:space="0" w:color="auto"/>
        <w:bottom w:val="none" w:sz="0" w:space="0" w:color="auto"/>
        <w:right w:val="none" w:sz="0" w:space="0" w:color="auto"/>
      </w:divBdr>
    </w:div>
    <w:div w:id="1386874227">
      <w:bodyDiv w:val="1"/>
      <w:marLeft w:val="0"/>
      <w:marRight w:val="0"/>
      <w:marTop w:val="0"/>
      <w:marBottom w:val="0"/>
      <w:divBdr>
        <w:top w:val="none" w:sz="0" w:space="0" w:color="auto"/>
        <w:left w:val="none" w:sz="0" w:space="0" w:color="auto"/>
        <w:bottom w:val="none" w:sz="0" w:space="0" w:color="auto"/>
        <w:right w:val="none" w:sz="0" w:space="0" w:color="auto"/>
      </w:divBdr>
    </w:div>
    <w:div w:id="1453745766">
      <w:bodyDiv w:val="1"/>
      <w:marLeft w:val="0"/>
      <w:marRight w:val="0"/>
      <w:marTop w:val="0"/>
      <w:marBottom w:val="0"/>
      <w:divBdr>
        <w:top w:val="none" w:sz="0" w:space="0" w:color="auto"/>
        <w:left w:val="none" w:sz="0" w:space="0" w:color="auto"/>
        <w:bottom w:val="none" w:sz="0" w:space="0" w:color="auto"/>
        <w:right w:val="none" w:sz="0" w:space="0" w:color="auto"/>
      </w:divBdr>
    </w:div>
    <w:div w:id="1762606511">
      <w:bodyDiv w:val="1"/>
      <w:marLeft w:val="0"/>
      <w:marRight w:val="0"/>
      <w:marTop w:val="0"/>
      <w:marBottom w:val="0"/>
      <w:divBdr>
        <w:top w:val="none" w:sz="0" w:space="0" w:color="auto"/>
        <w:left w:val="none" w:sz="0" w:space="0" w:color="auto"/>
        <w:bottom w:val="none" w:sz="0" w:space="0" w:color="auto"/>
        <w:right w:val="none" w:sz="0" w:space="0" w:color="auto"/>
      </w:divBdr>
    </w:div>
    <w:div w:id="1843277271">
      <w:bodyDiv w:val="1"/>
      <w:marLeft w:val="0"/>
      <w:marRight w:val="0"/>
      <w:marTop w:val="0"/>
      <w:marBottom w:val="0"/>
      <w:divBdr>
        <w:top w:val="none" w:sz="0" w:space="0" w:color="auto"/>
        <w:left w:val="none" w:sz="0" w:space="0" w:color="auto"/>
        <w:bottom w:val="none" w:sz="0" w:space="0" w:color="auto"/>
        <w:right w:val="none" w:sz="0" w:space="0" w:color="auto"/>
      </w:divBdr>
    </w:div>
    <w:div w:id="211354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6E987-F2D1-48B8-9182-97849EF40760}">
  <ds:schemaRefs>
    <ds:schemaRef ds:uri="http://schemas.openxmlformats.org/officeDocument/2006/bibliography"/>
  </ds:schemaRefs>
</ds:datastoreItem>
</file>

<file path=customXml/itemProps2.xml><?xml version="1.0" encoding="utf-8"?>
<ds:datastoreItem xmlns:ds="http://schemas.openxmlformats.org/officeDocument/2006/customXml" ds:itemID="{CA08AABB-A1A9-449D-9163-FABFB559C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5216</Words>
  <Characters>29737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Los Alamos National Laboratory</Company>
  <LinksUpToDate>false</LinksUpToDate>
  <CharactersWithSpaces>34884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Colletti</dc:creator>
  <cp:lastModifiedBy>Tandon, Lav</cp:lastModifiedBy>
  <cp:revision>2</cp:revision>
  <cp:lastPrinted>2014-06-25T23:14:00Z</cp:lastPrinted>
  <dcterms:created xsi:type="dcterms:W3CDTF">2014-06-27T17:50:00Z</dcterms:created>
  <dcterms:modified xsi:type="dcterms:W3CDTF">2014-06-27T17:50:00Z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-512368180</vt:i4>
  </property>
  <property fmtid="{D5CDD505-2E9C-101B-9397-08002B2CF9AE}" pid="3" name="_NewReviewCycle">
    <vt:lpwstr/>
  </property>
  <property fmtid="{D5CDD505-2E9C-101B-9397-08002B2CF9AE}" pid="4" name="_EmailSubject">
    <vt:lpwstr>Publication Approved by LANL Classification Office 'Challenges in Bulk N...'</vt:lpwstr>
  </property>
  <property fmtid="{D5CDD505-2E9C-101B-9397-08002B2CF9AE}" pid="5" name="_AuthorEmail">
    <vt:lpwstr>lcolletti@lanl.gov</vt:lpwstr>
  </property>
  <property fmtid="{D5CDD505-2E9C-101B-9397-08002B2CF9AE}" pid="6" name="_AuthorEmailDisplayName">
    <vt:lpwstr>Colletti, Lisa M</vt:lpwstr>
  </property>
  <property fmtid="{D5CDD505-2E9C-101B-9397-08002B2CF9AE}" pid="7" name="_ReviewingToolsShownOnce">
    <vt:lpwstr/>
  </property>
</Properties>
</file>