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75178" w14:textId="77777777" w:rsidR="00645FF7" w:rsidRDefault="00645FF7" w:rsidP="00645FF7">
      <w:pPr>
        <w:rPr>
          <w:rFonts w:ascii="Times New Roman" w:hAnsi="Times New Roman" w:cs="Times New Roman"/>
          <w:sz w:val="24"/>
        </w:rPr>
      </w:pPr>
      <w:bookmarkStart w:id="0" w:name="_GoBack"/>
      <w:bookmarkEnd w:id="0"/>
      <w:r>
        <w:rPr>
          <w:rFonts w:ascii="Times New Roman" w:hAnsi="Times New Roman" w:cs="Times New Roman"/>
          <w:b/>
          <w:sz w:val="24"/>
        </w:rPr>
        <w:tab/>
        <w:t>The Nuclear Forensics International Technical Working Group (ITWG)</w:t>
      </w:r>
    </w:p>
    <w:p w14:paraId="743D467A" w14:textId="77777777" w:rsidR="00645FF7" w:rsidRDefault="00645FF7" w:rsidP="00645FF7">
      <w:pPr>
        <w:rPr>
          <w:rFonts w:ascii="Times New Roman" w:hAnsi="Times New Roman" w:cs="Times New Roman"/>
        </w:rPr>
      </w:pPr>
      <w:r>
        <w:rPr>
          <w:rFonts w:ascii="Times New Roman" w:hAnsi="Times New Roman" w:cs="Times New Roman"/>
          <w:sz w:val="24"/>
        </w:rPr>
        <w:tab/>
      </w:r>
      <w:r>
        <w:rPr>
          <w:rFonts w:ascii="Times New Roman" w:hAnsi="Times New Roman" w:cs="Times New Roman"/>
          <w:i/>
        </w:rPr>
        <w:t>An overview</w:t>
      </w:r>
    </w:p>
    <w:p w14:paraId="6DC5A703" w14:textId="77777777" w:rsidR="00645FF7" w:rsidRDefault="00645FF7" w:rsidP="00645FF7">
      <w:pPr>
        <w:rPr>
          <w:rFonts w:ascii="Times New Roman" w:hAnsi="Times New Roman" w:cs="Times New Roman"/>
        </w:rPr>
      </w:pPr>
    </w:p>
    <w:p w14:paraId="52A4FF1F" w14:textId="77777777" w:rsidR="00645FF7" w:rsidRDefault="00645FF7" w:rsidP="00645FF7">
      <w:pPr>
        <w:rPr>
          <w:rFonts w:ascii="Times New Roman" w:hAnsi="Times New Roman" w:cs="Times New Roman"/>
        </w:rPr>
      </w:pPr>
      <w:r>
        <w:rPr>
          <w:rFonts w:ascii="Times New Roman" w:hAnsi="Times New Roman" w:cs="Times New Roman"/>
        </w:rPr>
        <w:tab/>
        <w:t>B.C. Garrett</w:t>
      </w:r>
      <w:r w:rsidR="00316C47">
        <w:rPr>
          <w:rFonts w:ascii="Times New Roman" w:hAnsi="Times New Roman" w:cs="Times New Roman"/>
          <w:vertAlign w:val="superscript"/>
        </w:rPr>
        <w:t>a</w:t>
      </w:r>
      <w:r>
        <w:rPr>
          <w:rFonts w:ascii="Times New Roman" w:hAnsi="Times New Roman" w:cs="Times New Roman"/>
        </w:rPr>
        <w:t>, K. Mayer</w:t>
      </w:r>
      <w:r w:rsidR="00316C47">
        <w:rPr>
          <w:rFonts w:ascii="Times New Roman" w:hAnsi="Times New Roman" w:cs="Times New Roman"/>
          <w:vertAlign w:val="superscript"/>
        </w:rPr>
        <w:t>b</w:t>
      </w:r>
      <w:r>
        <w:rPr>
          <w:rFonts w:ascii="Times New Roman" w:hAnsi="Times New Roman" w:cs="Times New Roman"/>
        </w:rPr>
        <w:t>, P. Thompson</w:t>
      </w:r>
      <w:r w:rsidR="00316C47">
        <w:rPr>
          <w:rFonts w:ascii="Times New Roman" w:hAnsi="Times New Roman" w:cs="Times New Roman"/>
          <w:vertAlign w:val="superscript"/>
        </w:rPr>
        <w:t>c</w:t>
      </w:r>
      <w:r>
        <w:rPr>
          <w:rFonts w:ascii="Times New Roman" w:hAnsi="Times New Roman" w:cs="Times New Roman"/>
        </w:rPr>
        <w:t xml:space="preserve">, </w:t>
      </w:r>
      <w:r w:rsidR="00EE4761">
        <w:rPr>
          <w:rFonts w:ascii="Times New Roman" w:hAnsi="Times New Roman" w:cs="Times New Roman"/>
        </w:rPr>
        <w:t>B.K. Pong</w:t>
      </w:r>
      <w:r w:rsidR="00316C47">
        <w:rPr>
          <w:rFonts w:ascii="Times New Roman" w:hAnsi="Times New Roman" w:cs="Times New Roman"/>
          <w:vertAlign w:val="superscript"/>
        </w:rPr>
        <w:t>d</w:t>
      </w:r>
      <w:r>
        <w:rPr>
          <w:rFonts w:ascii="Times New Roman" w:hAnsi="Times New Roman" w:cs="Times New Roman"/>
        </w:rPr>
        <w:t>, G. Lasou</w:t>
      </w:r>
      <w:r w:rsidR="00316C47">
        <w:rPr>
          <w:rFonts w:ascii="Times New Roman" w:hAnsi="Times New Roman" w:cs="Times New Roman"/>
          <w:vertAlign w:val="superscript"/>
        </w:rPr>
        <w:t>e</w:t>
      </w:r>
    </w:p>
    <w:p w14:paraId="1EDC2ACB" w14:textId="77777777" w:rsidR="00316C47" w:rsidRDefault="00316C47" w:rsidP="00645FF7">
      <w:pPr>
        <w:rPr>
          <w:rFonts w:ascii="Times New Roman" w:hAnsi="Times New Roman" w:cs="Times New Roman"/>
        </w:rPr>
      </w:pPr>
    </w:p>
    <w:p w14:paraId="7F62821D" w14:textId="77777777" w:rsidR="00316C47" w:rsidRDefault="00316C47" w:rsidP="00645FF7">
      <w:pPr>
        <w:rPr>
          <w:rFonts w:ascii="Times New Roman" w:hAnsi="Times New Roman" w:cs="Times New Roman"/>
        </w:rPr>
      </w:pPr>
      <w:r>
        <w:rPr>
          <w:rFonts w:ascii="Times New Roman" w:hAnsi="Times New Roman" w:cs="Times New Roman"/>
        </w:rPr>
        <w:tab/>
      </w:r>
      <w:r>
        <w:rPr>
          <w:rFonts w:ascii="Times New Roman" w:hAnsi="Times New Roman" w:cs="Times New Roman"/>
          <w:vertAlign w:val="superscript"/>
        </w:rPr>
        <w:t>a</w:t>
      </w:r>
      <w:r w:rsidR="00BD6747">
        <w:rPr>
          <w:rFonts w:ascii="Times New Roman" w:hAnsi="Times New Roman" w:cs="Times New Roman"/>
          <w:vertAlign w:val="superscript"/>
        </w:rPr>
        <w:t xml:space="preserve"> </w:t>
      </w:r>
      <w:r>
        <w:rPr>
          <w:rFonts w:ascii="Times New Roman" w:hAnsi="Times New Roman" w:cs="Times New Roman"/>
        </w:rPr>
        <w:t>Federal Bureau of Investigation (FBI),</w:t>
      </w:r>
    </w:p>
    <w:p w14:paraId="0126809C" w14:textId="77777777" w:rsidR="00316C47" w:rsidRPr="00EE4761" w:rsidRDefault="00316C47" w:rsidP="00316C47">
      <w:pPr>
        <w:ind w:left="567"/>
        <w:rPr>
          <w:rFonts w:ascii="Times New Roman" w:hAnsi="Times New Roman" w:cs="Times New Roman"/>
          <w:lang w:val="it-IT"/>
        </w:rPr>
      </w:pPr>
      <w:r>
        <w:rPr>
          <w:rFonts w:ascii="Times New Roman" w:hAnsi="Times New Roman" w:cs="Times New Roman"/>
        </w:rPr>
        <w:t xml:space="preserve"> </w:t>
      </w:r>
      <w:r w:rsidR="00BD6747">
        <w:rPr>
          <w:rFonts w:ascii="Times New Roman" w:hAnsi="Times New Roman" w:cs="Times New Roman"/>
        </w:rPr>
        <w:t xml:space="preserve"> </w:t>
      </w:r>
      <w:r w:rsidRPr="00EE4761">
        <w:rPr>
          <w:rFonts w:ascii="Times New Roman" w:hAnsi="Times New Roman" w:cs="Times New Roman"/>
          <w:lang w:val="it-IT"/>
        </w:rPr>
        <w:t>Laboratory Division</w:t>
      </w:r>
      <w:r w:rsidR="00EB2FA9" w:rsidRPr="00EE4761">
        <w:rPr>
          <w:rFonts w:ascii="Times New Roman" w:hAnsi="Times New Roman" w:cs="Times New Roman"/>
          <w:lang w:val="it-IT"/>
        </w:rPr>
        <w:t>,</w:t>
      </w:r>
    </w:p>
    <w:p w14:paraId="3D208DB4" w14:textId="77777777" w:rsidR="00316C47" w:rsidRPr="00EE4761" w:rsidRDefault="00316C47" w:rsidP="00316C47">
      <w:pPr>
        <w:ind w:left="567"/>
        <w:rPr>
          <w:rFonts w:ascii="Times New Roman" w:hAnsi="Times New Roman" w:cs="Times New Roman"/>
          <w:lang w:val="it-IT"/>
        </w:rPr>
      </w:pPr>
      <w:r w:rsidRPr="00EE4761">
        <w:rPr>
          <w:rFonts w:ascii="Times New Roman" w:hAnsi="Times New Roman" w:cs="Times New Roman"/>
          <w:lang w:val="it-IT"/>
        </w:rPr>
        <w:t xml:space="preserve"> </w:t>
      </w:r>
      <w:r w:rsidR="00BD6747" w:rsidRPr="00EE4761">
        <w:rPr>
          <w:rFonts w:ascii="Times New Roman" w:hAnsi="Times New Roman" w:cs="Times New Roman"/>
          <w:lang w:val="it-IT"/>
        </w:rPr>
        <w:t xml:space="preserve"> </w:t>
      </w:r>
      <w:r w:rsidRPr="00EE4761">
        <w:rPr>
          <w:rFonts w:ascii="Times New Roman" w:hAnsi="Times New Roman" w:cs="Times New Roman"/>
          <w:lang w:val="it-IT"/>
        </w:rPr>
        <w:t>2501 Investigation Parkway</w:t>
      </w:r>
      <w:r w:rsidR="00EB2FA9" w:rsidRPr="00EE4761">
        <w:rPr>
          <w:rFonts w:ascii="Times New Roman" w:hAnsi="Times New Roman" w:cs="Times New Roman"/>
          <w:lang w:val="it-IT"/>
        </w:rPr>
        <w:t>,</w:t>
      </w:r>
    </w:p>
    <w:p w14:paraId="24E9129A" w14:textId="77777777" w:rsidR="00316C47" w:rsidRPr="00EE4761" w:rsidRDefault="00316C47" w:rsidP="00316C47">
      <w:pPr>
        <w:ind w:left="567"/>
        <w:rPr>
          <w:rFonts w:ascii="Times New Roman" w:hAnsi="Times New Roman" w:cs="Times New Roman"/>
          <w:lang w:val="it-IT"/>
        </w:rPr>
      </w:pPr>
      <w:r w:rsidRPr="00EE4761">
        <w:rPr>
          <w:rFonts w:ascii="Times New Roman" w:hAnsi="Times New Roman" w:cs="Times New Roman"/>
          <w:lang w:val="it-IT"/>
        </w:rPr>
        <w:t xml:space="preserve"> </w:t>
      </w:r>
      <w:r w:rsidR="00BD6747" w:rsidRPr="00EE4761">
        <w:rPr>
          <w:rFonts w:ascii="Times New Roman" w:hAnsi="Times New Roman" w:cs="Times New Roman"/>
          <w:lang w:val="it-IT"/>
        </w:rPr>
        <w:t xml:space="preserve"> </w:t>
      </w:r>
      <w:r w:rsidRPr="00EE4761">
        <w:rPr>
          <w:rFonts w:ascii="Times New Roman" w:hAnsi="Times New Roman" w:cs="Times New Roman"/>
          <w:lang w:val="it-IT"/>
        </w:rPr>
        <w:t>Quantico, Virginia 22135 USA</w:t>
      </w:r>
    </w:p>
    <w:p w14:paraId="1C7B6594" w14:textId="77777777" w:rsidR="00316C47" w:rsidRPr="00EE4761" w:rsidRDefault="00316C47" w:rsidP="00316C47">
      <w:pPr>
        <w:ind w:left="567"/>
        <w:rPr>
          <w:rFonts w:ascii="Times New Roman" w:hAnsi="Times New Roman" w:cs="Times New Roman"/>
          <w:lang w:val="it-IT"/>
        </w:rPr>
      </w:pPr>
    </w:p>
    <w:p w14:paraId="44F4AB1E" w14:textId="77777777" w:rsidR="00EB2FA9" w:rsidRPr="00EE4761" w:rsidRDefault="00BD6747" w:rsidP="00EB2FA9">
      <w:pPr>
        <w:ind w:left="567"/>
        <w:rPr>
          <w:rFonts w:ascii="Times New Roman" w:hAnsi="Times New Roman" w:cs="Times New Roman"/>
          <w:lang w:val="it-IT"/>
        </w:rPr>
      </w:pPr>
      <w:r w:rsidRPr="00EE4761">
        <w:rPr>
          <w:rFonts w:ascii="Times New Roman" w:hAnsi="Times New Roman" w:cs="Times New Roman"/>
          <w:vertAlign w:val="superscript"/>
          <w:lang w:val="it-IT"/>
        </w:rPr>
        <w:t xml:space="preserve">b </w:t>
      </w:r>
      <w:r w:rsidR="00EB2FA9" w:rsidRPr="00EE4761">
        <w:rPr>
          <w:rFonts w:ascii="Times New Roman" w:hAnsi="Times New Roman" w:cs="Times New Roman"/>
          <w:lang w:val="it-IT"/>
        </w:rPr>
        <w:t>European Commission,</w:t>
      </w:r>
    </w:p>
    <w:p w14:paraId="79557B42" w14:textId="77777777" w:rsidR="00EB2FA9" w:rsidRPr="00EE4761" w:rsidRDefault="00BD6747" w:rsidP="00EB2FA9">
      <w:pPr>
        <w:ind w:left="567"/>
        <w:rPr>
          <w:rFonts w:ascii="Times New Roman" w:hAnsi="Times New Roman" w:cs="Times New Roman"/>
          <w:lang w:val="it-IT"/>
        </w:rPr>
      </w:pPr>
      <w:r w:rsidRPr="00EE4761">
        <w:rPr>
          <w:rFonts w:ascii="Times New Roman" w:hAnsi="Times New Roman" w:cs="Times New Roman"/>
          <w:lang w:val="it-IT"/>
        </w:rPr>
        <w:t xml:space="preserve">  </w:t>
      </w:r>
      <w:r w:rsidR="00EB2FA9" w:rsidRPr="00EE4761">
        <w:rPr>
          <w:rFonts w:ascii="Times New Roman" w:hAnsi="Times New Roman" w:cs="Times New Roman"/>
          <w:lang w:val="it-IT"/>
        </w:rPr>
        <w:t>Joint Research Centre – Institute for Transuranium Elements,</w:t>
      </w:r>
    </w:p>
    <w:p w14:paraId="5F667941" w14:textId="77777777" w:rsidR="00BD6747" w:rsidRPr="00EE4761" w:rsidRDefault="00BD6747" w:rsidP="00EB2FA9">
      <w:pPr>
        <w:ind w:left="567"/>
        <w:rPr>
          <w:rFonts w:ascii="Times New Roman" w:hAnsi="Times New Roman" w:cs="Times New Roman"/>
          <w:lang w:val="it-IT"/>
        </w:rPr>
      </w:pPr>
      <w:r w:rsidRPr="00EE4761">
        <w:rPr>
          <w:rFonts w:ascii="Times New Roman" w:hAnsi="Times New Roman" w:cs="Times New Roman"/>
          <w:lang w:val="it-IT"/>
        </w:rPr>
        <w:t xml:space="preserve">  </w:t>
      </w:r>
      <w:r w:rsidR="00813EBE" w:rsidRPr="00EE4761">
        <w:rPr>
          <w:rFonts w:ascii="Times New Roman" w:hAnsi="Times New Roman" w:cs="Times New Roman"/>
          <w:lang w:val="it-IT"/>
        </w:rPr>
        <w:t>P.O Box 2340</w:t>
      </w:r>
    </w:p>
    <w:p w14:paraId="79468A34" w14:textId="77777777" w:rsidR="00EB2FA9" w:rsidRPr="00EE4761" w:rsidRDefault="005170A8" w:rsidP="00EB2FA9">
      <w:pPr>
        <w:ind w:left="567"/>
        <w:rPr>
          <w:rFonts w:ascii="Times New Roman" w:hAnsi="Times New Roman" w:cs="Times New Roman"/>
          <w:lang w:val="it-IT"/>
        </w:rPr>
      </w:pPr>
      <w:r w:rsidRPr="00EE4761">
        <w:rPr>
          <w:rFonts w:ascii="Times New Roman" w:hAnsi="Times New Roman" w:cs="Times New Roman"/>
          <w:lang w:val="it-IT"/>
        </w:rPr>
        <w:t xml:space="preserve">  </w:t>
      </w:r>
      <w:r w:rsidR="00813EBE" w:rsidRPr="00EE4761">
        <w:rPr>
          <w:rFonts w:ascii="Times New Roman" w:hAnsi="Times New Roman" w:cs="Times New Roman"/>
          <w:lang w:val="it-IT"/>
        </w:rPr>
        <w:t>76125 Karlsruhe</w:t>
      </w:r>
      <w:r w:rsidRPr="00EE4761">
        <w:rPr>
          <w:rFonts w:ascii="Times New Roman" w:hAnsi="Times New Roman" w:cs="Times New Roman"/>
          <w:lang w:val="it-IT"/>
        </w:rPr>
        <w:t>, Germany</w:t>
      </w:r>
    </w:p>
    <w:p w14:paraId="2230D3B2" w14:textId="77777777" w:rsidR="00BD6747" w:rsidRPr="00EE4761" w:rsidRDefault="00BD6747" w:rsidP="00EB2FA9">
      <w:pPr>
        <w:ind w:left="567"/>
        <w:rPr>
          <w:rFonts w:ascii="Times New Roman" w:hAnsi="Times New Roman" w:cs="Times New Roman"/>
          <w:lang w:val="it-IT"/>
        </w:rPr>
      </w:pPr>
    </w:p>
    <w:p w14:paraId="46360F3B" w14:textId="77777777" w:rsidR="00BD6747" w:rsidRDefault="00BD6747" w:rsidP="00EB2FA9">
      <w:pPr>
        <w:ind w:left="567"/>
        <w:rPr>
          <w:rFonts w:ascii="Times New Roman" w:hAnsi="Times New Roman" w:cs="Times New Roman"/>
        </w:rPr>
      </w:pPr>
      <w:r>
        <w:rPr>
          <w:rFonts w:ascii="Times New Roman" w:hAnsi="Times New Roman" w:cs="Times New Roman"/>
          <w:vertAlign w:val="superscript"/>
        </w:rPr>
        <w:t xml:space="preserve">c </w:t>
      </w:r>
      <w:r>
        <w:rPr>
          <w:rFonts w:ascii="Times New Roman" w:hAnsi="Times New Roman" w:cs="Times New Roman"/>
        </w:rPr>
        <w:t>AWE,</w:t>
      </w:r>
    </w:p>
    <w:p w14:paraId="22F333C9" w14:textId="77777777" w:rsidR="00BD6747" w:rsidRDefault="00BD6747" w:rsidP="00EB2FA9">
      <w:pPr>
        <w:ind w:left="567"/>
        <w:rPr>
          <w:rFonts w:ascii="Times New Roman" w:hAnsi="Times New Roman" w:cs="Times New Roman"/>
        </w:rPr>
      </w:pPr>
      <w:r>
        <w:rPr>
          <w:rFonts w:ascii="Times New Roman" w:hAnsi="Times New Roman" w:cs="Times New Roman"/>
        </w:rPr>
        <w:t xml:space="preserve">  Aldermaston, Reading, Berkshire,</w:t>
      </w:r>
    </w:p>
    <w:p w14:paraId="67166854" w14:textId="77777777" w:rsidR="00BD6747" w:rsidRPr="00690AA9" w:rsidRDefault="00BD6747" w:rsidP="00EB2FA9">
      <w:pPr>
        <w:ind w:left="567"/>
        <w:rPr>
          <w:rFonts w:ascii="Times New Roman" w:hAnsi="Times New Roman" w:cs="Times New Roman"/>
          <w:lang w:val="en-GB"/>
        </w:rPr>
      </w:pPr>
      <w:r>
        <w:rPr>
          <w:rFonts w:ascii="Times New Roman" w:hAnsi="Times New Roman" w:cs="Times New Roman"/>
        </w:rPr>
        <w:t xml:space="preserve">  RG7 4 PR,</w:t>
      </w:r>
    </w:p>
    <w:p w14:paraId="61AD5533" w14:textId="77777777" w:rsidR="00BD6747" w:rsidRDefault="00BD6747" w:rsidP="00EB2FA9">
      <w:pPr>
        <w:ind w:left="567"/>
        <w:rPr>
          <w:rFonts w:ascii="Times New Roman" w:hAnsi="Times New Roman" w:cs="Times New Roman"/>
        </w:rPr>
      </w:pPr>
      <w:r>
        <w:rPr>
          <w:rFonts w:ascii="Times New Roman" w:hAnsi="Times New Roman" w:cs="Times New Roman"/>
        </w:rPr>
        <w:t xml:space="preserve">  United Kingdom</w:t>
      </w:r>
    </w:p>
    <w:p w14:paraId="51AA7AF0" w14:textId="77777777" w:rsidR="00BD6747" w:rsidRDefault="00BD6747" w:rsidP="00EB2FA9">
      <w:pPr>
        <w:ind w:left="567"/>
        <w:rPr>
          <w:rFonts w:ascii="Times New Roman" w:hAnsi="Times New Roman" w:cs="Times New Roman"/>
        </w:rPr>
      </w:pPr>
    </w:p>
    <w:p w14:paraId="143B3B3B" w14:textId="77777777" w:rsidR="00BD6747" w:rsidRDefault="00BD6747" w:rsidP="00EB2FA9">
      <w:pPr>
        <w:ind w:left="567"/>
        <w:rPr>
          <w:rStyle w:val="apple-converted-space"/>
          <w:rFonts w:ascii="Times New Roman" w:hAnsi="Times New Roman" w:cs="Times New Roman"/>
          <w:color w:val="000000"/>
        </w:rPr>
      </w:pPr>
      <w:r>
        <w:rPr>
          <w:rFonts w:ascii="Times New Roman" w:hAnsi="Times New Roman" w:cs="Times New Roman"/>
          <w:color w:val="000000"/>
          <w:vertAlign w:val="superscript"/>
        </w:rPr>
        <w:t xml:space="preserve">d </w:t>
      </w:r>
      <w:r w:rsidR="00EE4761">
        <w:rPr>
          <w:rFonts w:ascii="Times New Roman" w:hAnsi="Times New Roman" w:cs="Times New Roman"/>
          <w:color w:val="000000"/>
        </w:rPr>
        <w:t>DSO National Laboratories</w:t>
      </w:r>
      <w:r w:rsidRPr="00BD6747">
        <w:rPr>
          <w:rFonts w:ascii="Times New Roman" w:hAnsi="Times New Roman" w:cs="Times New Roman"/>
          <w:color w:val="000000"/>
        </w:rPr>
        <w:t>,</w:t>
      </w:r>
      <w:r w:rsidRPr="00BD6747">
        <w:rPr>
          <w:rStyle w:val="apple-converted-space"/>
          <w:rFonts w:ascii="Times New Roman" w:hAnsi="Times New Roman" w:cs="Times New Roman"/>
          <w:color w:val="000000"/>
        </w:rPr>
        <w:t> </w:t>
      </w:r>
    </w:p>
    <w:p w14:paraId="3F5C0B71" w14:textId="77777777" w:rsidR="00BD6747" w:rsidRPr="00EE4761" w:rsidRDefault="00BD6747" w:rsidP="00EB2FA9">
      <w:pPr>
        <w:ind w:left="567"/>
      </w:pPr>
      <w:r>
        <w:rPr>
          <w:rFonts w:ascii="Times New Roman" w:hAnsi="Times New Roman" w:cs="Times New Roman"/>
          <w:color w:val="000000"/>
        </w:rPr>
        <w:t xml:space="preserve">  </w:t>
      </w:r>
      <w:r w:rsidR="00EE4761" w:rsidRPr="00EE4761">
        <w:rPr>
          <w:rFonts w:ascii="Times New Roman" w:hAnsi="Times New Roman" w:cs="Times New Roman"/>
          <w:color w:val="000000"/>
        </w:rPr>
        <w:t>20 Science Park Drive</w:t>
      </w:r>
      <w:r w:rsidRPr="00BD6747">
        <w:rPr>
          <w:rFonts w:ascii="Times New Roman" w:hAnsi="Times New Roman" w:cs="Times New Roman"/>
          <w:color w:val="000000"/>
        </w:rPr>
        <w:t>,</w:t>
      </w:r>
      <w:r w:rsidRPr="00EE4761">
        <w:t> </w:t>
      </w:r>
    </w:p>
    <w:p w14:paraId="492FD30E" w14:textId="77777777" w:rsidR="00BD6747" w:rsidRDefault="00BD6747" w:rsidP="00EB2FA9">
      <w:pPr>
        <w:ind w:left="567"/>
        <w:rPr>
          <w:rFonts w:ascii="Times New Roman" w:hAnsi="Times New Roman" w:cs="Times New Roman"/>
          <w:color w:val="000000"/>
        </w:rPr>
      </w:pPr>
      <w:r w:rsidRPr="00EE4761">
        <w:t xml:space="preserve">  </w:t>
      </w:r>
      <w:r w:rsidR="00EE4761" w:rsidRPr="00EE4761">
        <w:t>Singapore</w:t>
      </w:r>
    </w:p>
    <w:p w14:paraId="4AC0943B" w14:textId="77777777" w:rsidR="00BD6747" w:rsidRDefault="00BD6747" w:rsidP="00EB2FA9">
      <w:pPr>
        <w:ind w:left="567"/>
        <w:rPr>
          <w:rFonts w:ascii="Times New Roman" w:hAnsi="Times New Roman" w:cs="Times New Roman"/>
          <w:color w:val="000000"/>
        </w:rPr>
      </w:pPr>
    </w:p>
    <w:p w14:paraId="59037499" w14:textId="77777777" w:rsidR="00BD6747" w:rsidRPr="00EE4761" w:rsidRDefault="00BD6747" w:rsidP="00EB2FA9">
      <w:pPr>
        <w:ind w:left="567"/>
        <w:rPr>
          <w:rFonts w:ascii="Times New Roman" w:hAnsi="Times New Roman" w:cs="Times New Roman"/>
          <w:lang w:val="fr-FR"/>
        </w:rPr>
      </w:pPr>
      <w:r w:rsidRPr="00EE4761">
        <w:rPr>
          <w:rFonts w:ascii="Times New Roman" w:hAnsi="Times New Roman" w:cs="Times New Roman"/>
          <w:vertAlign w:val="superscript"/>
          <w:lang w:val="fr-FR"/>
        </w:rPr>
        <w:t xml:space="preserve">e </w:t>
      </w:r>
      <w:r w:rsidRPr="00EE4761">
        <w:rPr>
          <w:rFonts w:ascii="Times New Roman" w:hAnsi="Times New Roman" w:cs="Times New Roman"/>
          <w:lang w:val="fr-FR"/>
        </w:rPr>
        <w:t xml:space="preserve">Commissariat a l’Energie Atomique </w:t>
      </w:r>
      <w:r w:rsidR="00AD0450" w:rsidRPr="00EE4761">
        <w:rPr>
          <w:rFonts w:ascii="Times New Roman" w:hAnsi="Times New Roman" w:cs="Times New Roman"/>
          <w:lang w:val="fr-FR"/>
        </w:rPr>
        <w:t xml:space="preserve">et aux Energies Alternatives </w:t>
      </w:r>
      <w:r w:rsidRPr="00EE4761">
        <w:rPr>
          <w:rFonts w:ascii="Times New Roman" w:hAnsi="Times New Roman" w:cs="Times New Roman"/>
          <w:lang w:val="fr-FR"/>
        </w:rPr>
        <w:t xml:space="preserve">(CEA), </w:t>
      </w:r>
    </w:p>
    <w:p w14:paraId="749CF143" w14:textId="77777777" w:rsidR="00BD6747" w:rsidRPr="00EE4761" w:rsidRDefault="00BD6747" w:rsidP="00EB2FA9">
      <w:pPr>
        <w:ind w:left="567"/>
        <w:rPr>
          <w:rFonts w:ascii="Times New Roman" w:hAnsi="Times New Roman" w:cs="Times New Roman"/>
          <w:lang w:val="fr-FR"/>
        </w:rPr>
      </w:pPr>
      <w:r w:rsidRPr="00EE4761">
        <w:rPr>
          <w:rFonts w:ascii="Times New Roman" w:hAnsi="Times New Roman" w:cs="Times New Roman"/>
          <w:bCs/>
          <w:color w:val="000000"/>
          <w:szCs w:val="28"/>
          <w:lang w:val="fr-FR"/>
        </w:rPr>
        <w:t xml:space="preserve">  Bruyères-le-Châtel</w:t>
      </w:r>
      <w:r w:rsidRPr="00EE4761">
        <w:rPr>
          <w:rFonts w:ascii="Times New Roman" w:hAnsi="Times New Roman" w:cs="Times New Roman"/>
          <w:color w:val="000000"/>
          <w:lang w:val="fr-FR"/>
        </w:rPr>
        <w:t>,</w:t>
      </w:r>
      <w:r w:rsidRPr="00EE4761">
        <w:rPr>
          <w:rFonts w:ascii="Times New Roman" w:hAnsi="Times New Roman" w:cs="Times New Roman"/>
          <w:lang w:val="fr-FR"/>
        </w:rPr>
        <w:t xml:space="preserve"> </w:t>
      </w:r>
    </w:p>
    <w:p w14:paraId="43E095D2" w14:textId="77777777" w:rsidR="00BD6747" w:rsidRPr="00EE4761" w:rsidRDefault="00BD6747" w:rsidP="00EB2FA9">
      <w:pPr>
        <w:ind w:left="567"/>
        <w:rPr>
          <w:rFonts w:ascii="Times New Roman" w:hAnsi="Times New Roman" w:cs="Times New Roman"/>
          <w:lang w:val="fr-FR"/>
        </w:rPr>
      </w:pPr>
      <w:r w:rsidRPr="00EE4761">
        <w:rPr>
          <w:rFonts w:ascii="Times New Roman" w:hAnsi="Times New Roman" w:cs="Times New Roman"/>
          <w:lang w:val="fr-FR"/>
        </w:rPr>
        <w:t xml:space="preserve">  91297 Arpajon Cedex, France</w:t>
      </w:r>
    </w:p>
    <w:p w14:paraId="19E06425" w14:textId="77777777" w:rsidR="00841CC1" w:rsidRPr="00EE4761" w:rsidRDefault="00841CC1" w:rsidP="00EB2FA9">
      <w:pPr>
        <w:ind w:left="567"/>
        <w:rPr>
          <w:rFonts w:ascii="Times New Roman" w:hAnsi="Times New Roman" w:cs="Times New Roman"/>
          <w:lang w:val="fr-FR"/>
        </w:rPr>
      </w:pPr>
    </w:p>
    <w:p w14:paraId="506EA486" w14:textId="77777777" w:rsidR="00841CC1" w:rsidRPr="00681D2A" w:rsidRDefault="00841CC1" w:rsidP="00841CC1">
      <w:pPr>
        <w:jc w:val="both"/>
        <w:rPr>
          <w:rFonts w:ascii="Times New Roman" w:hAnsi="Times New Roman" w:cs="Times New Roman"/>
          <w:sz w:val="18"/>
        </w:rPr>
      </w:pPr>
      <w:r>
        <w:rPr>
          <w:rFonts w:ascii="Times New Roman" w:hAnsi="Times New Roman" w:cs="Times New Roman"/>
          <w:b/>
          <w:sz w:val="20"/>
        </w:rPr>
        <w:t>Abstract.</w:t>
      </w:r>
      <w:r w:rsidR="00681D2A">
        <w:rPr>
          <w:rFonts w:ascii="Times New Roman" w:hAnsi="Times New Roman" w:cs="Times New Roman"/>
          <w:sz w:val="20"/>
        </w:rPr>
        <w:t xml:space="preserve"> </w:t>
      </w:r>
      <w:r w:rsidR="00681D2A" w:rsidRPr="00681D2A">
        <w:rPr>
          <w:rFonts w:ascii="Times New Roman" w:hAnsi="Times New Roman" w:cs="Times New Roman"/>
          <w:sz w:val="20"/>
        </w:rPr>
        <w:t xml:space="preserve">The Nuclear Forensics International Technical Working Group (ITWG) is </w:t>
      </w:r>
      <w:r w:rsidR="00767BAA">
        <w:rPr>
          <w:rFonts w:ascii="Times New Roman" w:hAnsi="Times New Roman" w:cs="Times New Roman"/>
          <w:sz w:val="20"/>
        </w:rPr>
        <w:t xml:space="preserve">a </w:t>
      </w:r>
      <w:r w:rsidR="00681D2A" w:rsidRPr="00681D2A">
        <w:rPr>
          <w:rFonts w:ascii="Times New Roman" w:hAnsi="Times New Roman" w:cs="Times New Roman"/>
          <w:sz w:val="20"/>
        </w:rPr>
        <w:t>multinational, informal association of official practitioners of nuclear forensics - laboratory scientists, law enforcement personnel, and regulatory officials - who share a common task in responding to</w:t>
      </w:r>
      <w:r w:rsidR="00767BAA">
        <w:rPr>
          <w:rFonts w:ascii="Times New Roman" w:hAnsi="Times New Roman" w:cs="Times New Roman"/>
          <w:sz w:val="20"/>
        </w:rPr>
        <w:t xml:space="preserve"> nuclear security</w:t>
      </w:r>
      <w:r w:rsidR="00681D2A" w:rsidRPr="00681D2A">
        <w:rPr>
          <w:rFonts w:ascii="Times New Roman" w:hAnsi="Times New Roman" w:cs="Times New Roman"/>
          <w:sz w:val="20"/>
        </w:rPr>
        <w:t xml:space="preserve"> events involving nuclear </w:t>
      </w:r>
      <w:r w:rsidR="00767BAA">
        <w:rPr>
          <w:rFonts w:ascii="Times New Roman" w:hAnsi="Times New Roman" w:cs="Times New Roman"/>
          <w:sz w:val="20"/>
        </w:rPr>
        <w:t>or</w:t>
      </w:r>
      <w:r w:rsidR="00767BAA" w:rsidRPr="00681D2A">
        <w:rPr>
          <w:rFonts w:ascii="Times New Roman" w:hAnsi="Times New Roman" w:cs="Times New Roman"/>
          <w:sz w:val="20"/>
        </w:rPr>
        <w:t xml:space="preserve"> </w:t>
      </w:r>
      <w:r w:rsidR="00681D2A" w:rsidRPr="00681D2A">
        <w:rPr>
          <w:rFonts w:ascii="Times New Roman" w:hAnsi="Times New Roman" w:cs="Times New Roman"/>
          <w:sz w:val="20"/>
        </w:rPr>
        <w:t>other radioactive materials out of regulatory control.</w:t>
      </w:r>
      <w:r w:rsidR="00681D2A">
        <w:rPr>
          <w:rFonts w:ascii="Times New Roman" w:hAnsi="Times New Roman" w:cs="Times New Roman"/>
          <w:sz w:val="20"/>
        </w:rPr>
        <w:t xml:space="preserve"> The ITWG conducts its work through a combination of annual meetings, task group activities, and special exercises. </w:t>
      </w:r>
      <w:r w:rsidR="00681D2A" w:rsidRPr="00681D2A">
        <w:rPr>
          <w:rFonts w:ascii="Times New Roman" w:hAnsi="Times New Roman" w:cs="Times New Roman"/>
          <w:sz w:val="20"/>
        </w:rPr>
        <w:t>Participation in the ITWG is open to competent and qualified Government participants from nations having, or wishing to have, a nuclear forensics capability. By coming together in an informal network, ITWG participants can fulfill the role of advancing best practices in nuclear forensic. The voluntary, informal nature of ITWG fosters cooperation and collaboration in a less restricted manner than might be possible for organizations having more formal structures.</w:t>
      </w:r>
    </w:p>
    <w:p w14:paraId="3FAA94A7" w14:textId="77777777" w:rsidR="00841CC1" w:rsidRDefault="00841CC1" w:rsidP="00841CC1">
      <w:pPr>
        <w:jc w:val="both"/>
        <w:rPr>
          <w:rFonts w:ascii="Times New Roman" w:hAnsi="Times New Roman" w:cs="Times New Roman"/>
          <w:sz w:val="20"/>
        </w:rPr>
      </w:pPr>
    </w:p>
    <w:p w14:paraId="0E159AB2" w14:textId="77777777" w:rsidR="000C6212" w:rsidRDefault="000C6212" w:rsidP="00841CC1">
      <w:pPr>
        <w:jc w:val="both"/>
        <w:rPr>
          <w:rFonts w:ascii="Times New Roman" w:hAnsi="Times New Roman" w:cs="Times New Roman"/>
          <w:sz w:val="20"/>
        </w:rPr>
      </w:pPr>
    </w:p>
    <w:p w14:paraId="6DDC51D6" w14:textId="77777777" w:rsidR="00841CC1" w:rsidRPr="00841CC1" w:rsidRDefault="00841CC1" w:rsidP="00841CC1">
      <w:pPr>
        <w:jc w:val="both"/>
        <w:rPr>
          <w:rFonts w:ascii="Times New Roman" w:hAnsi="Times New Roman" w:cs="Times New Roman"/>
        </w:rPr>
      </w:pPr>
      <w:r w:rsidRPr="00841CC1">
        <w:rPr>
          <w:rFonts w:ascii="Times New Roman" w:hAnsi="Times New Roman" w:cs="Times New Roman"/>
          <w:b/>
        </w:rPr>
        <w:t>1. Introduction</w:t>
      </w:r>
    </w:p>
    <w:p w14:paraId="383C8145" w14:textId="77777777" w:rsidR="00841CC1" w:rsidRDefault="00841CC1" w:rsidP="00841CC1">
      <w:pPr>
        <w:jc w:val="both"/>
        <w:rPr>
          <w:rFonts w:ascii="Times New Roman" w:hAnsi="Times New Roman" w:cs="Times New Roman"/>
          <w:sz w:val="24"/>
        </w:rPr>
      </w:pPr>
    </w:p>
    <w:p w14:paraId="0437F795" w14:textId="77777777" w:rsidR="00921214" w:rsidRPr="00921214" w:rsidRDefault="00921214" w:rsidP="00921214">
      <w:pPr>
        <w:jc w:val="both"/>
        <w:rPr>
          <w:rFonts w:ascii="Times New Roman" w:hAnsi="Times New Roman" w:cs="Times New Roman"/>
        </w:rPr>
      </w:pPr>
      <w:r w:rsidRPr="00921214">
        <w:rPr>
          <w:rFonts w:ascii="Times New Roman" w:hAnsi="Times New Roman" w:cs="Times New Roman"/>
        </w:rPr>
        <w:t>The Nuclear Forensics International Tech</w:t>
      </w:r>
      <w:r w:rsidR="001F3E2D">
        <w:rPr>
          <w:rFonts w:ascii="Times New Roman" w:hAnsi="Times New Roman" w:cs="Times New Roman"/>
        </w:rPr>
        <w:t xml:space="preserve">nical Working Group (ITWG) is </w:t>
      </w:r>
      <w:r w:rsidR="00767BAA">
        <w:rPr>
          <w:rFonts w:ascii="Times New Roman" w:hAnsi="Times New Roman" w:cs="Times New Roman"/>
        </w:rPr>
        <w:t xml:space="preserve">a </w:t>
      </w:r>
      <w:r w:rsidR="001F3E2D">
        <w:rPr>
          <w:rFonts w:ascii="Times New Roman" w:hAnsi="Times New Roman" w:cs="Times New Roman"/>
        </w:rPr>
        <w:t xml:space="preserve">multinational, </w:t>
      </w:r>
      <w:r w:rsidRPr="00921214">
        <w:rPr>
          <w:rFonts w:ascii="Times New Roman" w:hAnsi="Times New Roman" w:cs="Times New Roman"/>
        </w:rPr>
        <w:t xml:space="preserve">informal </w:t>
      </w:r>
      <w:r w:rsidR="001F3E2D">
        <w:rPr>
          <w:rFonts w:ascii="Times New Roman" w:hAnsi="Times New Roman" w:cs="Times New Roman"/>
        </w:rPr>
        <w:t>association of</w:t>
      </w:r>
      <w:r w:rsidRPr="00921214">
        <w:rPr>
          <w:rFonts w:ascii="Times New Roman" w:hAnsi="Times New Roman" w:cs="Times New Roman"/>
        </w:rPr>
        <w:t xml:space="preserve"> official practitioners of nuclear forensics - laboratory scientists, law enforcement personnel, and regulatory officials - who share a common task in responding to </w:t>
      </w:r>
      <w:r w:rsidR="00767BAA">
        <w:rPr>
          <w:rFonts w:ascii="Times New Roman" w:hAnsi="Times New Roman" w:cs="Times New Roman"/>
        </w:rPr>
        <w:t xml:space="preserve">nuclear security </w:t>
      </w:r>
      <w:r w:rsidRPr="00921214">
        <w:rPr>
          <w:rFonts w:ascii="Times New Roman" w:hAnsi="Times New Roman" w:cs="Times New Roman"/>
        </w:rPr>
        <w:t xml:space="preserve">events involving nuclear </w:t>
      </w:r>
      <w:r w:rsidR="00767BAA">
        <w:rPr>
          <w:rFonts w:ascii="Times New Roman" w:hAnsi="Times New Roman" w:cs="Times New Roman"/>
        </w:rPr>
        <w:t>or</w:t>
      </w:r>
      <w:r w:rsidR="00767BAA" w:rsidRPr="00921214">
        <w:rPr>
          <w:rFonts w:ascii="Times New Roman" w:hAnsi="Times New Roman" w:cs="Times New Roman"/>
        </w:rPr>
        <w:t xml:space="preserve"> </w:t>
      </w:r>
      <w:r w:rsidRPr="00921214">
        <w:rPr>
          <w:rFonts w:ascii="Times New Roman" w:hAnsi="Times New Roman" w:cs="Times New Roman"/>
        </w:rPr>
        <w:t>other radioactive materials out of regulatory control. The ITWG was established in 1995-1996 as a result of an initiative of the G-8 (both the 1995 Ottawa Summit and the 1996 Moscow Nuclear Security Summit), largely through the efforts of concerned scientists from the national laboratories of the US Department of Energy and the Institute for Transuranium Elements representing the European Commission</w:t>
      </w:r>
      <w:r w:rsidR="00940DBB">
        <w:rPr>
          <w:rFonts w:ascii="Times New Roman" w:hAnsi="Times New Roman" w:cs="Times New Roman"/>
        </w:rPr>
        <w:t>, with the encouragement of Government officials</w:t>
      </w:r>
      <w:r w:rsidRPr="00921214">
        <w:rPr>
          <w:rFonts w:ascii="Times New Roman" w:hAnsi="Times New Roman" w:cs="Times New Roman"/>
        </w:rPr>
        <w:t>. Its establishment reflected heightened concerns over the thr</w:t>
      </w:r>
      <w:r w:rsidR="00B84018">
        <w:rPr>
          <w:rFonts w:ascii="Times New Roman" w:hAnsi="Times New Roman" w:cs="Times New Roman"/>
        </w:rPr>
        <w:t>eat posed by nuclear smuggling.</w:t>
      </w:r>
    </w:p>
    <w:p w14:paraId="7221B57D" w14:textId="77777777" w:rsidR="00010891" w:rsidRPr="00921214" w:rsidRDefault="00921214" w:rsidP="00010891">
      <w:pPr>
        <w:jc w:val="both"/>
        <w:rPr>
          <w:rFonts w:ascii="Times New Roman" w:hAnsi="Times New Roman" w:cs="Times New Roman"/>
        </w:rPr>
      </w:pPr>
      <w:r w:rsidRPr="00921214">
        <w:rPr>
          <w:rFonts w:ascii="Times New Roman" w:hAnsi="Times New Roman" w:cs="Times New Roman"/>
        </w:rPr>
        <w:br/>
      </w:r>
      <w:r w:rsidR="00010891" w:rsidRPr="00921214">
        <w:rPr>
          <w:rFonts w:ascii="Times New Roman" w:hAnsi="Times New Roman" w:cs="Times New Roman"/>
        </w:rPr>
        <w:t>Known originally as the “Nuclear Smuggling International Technical Working Group</w:t>
      </w:r>
      <w:r w:rsidR="00010891">
        <w:rPr>
          <w:rFonts w:ascii="Times New Roman" w:hAnsi="Times New Roman" w:cs="Times New Roman"/>
        </w:rPr>
        <w:t>,</w:t>
      </w:r>
      <w:r w:rsidR="00010891" w:rsidRPr="00921214">
        <w:rPr>
          <w:rFonts w:ascii="Times New Roman" w:hAnsi="Times New Roman" w:cs="Times New Roman"/>
        </w:rPr>
        <w:t xml:space="preserve">” the ITWG changed its name in 2010 to reflect the increasing importance attached internationally to nuclear forensics. It also reflects the emphasis the ITWG is devoting to best practices for forensics - both those forensic analyses directed toward the nuclear or other radioactive material itself as well as traditional forensic procedures conducted on evidence contaminated with </w:t>
      </w:r>
      <w:r w:rsidR="00681D2A">
        <w:rPr>
          <w:rFonts w:ascii="Times New Roman" w:hAnsi="Times New Roman" w:cs="Times New Roman"/>
        </w:rPr>
        <w:t xml:space="preserve">nuclear or other </w:t>
      </w:r>
      <w:r w:rsidR="00010891" w:rsidRPr="00921214">
        <w:rPr>
          <w:rFonts w:ascii="Times New Roman" w:hAnsi="Times New Roman" w:cs="Times New Roman"/>
        </w:rPr>
        <w:t>radioactive material.</w:t>
      </w:r>
    </w:p>
    <w:p w14:paraId="123C7C9E" w14:textId="77777777" w:rsidR="00010891" w:rsidRDefault="00010891" w:rsidP="00921214">
      <w:pPr>
        <w:jc w:val="both"/>
        <w:rPr>
          <w:rFonts w:ascii="Times New Roman" w:hAnsi="Times New Roman" w:cs="Times New Roman"/>
        </w:rPr>
      </w:pPr>
    </w:p>
    <w:p w14:paraId="358564C8" w14:textId="77777777" w:rsidR="00841CC1" w:rsidRDefault="00921214" w:rsidP="00921214">
      <w:pPr>
        <w:jc w:val="both"/>
        <w:rPr>
          <w:rFonts w:ascii="Times New Roman" w:hAnsi="Times New Roman" w:cs="Times New Roman"/>
        </w:rPr>
      </w:pPr>
      <w:r w:rsidRPr="00921214">
        <w:rPr>
          <w:rFonts w:ascii="Times New Roman" w:hAnsi="Times New Roman" w:cs="Times New Roman"/>
        </w:rPr>
        <w:t xml:space="preserve">Participation in the ITWG is open to competent and qualified </w:t>
      </w:r>
      <w:r w:rsidR="000C6212">
        <w:rPr>
          <w:rFonts w:ascii="Times New Roman" w:hAnsi="Times New Roman" w:cs="Times New Roman"/>
        </w:rPr>
        <w:t>individuals</w:t>
      </w:r>
      <w:r w:rsidRPr="00921214">
        <w:rPr>
          <w:rFonts w:ascii="Times New Roman" w:hAnsi="Times New Roman" w:cs="Times New Roman"/>
        </w:rPr>
        <w:t xml:space="preserve"> </w:t>
      </w:r>
      <w:r w:rsidR="00BF48C8">
        <w:rPr>
          <w:rFonts w:ascii="Times New Roman" w:hAnsi="Times New Roman" w:cs="Times New Roman"/>
        </w:rPr>
        <w:t xml:space="preserve">affiliated with national response organizations </w:t>
      </w:r>
      <w:r w:rsidRPr="00921214">
        <w:rPr>
          <w:rFonts w:ascii="Times New Roman" w:hAnsi="Times New Roman" w:cs="Times New Roman"/>
        </w:rPr>
        <w:t xml:space="preserve">from </w:t>
      </w:r>
      <w:r w:rsidR="00BF48C8">
        <w:rPr>
          <w:rFonts w:ascii="Times New Roman" w:hAnsi="Times New Roman" w:cs="Times New Roman"/>
        </w:rPr>
        <w:t>states</w:t>
      </w:r>
      <w:r w:rsidR="00BF48C8" w:rsidRPr="00921214">
        <w:rPr>
          <w:rFonts w:ascii="Times New Roman" w:hAnsi="Times New Roman" w:cs="Times New Roman"/>
        </w:rPr>
        <w:t xml:space="preserve"> </w:t>
      </w:r>
      <w:r w:rsidRPr="00921214">
        <w:rPr>
          <w:rFonts w:ascii="Times New Roman" w:hAnsi="Times New Roman" w:cs="Times New Roman"/>
        </w:rPr>
        <w:t>having, or wishing to have, a nuclear forensics capability. By coming together in an informal network, ITWG participants can fulfill the role of advancing bes</w:t>
      </w:r>
      <w:r w:rsidR="00010891">
        <w:rPr>
          <w:rFonts w:ascii="Times New Roman" w:hAnsi="Times New Roman" w:cs="Times New Roman"/>
        </w:rPr>
        <w:t>t practices in nuclear forensic</w:t>
      </w:r>
      <w:r w:rsidR="00940DBB">
        <w:rPr>
          <w:rFonts w:ascii="Times New Roman" w:hAnsi="Times New Roman" w:cs="Times New Roman"/>
        </w:rPr>
        <w:t>s</w:t>
      </w:r>
      <w:r w:rsidR="00010891">
        <w:rPr>
          <w:rFonts w:ascii="Times New Roman" w:hAnsi="Times New Roman" w:cs="Times New Roman"/>
        </w:rPr>
        <w:t xml:space="preserve">. The voluntary, informal nature of ITWG </w:t>
      </w:r>
      <w:r w:rsidR="00E4615A">
        <w:rPr>
          <w:rFonts w:ascii="Times New Roman" w:hAnsi="Times New Roman" w:cs="Times New Roman"/>
        </w:rPr>
        <w:t xml:space="preserve">fosters cooperation and collaboration </w:t>
      </w:r>
      <w:r w:rsidR="00BF48C8">
        <w:rPr>
          <w:rFonts w:ascii="Times New Roman" w:hAnsi="Times New Roman" w:cs="Times New Roman"/>
        </w:rPr>
        <w:t>among scientists and allows focusing on scientific and technical issues in order to advance the discipline of nuclear forensic science</w:t>
      </w:r>
      <w:r w:rsidR="00F77D0A">
        <w:rPr>
          <w:rFonts w:ascii="Times New Roman" w:hAnsi="Times New Roman" w:cs="Times New Roman"/>
        </w:rPr>
        <w:t xml:space="preserve">. </w:t>
      </w:r>
    </w:p>
    <w:p w14:paraId="59782D03" w14:textId="77777777" w:rsidR="00681D2A" w:rsidRDefault="00681D2A" w:rsidP="00921214">
      <w:pPr>
        <w:jc w:val="both"/>
        <w:rPr>
          <w:rFonts w:ascii="Times New Roman" w:hAnsi="Times New Roman" w:cs="Times New Roman"/>
        </w:rPr>
      </w:pPr>
    </w:p>
    <w:p w14:paraId="7263BC8E" w14:textId="77777777" w:rsidR="00921214" w:rsidRDefault="00F77D0A" w:rsidP="00921214">
      <w:pPr>
        <w:jc w:val="both"/>
        <w:rPr>
          <w:rFonts w:ascii="Times New Roman" w:hAnsi="Times New Roman" w:cs="Times New Roman"/>
        </w:rPr>
      </w:pPr>
      <w:r>
        <w:rPr>
          <w:rFonts w:ascii="Times New Roman" w:hAnsi="Times New Roman" w:cs="Times New Roman"/>
        </w:rPr>
        <w:t>T</w:t>
      </w:r>
      <w:r w:rsidR="00BF48C8">
        <w:rPr>
          <w:rFonts w:ascii="Times New Roman" w:hAnsi="Times New Roman" w:cs="Times New Roman"/>
        </w:rPr>
        <w:t>o this end, t</w:t>
      </w:r>
      <w:r>
        <w:rPr>
          <w:rFonts w:ascii="Times New Roman" w:hAnsi="Times New Roman" w:cs="Times New Roman"/>
        </w:rPr>
        <w:t>he ITWG conducts its work primarily through task groups, which are encouraged to engage in activities on a continuous basis, and through meetings, which are intended to be conducted on an annual basis. Additional details on the task groups and annual meetings are offered in the following sections.</w:t>
      </w:r>
    </w:p>
    <w:p w14:paraId="77458613" w14:textId="77777777" w:rsidR="00841CC1" w:rsidRDefault="00841CC1" w:rsidP="00841CC1">
      <w:pPr>
        <w:jc w:val="both"/>
        <w:rPr>
          <w:rFonts w:ascii="Times New Roman" w:hAnsi="Times New Roman" w:cs="Times New Roman"/>
        </w:rPr>
      </w:pPr>
    </w:p>
    <w:p w14:paraId="413575B9" w14:textId="77777777" w:rsidR="00841CC1" w:rsidRPr="00841CC1" w:rsidRDefault="00B267DC" w:rsidP="00841CC1">
      <w:pPr>
        <w:jc w:val="both"/>
        <w:rPr>
          <w:rFonts w:ascii="Times New Roman" w:hAnsi="Times New Roman" w:cs="Times New Roman"/>
          <w:b/>
        </w:rPr>
      </w:pPr>
      <w:r>
        <w:rPr>
          <w:rFonts w:ascii="Times New Roman" w:hAnsi="Times New Roman" w:cs="Times New Roman"/>
          <w:b/>
        </w:rPr>
        <w:t>2. ITWG task groups</w:t>
      </w:r>
    </w:p>
    <w:p w14:paraId="3AF2068F" w14:textId="77777777" w:rsidR="00841CC1" w:rsidRDefault="00841CC1" w:rsidP="00841CC1">
      <w:pPr>
        <w:jc w:val="both"/>
        <w:rPr>
          <w:rFonts w:ascii="Times New Roman" w:hAnsi="Times New Roman" w:cs="Times New Roman"/>
        </w:rPr>
      </w:pPr>
    </w:p>
    <w:p w14:paraId="71F2794F" w14:textId="77777777" w:rsidR="00F77D0A" w:rsidRDefault="00F77D0A" w:rsidP="00841CC1">
      <w:pPr>
        <w:jc w:val="both"/>
        <w:rPr>
          <w:rFonts w:ascii="Times New Roman" w:hAnsi="Times New Roman" w:cs="Times New Roman"/>
        </w:rPr>
      </w:pPr>
      <w:r>
        <w:rPr>
          <w:rFonts w:ascii="Times New Roman" w:hAnsi="Times New Roman" w:cs="Times New Roman"/>
        </w:rPr>
        <w:t xml:space="preserve">The ITWG organizes a portion of its work through task groups, with each group being related to an area or activity deemed critical to advancing the state-of-the-art in nuclear forensics. Presently, there are five ITWG task groups: </w:t>
      </w:r>
      <w:r w:rsidR="00590CA8">
        <w:rPr>
          <w:rFonts w:ascii="Times New Roman" w:hAnsi="Times New Roman" w:cs="Times New Roman"/>
        </w:rPr>
        <w:t>communications</w:t>
      </w:r>
      <w:r>
        <w:rPr>
          <w:rFonts w:ascii="Times New Roman" w:hAnsi="Times New Roman" w:cs="Times New Roman"/>
        </w:rPr>
        <w:t xml:space="preserve"> out-reach and training; evidence; exercises; guidelines; and national nuclear forensic libraries.</w:t>
      </w:r>
    </w:p>
    <w:p w14:paraId="7E24B1F9" w14:textId="77777777" w:rsidR="00690AA9" w:rsidRDefault="00690AA9" w:rsidP="00690AA9">
      <w:pPr>
        <w:jc w:val="both"/>
        <w:rPr>
          <w:rFonts w:ascii="Times New Roman" w:hAnsi="Times New Roman" w:cs="Times New Roman"/>
          <w:b/>
          <w:i/>
        </w:rPr>
      </w:pPr>
    </w:p>
    <w:p w14:paraId="60CC9B69" w14:textId="77777777" w:rsidR="00690AA9" w:rsidRPr="00841CC1" w:rsidRDefault="00690AA9" w:rsidP="00690AA9">
      <w:pPr>
        <w:jc w:val="both"/>
        <w:rPr>
          <w:rFonts w:ascii="Times New Roman" w:hAnsi="Times New Roman" w:cs="Times New Roman"/>
          <w:b/>
          <w:i/>
        </w:rPr>
      </w:pPr>
      <w:r w:rsidRPr="00841CC1">
        <w:rPr>
          <w:rFonts w:ascii="Times New Roman" w:hAnsi="Times New Roman" w:cs="Times New Roman"/>
          <w:b/>
          <w:i/>
        </w:rPr>
        <w:t>2</w:t>
      </w:r>
      <w:r>
        <w:rPr>
          <w:rFonts w:ascii="Times New Roman" w:hAnsi="Times New Roman" w:cs="Times New Roman"/>
          <w:b/>
          <w:i/>
        </w:rPr>
        <w:t>.1 Communications, out-reach and training</w:t>
      </w:r>
    </w:p>
    <w:p w14:paraId="2472F206" w14:textId="77777777" w:rsidR="00690AA9" w:rsidRDefault="00690AA9" w:rsidP="00690AA9">
      <w:pPr>
        <w:jc w:val="both"/>
        <w:rPr>
          <w:rFonts w:ascii="Times New Roman" w:hAnsi="Times New Roman" w:cs="Times New Roman"/>
        </w:rPr>
      </w:pPr>
    </w:p>
    <w:p w14:paraId="68BB92B7" w14:textId="77777777" w:rsidR="00690AA9" w:rsidRDefault="00690AA9" w:rsidP="00690AA9">
      <w:pPr>
        <w:jc w:val="both"/>
        <w:rPr>
          <w:rFonts w:ascii="Times New Roman" w:hAnsi="Times New Roman" w:cs="Times New Roman"/>
        </w:rPr>
      </w:pPr>
      <w:r>
        <w:rPr>
          <w:rFonts w:ascii="Times New Roman" w:hAnsi="Times New Roman" w:cs="Times New Roman"/>
        </w:rPr>
        <w:t xml:space="preserve">The ITWG Communications Out-reach and Training Task Group addresses the needs of ITWG participants regarding various aspects of communicating relevant information within national borders, with participants from other nations, and with other groups and organizations having interests related to nuclear forensics. </w:t>
      </w:r>
    </w:p>
    <w:p w14:paraId="7EF85BB4" w14:textId="77777777" w:rsidR="00690AA9" w:rsidRDefault="00690AA9" w:rsidP="00690AA9">
      <w:pPr>
        <w:jc w:val="both"/>
        <w:rPr>
          <w:rFonts w:ascii="Times New Roman" w:hAnsi="Times New Roman" w:cs="Times New Roman"/>
        </w:rPr>
      </w:pPr>
    </w:p>
    <w:p w14:paraId="18E317CE" w14:textId="77777777" w:rsidR="00690AA9" w:rsidRDefault="00690AA9" w:rsidP="00690AA9">
      <w:pPr>
        <w:jc w:val="both"/>
        <w:rPr>
          <w:rFonts w:ascii="Times New Roman" w:hAnsi="Times New Roman" w:cs="Times New Roman"/>
        </w:rPr>
      </w:pPr>
      <w:r>
        <w:rPr>
          <w:rFonts w:ascii="Times New Roman" w:hAnsi="Times New Roman" w:cs="Times New Roman"/>
        </w:rPr>
        <w:t xml:space="preserve">A major responsibility of the task group has been the development and maintenance of the website for the ITWG, </w:t>
      </w:r>
      <w:r w:rsidRPr="004178A0">
        <w:rPr>
          <w:rFonts w:ascii="Times New Roman" w:hAnsi="Times New Roman" w:cs="Times New Roman"/>
        </w:rPr>
        <w:t>www.nf-itwg.org</w:t>
      </w:r>
      <w:r>
        <w:rPr>
          <w:rFonts w:ascii="Times New Roman" w:hAnsi="Times New Roman" w:cs="Times New Roman"/>
        </w:rPr>
        <w:t xml:space="preserve">. In this regard, the ITWG is indebted to the </w:t>
      </w:r>
      <w:r w:rsidRPr="00BD6747">
        <w:rPr>
          <w:rFonts w:ascii="Times New Roman" w:hAnsi="Times New Roman" w:cs="Times New Roman"/>
        </w:rPr>
        <w:t>Commissariat a l’Energie Atomique</w:t>
      </w:r>
      <w:r>
        <w:rPr>
          <w:rFonts w:ascii="Times New Roman" w:hAnsi="Times New Roman" w:cs="Times New Roman"/>
        </w:rPr>
        <w:t xml:space="preserve"> </w:t>
      </w:r>
      <w:r w:rsidR="00AD0450" w:rsidRPr="008839EC">
        <w:rPr>
          <w:rFonts w:ascii="Times New Roman" w:hAnsi="Times New Roman" w:cs="Times New Roman"/>
        </w:rPr>
        <w:t>et aux Energies Alternatives</w:t>
      </w:r>
      <w:r w:rsidR="00AD0450" w:rsidRPr="00AD0450">
        <w:rPr>
          <w:rFonts w:ascii="Times New Roman" w:hAnsi="Times New Roman" w:cs="Times New Roman"/>
        </w:rPr>
        <w:t xml:space="preserve"> </w:t>
      </w:r>
      <w:r>
        <w:rPr>
          <w:rFonts w:ascii="Times New Roman" w:hAnsi="Times New Roman" w:cs="Times New Roman"/>
        </w:rPr>
        <w:t xml:space="preserve">(CEA), France, for its financial and professional support of the website. The website affords a means of making available publications and other materials prepared by and approved for release by the ITWG, such as [1,2,3]. The website homepage is depicted in Fig 1. </w:t>
      </w:r>
    </w:p>
    <w:p w14:paraId="5B1506A3" w14:textId="77777777" w:rsidR="00681D2A" w:rsidRDefault="00681D2A" w:rsidP="00681D2A">
      <w:pPr>
        <w:rPr>
          <w:rFonts w:ascii="Times New Roman" w:hAnsi="Times New Roman" w:cs="Times New Roman"/>
        </w:rPr>
      </w:pPr>
    </w:p>
    <w:p w14:paraId="50AC7C06" w14:textId="77777777" w:rsidR="00681D2A" w:rsidRDefault="00681D2A" w:rsidP="00681D2A">
      <w:pPr>
        <w:spacing w:before="120" w:after="120"/>
        <w:jc w:val="both"/>
        <w:rPr>
          <w:rFonts w:ascii="Times New Roman" w:hAnsi="Times New Roman" w:cs="Times New Roman"/>
        </w:rPr>
      </w:pPr>
      <w:r>
        <w:rPr>
          <w:rFonts w:ascii="Times New Roman" w:hAnsi="Times New Roman" w:cs="Times New Roman"/>
          <w:noProof/>
          <w:lang w:val="en-GB" w:eastAsia="en-GB"/>
        </w:rPr>
        <w:drawing>
          <wp:inline distT="0" distB="0" distL="0" distR="0" wp14:anchorId="4E5FD214" wp14:editId="4D0B2BDF">
            <wp:extent cx="5760085" cy="2560955"/>
            <wp:effectExtent l="19050" t="19050" r="12065" b="10795"/>
            <wp:docPr id="3" name="Picture 0" descr="ITWG Home Pape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WG Home Pape revised.jpg"/>
                    <pic:cNvPicPr/>
                  </pic:nvPicPr>
                  <pic:blipFill>
                    <a:blip r:embed="rId12" cstate="print"/>
                    <a:stretch>
                      <a:fillRect/>
                    </a:stretch>
                  </pic:blipFill>
                  <pic:spPr>
                    <a:xfrm>
                      <a:off x="0" y="0"/>
                      <a:ext cx="5760085" cy="2560955"/>
                    </a:xfrm>
                    <a:prstGeom prst="rect">
                      <a:avLst/>
                    </a:prstGeom>
                    <a:ln w="19050">
                      <a:solidFill>
                        <a:schemeClr val="tx1"/>
                      </a:solidFill>
                    </a:ln>
                  </pic:spPr>
                </pic:pic>
              </a:graphicData>
            </a:graphic>
          </wp:inline>
        </w:drawing>
      </w:r>
    </w:p>
    <w:p w14:paraId="041EBFBC" w14:textId="77777777" w:rsidR="00681D2A" w:rsidRDefault="00681D2A" w:rsidP="00681D2A">
      <w:pPr>
        <w:jc w:val="both"/>
        <w:rPr>
          <w:rFonts w:ascii="Times New Roman" w:hAnsi="Times New Roman" w:cs="Times New Roman"/>
        </w:rPr>
      </w:pPr>
      <w:r>
        <w:rPr>
          <w:rFonts w:ascii="Times New Roman" w:hAnsi="Times New Roman" w:cs="Times New Roman"/>
        </w:rPr>
        <w:t xml:space="preserve">FIG 1. The ITWG website, </w:t>
      </w:r>
      <w:r w:rsidRPr="004178A0">
        <w:rPr>
          <w:rFonts w:ascii="Times New Roman" w:hAnsi="Times New Roman" w:cs="Times New Roman"/>
        </w:rPr>
        <w:t>www.nf-itwg.org</w:t>
      </w:r>
      <w:r>
        <w:rPr>
          <w:rFonts w:ascii="Times New Roman" w:hAnsi="Times New Roman" w:cs="Times New Roman"/>
        </w:rPr>
        <w:t>, facilitates communication both among ITWG participants and with other individuals, groups and organizations sharing an interest in nuclear forensics.</w:t>
      </w:r>
    </w:p>
    <w:p w14:paraId="2AAE42B3" w14:textId="77777777" w:rsidR="00E33E48" w:rsidRDefault="00BF48C8" w:rsidP="00841CC1">
      <w:pPr>
        <w:jc w:val="both"/>
        <w:rPr>
          <w:rFonts w:ascii="Times New Roman" w:hAnsi="Times New Roman" w:cs="Times New Roman"/>
        </w:rPr>
      </w:pPr>
      <w:r>
        <w:rPr>
          <w:rFonts w:ascii="Times New Roman" w:hAnsi="Times New Roman" w:cs="Times New Roman"/>
        </w:rPr>
        <w:lastRenderedPageBreak/>
        <w:t>The task group is also contributing to develop</w:t>
      </w:r>
      <w:r w:rsidR="000855F3">
        <w:rPr>
          <w:rFonts w:ascii="Times New Roman" w:hAnsi="Times New Roman" w:cs="Times New Roman"/>
        </w:rPr>
        <w:t>ment</w:t>
      </w:r>
      <w:r>
        <w:rPr>
          <w:rFonts w:ascii="Times New Roman" w:hAnsi="Times New Roman" w:cs="Times New Roman"/>
        </w:rPr>
        <w:t xml:space="preserve"> and implement</w:t>
      </w:r>
      <w:r w:rsidR="000855F3">
        <w:rPr>
          <w:rFonts w:ascii="Times New Roman" w:hAnsi="Times New Roman" w:cs="Times New Roman"/>
        </w:rPr>
        <w:t>ation of</w:t>
      </w:r>
      <w:r>
        <w:rPr>
          <w:rFonts w:ascii="Times New Roman" w:hAnsi="Times New Roman" w:cs="Times New Roman"/>
        </w:rPr>
        <w:t xml:space="preserve"> training courses related to</w:t>
      </w:r>
      <w:r w:rsidR="00E33E48">
        <w:rPr>
          <w:rFonts w:ascii="Times New Roman" w:hAnsi="Times New Roman" w:cs="Times New Roman"/>
        </w:rPr>
        <w:t xml:space="preserve"> nuclear forensic investigations. In particular training s</w:t>
      </w:r>
      <w:r w:rsidR="000855F3">
        <w:rPr>
          <w:rFonts w:ascii="Times New Roman" w:hAnsi="Times New Roman" w:cs="Times New Roman"/>
        </w:rPr>
        <w:t xml:space="preserve">yllabi and relevant modules have been </w:t>
      </w:r>
      <w:r w:rsidR="00E33E48">
        <w:rPr>
          <w:rFonts w:ascii="Times New Roman" w:hAnsi="Times New Roman" w:cs="Times New Roman"/>
        </w:rPr>
        <w:t xml:space="preserve">developed </w:t>
      </w:r>
      <w:r w:rsidR="000855F3">
        <w:rPr>
          <w:rFonts w:ascii="Times New Roman" w:hAnsi="Times New Roman" w:cs="Times New Roman"/>
        </w:rPr>
        <w:t xml:space="preserve">or are being developed </w:t>
      </w:r>
      <w:r w:rsidR="00E33E48">
        <w:rPr>
          <w:rFonts w:ascii="Times New Roman" w:hAnsi="Times New Roman" w:cs="Times New Roman"/>
        </w:rPr>
        <w:t>related to:</w:t>
      </w:r>
    </w:p>
    <w:p w14:paraId="7A4197BA" w14:textId="77777777" w:rsidR="008839EC" w:rsidRDefault="008839EC" w:rsidP="00841CC1">
      <w:pPr>
        <w:jc w:val="both"/>
        <w:rPr>
          <w:rFonts w:ascii="Times New Roman" w:hAnsi="Times New Roman" w:cs="Times New Roman"/>
        </w:rPr>
      </w:pPr>
    </w:p>
    <w:p w14:paraId="4166BE72" w14:textId="77777777" w:rsidR="00FC480E" w:rsidRDefault="008839EC" w:rsidP="008839EC">
      <w:pPr>
        <w:pStyle w:val="ListParagraph"/>
        <w:numPr>
          <w:ilvl w:val="0"/>
          <w:numId w:val="9"/>
        </w:numPr>
        <w:ind w:left="360"/>
        <w:jc w:val="both"/>
        <w:rPr>
          <w:rFonts w:ascii="Times New Roman" w:hAnsi="Times New Roman" w:cs="Times New Roman"/>
        </w:rPr>
      </w:pPr>
      <w:r w:rsidRPr="008839EC">
        <w:rPr>
          <w:rFonts w:ascii="Times New Roman" w:hAnsi="Times New Roman" w:cs="Times New Roman"/>
        </w:rPr>
        <w:t>I</w:t>
      </w:r>
      <w:r w:rsidR="005170A8" w:rsidRPr="008839EC">
        <w:rPr>
          <w:rFonts w:ascii="Times New Roman" w:hAnsi="Times New Roman" w:cs="Times New Roman"/>
        </w:rPr>
        <w:t xml:space="preserve">ntroduction </w:t>
      </w:r>
      <w:r w:rsidR="006D72B4" w:rsidRPr="008839EC">
        <w:rPr>
          <w:rFonts w:ascii="Times New Roman" w:hAnsi="Times New Roman" w:cs="Times New Roman"/>
        </w:rPr>
        <w:t>to</w:t>
      </w:r>
      <w:r w:rsidR="005170A8" w:rsidRPr="008839EC">
        <w:rPr>
          <w:rFonts w:ascii="Times New Roman" w:hAnsi="Times New Roman" w:cs="Times New Roman"/>
        </w:rPr>
        <w:t xml:space="preserve"> nuclear forensics</w:t>
      </w:r>
      <w:r w:rsidRPr="008839EC">
        <w:rPr>
          <w:rFonts w:ascii="Times New Roman" w:hAnsi="Times New Roman" w:cs="Times New Roman"/>
        </w:rPr>
        <w:t xml:space="preserve">. </w:t>
      </w:r>
      <w:r w:rsidR="006D72B4" w:rsidRPr="008839EC">
        <w:rPr>
          <w:rFonts w:ascii="Times New Roman" w:hAnsi="Times New Roman" w:cs="Times New Roman"/>
        </w:rPr>
        <w:t>Nuclear forensics is an important element of the response to a nuclear security event. The competent authorities and organizations involved in the processing of an incident need to develop a good understanding of the benefits, limitations and requirements of nuclear forensics. This fundamental knowledge about nuclear forensics allows decision makers and regulators to de</w:t>
      </w:r>
      <w:r w:rsidR="00D339B7" w:rsidRPr="008839EC">
        <w:rPr>
          <w:rFonts w:ascii="Times New Roman" w:hAnsi="Times New Roman" w:cs="Times New Roman"/>
        </w:rPr>
        <w:t>velop concepts for incident response, including nuclear forensics, in an optimal way.</w:t>
      </w:r>
    </w:p>
    <w:p w14:paraId="1DA4E944" w14:textId="77777777" w:rsidR="008839EC" w:rsidRPr="008839EC" w:rsidRDefault="008839EC" w:rsidP="008839EC">
      <w:pPr>
        <w:pStyle w:val="ListParagraph"/>
        <w:ind w:left="360"/>
        <w:jc w:val="both"/>
        <w:rPr>
          <w:rFonts w:ascii="Times New Roman" w:hAnsi="Times New Roman" w:cs="Times New Roman"/>
        </w:rPr>
      </w:pPr>
    </w:p>
    <w:p w14:paraId="5A95A4FA" w14:textId="77777777" w:rsidR="00FC480E" w:rsidRPr="008839EC" w:rsidRDefault="008839EC" w:rsidP="008839EC">
      <w:pPr>
        <w:pStyle w:val="ListParagraph"/>
        <w:numPr>
          <w:ilvl w:val="0"/>
          <w:numId w:val="9"/>
        </w:numPr>
        <w:ind w:left="360"/>
        <w:jc w:val="both"/>
        <w:rPr>
          <w:rFonts w:ascii="Times New Roman" w:hAnsi="Times New Roman" w:cs="Times New Roman"/>
        </w:rPr>
      </w:pPr>
      <w:r w:rsidRPr="008839EC">
        <w:rPr>
          <w:rFonts w:ascii="Times New Roman" w:hAnsi="Times New Roman" w:cs="Times New Roman"/>
        </w:rPr>
        <w:t>R</w:t>
      </w:r>
      <w:r w:rsidR="005170A8" w:rsidRPr="008839EC">
        <w:rPr>
          <w:rFonts w:ascii="Times New Roman" w:hAnsi="Times New Roman" w:cs="Times New Roman"/>
        </w:rPr>
        <w:t>adiological crime scene management</w:t>
      </w:r>
      <w:r w:rsidRPr="008839EC">
        <w:rPr>
          <w:rFonts w:ascii="Times New Roman" w:hAnsi="Times New Roman" w:cs="Times New Roman"/>
        </w:rPr>
        <w:t>.</w:t>
      </w:r>
      <w:r>
        <w:rPr>
          <w:rFonts w:ascii="Times New Roman" w:hAnsi="Times New Roman" w:cs="Times New Roman"/>
        </w:rPr>
        <w:t xml:space="preserve"> </w:t>
      </w:r>
      <w:r w:rsidR="00D339B7" w:rsidRPr="008839EC">
        <w:rPr>
          <w:rFonts w:ascii="Times New Roman" w:hAnsi="Times New Roman" w:cs="Times New Roman"/>
        </w:rPr>
        <w:t xml:space="preserve">The management of a </w:t>
      </w:r>
      <w:r>
        <w:rPr>
          <w:rFonts w:ascii="Times New Roman" w:hAnsi="Times New Roman" w:cs="Times New Roman"/>
        </w:rPr>
        <w:t>crime</w:t>
      </w:r>
      <w:r w:rsidR="00D339B7" w:rsidRPr="008839EC">
        <w:rPr>
          <w:rFonts w:ascii="Times New Roman" w:hAnsi="Times New Roman" w:cs="Times New Roman"/>
        </w:rPr>
        <w:t xml:space="preserve"> scene is the responsibilit</w:t>
      </w:r>
      <w:r>
        <w:rPr>
          <w:rFonts w:ascii="Times New Roman" w:hAnsi="Times New Roman" w:cs="Times New Roman"/>
        </w:rPr>
        <w:t>y of law enforcement. Crime</w:t>
      </w:r>
      <w:r w:rsidR="00D339B7" w:rsidRPr="008839EC">
        <w:rPr>
          <w:rFonts w:ascii="Times New Roman" w:hAnsi="Times New Roman" w:cs="Times New Roman"/>
        </w:rPr>
        <w:t xml:space="preserve"> scenes with nuclear or other radioactive material present (or suspected to be present), however, pose particular challenges. Combining the different and sometimes diverging requirements of preservation and collection of evidence</w:t>
      </w:r>
      <w:r>
        <w:rPr>
          <w:rFonts w:ascii="Times New Roman" w:hAnsi="Times New Roman" w:cs="Times New Roman"/>
        </w:rPr>
        <w:t xml:space="preserve"> traditionally associated with the forensic sciences (such as trace evidence and DNA)</w:t>
      </w:r>
      <w:r w:rsidR="00D339B7" w:rsidRPr="008839EC">
        <w:rPr>
          <w:rFonts w:ascii="Times New Roman" w:hAnsi="Times New Roman" w:cs="Times New Roman"/>
        </w:rPr>
        <w:t xml:space="preserve">, securing the nuclear material, </w:t>
      </w:r>
      <w:r>
        <w:rPr>
          <w:rFonts w:ascii="Times New Roman" w:hAnsi="Times New Roman" w:cs="Times New Roman"/>
        </w:rPr>
        <w:t xml:space="preserve">provision of protection from </w:t>
      </w:r>
      <w:r w:rsidR="00D339B7" w:rsidRPr="008839EC">
        <w:rPr>
          <w:rFonts w:ascii="Times New Roman" w:hAnsi="Times New Roman" w:cs="Times New Roman"/>
        </w:rPr>
        <w:t xml:space="preserve">radiation </w:t>
      </w:r>
      <w:r>
        <w:rPr>
          <w:rFonts w:ascii="Times New Roman" w:hAnsi="Times New Roman" w:cs="Times New Roman"/>
        </w:rPr>
        <w:t xml:space="preserve">hazards, </w:t>
      </w:r>
      <w:r w:rsidR="00D339B7" w:rsidRPr="008839EC">
        <w:rPr>
          <w:rFonts w:ascii="Times New Roman" w:hAnsi="Times New Roman" w:cs="Times New Roman"/>
        </w:rPr>
        <w:t xml:space="preserve">and collection of nuclear forensic evidence </w:t>
      </w:r>
      <w:r>
        <w:rPr>
          <w:rFonts w:ascii="Times New Roman" w:hAnsi="Times New Roman" w:cs="Times New Roman"/>
        </w:rPr>
        <w:t xml:space="preserve">demands the conduct of training and exercises in </w:t>
      </w:r>
      <w:r w:rsidR="00D339B7" w:rsidRPr="008839EC">
        <w:rPr>
          <w:rFonts w:ascii="Times New Roman" w:hAnsi="Times New Roman" w:cs="Times New Roman"/>
        </w:rPr>
        <w:t>realistic scenarios.</w:t>
      </w:r>
    </w:p>
    <w:p w14:paraId="39E6EB67" w14:textId="77777777" w:rsidR="008839EC" w:rsidRDefault="008839EC" w:rsidP="008839EC">
      <w:pPr>
        <w:pStyle w:val="ListParagraph"/>
        <w:ind w:left="360"/>
        <w:jc w:val="both"/>
        <w:rPr>
          <w:rFonts w:ascii="Times New Roman" w:hAnsi="Times New Roman" w:cs="Times New Roman"/>
        </w:rPr>
      </w:pPr>
    </w:p>
    <w:p w14:paraId="6AE1AD6D" w14:textId="77777777" w:rsidR="00FC480E" w:rsidRPr="008839EC" w:rsidRDefault="008839EC" w:rsidP="008839EC">
      <w:pPr>
        <w:pStyle w:val="ListParagraph"/>
        <w:numPr>
          <w:ilvl w:val="0"/>
          <w:numId w:val="9"/>
        </w:numPr>
        <w:ind w:left="360"/>
        <w:jc w:val="both"/>
        <w:rPr>
          <w:rFonts w:ascii="Times New Roman" w:hAnsi="Times New Roman" w:cs="Times New Roman"/>
        </w:rPr>
      </w:pPr>
      <w:r w:rsidRPr="008839EC">
        <w:rPr>
          <w:rFonts w:ascii="Times New Roman" w:hAnsi="Times New Roman" w:cs="Times New Roman"/>
        </w:rPr>
        <w:t>N</w:t>
      </w:r>
      <w:r w:rsidR="00D339B7" w:rsidRPr="008839EC">
        <w:rPr>
          <w:rFonts w:ascii="Times New Roman" w:hAnsi="Times New Roman" w:cs="Times New Roman"/>
        </w:rPr>
        <w:t>uclear forensics methodologies</w:t>
      </w:r>
      <w:r w:rsidRPr="008839EC">
        <w:rPr>
          <w:rFonts w:ascii="Times New Roman" w:hAnsi="Times New Roman" w:cs="Times New Roman"/>
        </w:rPr>
        <w:t xml:space="preserve">. </w:t>
      </w:r>
      <w:r w:rsidR="0011412C" w:rsidRPr="008839EC">
        <w:rPr>
          <w:rFonts w:ascii="Times New Roman" w:hAnsi="Times New Roman" w:cs="Times New Roman"/>
        </w:rPr>
        <w:t xml:space="preserve">Nuclear forensic science is a discipline which makes use </w:t>
      </w:r>
      <w:r w:rsidR="000855F3">
        <w:rPr>
          <w:rFonts w:ascii="Times New Roman" w:hAnsi="Times New Roman" w:cs="Times New Roman"/>
        </w:rPr>
        <w:t xml:space="preserve">of </w:t>
      </w:r>
      <w:r w:rsidR="0011412C" w:rsidRPr="008839EC">
        <w:rPr>
          <w:rFonts w:ascii="Times New Roman" w:hAnsi="Times New Roman" w:cs="Times New Roman"/>
        </w:rPr>
        <w:t xml:space="preserve">and further optimizes </w:t>
      </w:r>
      <w:r w:rsidR="000855F3">
        <w:rPr>
          <w:rFonts w:ascii="Times New Roman" w:hAnsi="Times New Roman" w:cs="Times New Roman"/>
        </w:rPr>
        <w:t xml:space="preserve">the </w:t>
      </w:r>
      <w:r w:rsidR="0011412C" w:rsidRPr="008839EC">
        <w:rPr>
          <w:rFonts w:ascii="Times New Roman" w:hAnsi="Times New Roman" w:cs="Times New Roman"/>
        </w:rPr>
        <w:t xml:space="preserve">investigative analytical techniques often initially developed in other branches of sciences. Nuclear forensics practitioners get acquainted with the various methods used for accurately determining those characteristic parameters that provide useful hints on the history and intended use of illicit nuclear material. </w:t>
      </w:r>
    </w:p>
    <w:p w14:paraId="6EC714B9" w14:textId="77777777" w:rsidR="00BF48C8" w:rsidRDefault="00BF48C8" w:rsidP="00841CC1">
      <w:pPr>
        <w:jc w:val="both"/>
        <w:rPr>
          <w:rFonts w:ascii="Times New Roman" w:hAnsi="Times New Roman" w:cs="Times New Roman"/>
        </w:rPr>
      </w:pPr>
    </w:p>
    <w:p w14:paraId="6672ED39" w14:textId="77777777" w:rsidR="00590CA8" w:rsidRDefault="00690AA9" w:rsidP="00841CC1">
      <w:pPr>
        <w:jc w:val="both"/>
        <w:rPr>
          <w:rFonts w:ascii="Times New Roman" w:hAnsi="Times New Roman" w:cs="Times New Roman"/>
        </w:rPr>
      </w:pPr>
      <w:r>
        <w:rPr>
          <w:rFonts w:ascii="Times New Roman" w:hAnsi="Times New Roman" w:cs="Times New Roman"/>
        </w:rPr>
        <w:t>Examples of groups and organizations with which the task group and its members interact include the European Atomic Energy Community (Euratom), the International Atomic Energy Agency (IAEA), INTERPOL, the United Nations Interregional Crime and Justice Research Institute (UNICRI), and the United Nations Office on Drugs and Crime (UNODC).</w:t>
      </w:r>
    </w:p>
    <w:p w14:paraId="620392D3" w14:textId="77777777" w:rsidR="00272F64" w:rsidRDefault="00272F64" w:rsidP="00841CC1">
      <w:pPr>
        <w:jc w:val="both"/>
        <w:rPr>
          <w:rFonts w:ascii="Times New Roman" w:hAnsi="Times New Roman" w:cs="Times New Roman"/>
        </w:rPr>
      </w:pPr>
    </w:p>
    <w:p w14:paraId="3E2490CE" w14:textId="77777777" w:rsidR="00B267DC" w:rsidRPr="00B267DC" w:rsidRDefault="00B267DC" w:rsidP="00841CC1">
      <w:pPr>
        <w:jc w:val="both"/>
        <w:rPr>
          <w:rFonts w:ascii="Times New Roman" w:hAnsi="Times New Roman" w:cs="Times New Roman"/>
          <w:b/>
          <w:i/>
        </w:rPr>
      </w:pPr>
      <w:r w:rsidRPr="00B267DC">
        <w:rPr>
          <w:rFonts w:ascii="Times New Roman" w:hAnsi="Times New Roman" w:cs="Times New Roman"/>
          <w:b/>
          <w:i/>
        </w:rPr>
        <w:t>2.2 Evidence</w:t>
      </w:r>
    </w:p>
    <w:p w14:paraId="1BD3F4BF" w14:textId="77777777" w:rsidR="00B267DC" w:rsidRDefault="00B267DC" w:rsidP="00841CC1">
      <w:pPr>
        <w:jc w:val="both"/>
        <w:rPr>
          <w:rFonts w:ascii="Times New Roman" w:hAnsi="Times New Roman" w:cs="Times New Roman"/>
        </w:rPr>
      </w:pPr>
    </w:p>
    <w:p w14:paraId="2D6108EC" w14:textId="77777777" w:rsidR="0068073E" w:rsidRDefault="0068073E" w:rsidP="00841CC1">
      <w:pPr>
        <w:jc w:val="both"/>
        <w:rPr>
          <w:rFonts w:ascii="Times New Roman" w:hAnsi="Times New Roman" w:cs="Times New Roman"/>
          <w:color w:val="1B1C20"/>
          <w:szCs w:val="20"/>
        </w:rPr>
      </w:pPr>
      <w:r>
        <w:rPr>
          <w:rFonts w:ascii="Times New Roman" w:hAnsi="Times New Roman" w:cs="Times New Roman"/>
        </w:rPr>
        <w:t xml:space="preserve">Law enforcement personnel are well acquainted with the processes for </w:t>
      </w:r>
      <w:r w:rsidR="00681D2A">
        <w:rPr>
          <w:rFonts w:ascii="Times New Roman" w:hAnsi="Times New Roman" w:cs="Times New Roman"/>
        </w:rPr>
        <w:t xml:space="preserve">identifying, </w:t>
      </w:r>
      <w:r>
        <w:rPr>
          <w:rFonts w:ascii="Times New Roman" w:hAnsi="Times New Roman" w:cs="Times New Roman"/>
        </w:rPr>
        <w:t>collecting, preserving, pack</w:t>
      </w:r>
      <w:r w:rsidR="00681D2A">
        <w:rPr>
          <w:rFonts w:ascii="Times New Roman" w:hAnsi="Times New Roman" w:cs="Times New Roman"/>
        </w:rPr>
        <w:t>ag</w:t>
      </w:r>
      <w:r>
        <w:rPr>
          <w:rFonts w:ascii="Times New Roman" w:hAnsi="Times New Roman" w:cs="Times New Roman"/>
        </w:rPr>
        <w:t xml:space="preserve">ing, storing and transporting evidence from conventional crime scenes and from other areas of interest for purposes of the investigation. But </w:t>
      </w:r>
      <w:r w:rsidR="004178A0">
        <w:rPr>
          <w:rFonts w:ascii="Times New Roman" w:hAnsi="Times New Roman" w:cs="Times New Roman"/>
        </w:rPr>
        <w:t xml:space="preserve">operating at </w:t>
      </w:r>
      <w:r>
        <w:rPr>
          <w:rFonts w:ascii="Times New Roman" w:hAnsi="Times New Roman" w:cs="Times New Roman"/>
        </w:rPr>
        <w:t>scenes where nuclear or other radioac</w:t>
      </w:r>
      <w:r w:rsidR="004178A0">
        <w:rPr>
          <w:rFonts w:ascii="Times New Roman" w:hAnsi="Times New Roman" w:cs="Times New Roman"/>
        </w:rPr>
        <w:t>tive material may be present is</w:t>
      </w:r>
      <w:r>
        <w:rPr>
          <w:rFonts w:ascii="Times New Roman" w:hAnsi="Times New Roman" w:cs="Times New Roman"/>
        </w:rPr>
        <w:t xml:space="preserve"> likely to be less familiar </w:t>
      </w:r>
      <w:r>
        <w:rPr>
          <w:rFonts w:ascii="Times New Roman" w:hAnsi="Times New Roman" w:cs="Times New Roman"/>
          <w:color w:val="1B1C20"/>
          <w:szCs w:val="20"/>
        </w:rPr>
        <w:t>to law enforcement personnel. Such scenes are deemed likely for nuclear security events, especially ones in which criminal acts are known to have occurred or are suspected of having occurred. The ITWG Evidence Task Group was established to address this situation.</w:t>
      </w:r>
      <w:r w:rsidR="004178A0">
        <w:rPr>
          <w:rFonts w:ascii="Times New Roman" w:hAnsi="Times New Roman" w:cs="Times New Roman"/>
          <w:color w:val="1B1C20"/>
          <w:szCs w:val="20"/>
        </w:rPr>
        <w:t xml:space="preserve"> </w:t>
      </w:r>
    </w:p>
    <w:p w14:paraId="7EA00EC9" w14:textId="77777777" w:rsidR="004178A0" w:rsidRDefault="004178A0" w:rsidP="00841CC1">
      <w:pPr>
        <w:jc w:val="both"/>
        <w:rPr>
          <w:rFonts w:ascii="Times New Roman" w:hAnsi="Times New Roman" w:cs="Times New Roman"/>
          <w:color w:val="1B1C20"/>
          <w:szCs w:val="20"/>
        </w:rPr>
      </w:pPr>
    </w:p>
    <w:p w14:paraId="5D64390B" w14:textId="77777777" w:rsidR="0068073E" w:rsidRPr="00690AA9" w:rsidRDefault="004178A0" w:rsidP="00841CC1">
      <w:pPr>
        <w:jc w:val="both"/>
        <w:rPr>
          <w:rFonts w:ascii="Times New Roman" w:hAnsi="Times New Roman" w:cs="Times New Roman"/>
          <w:color w:val="1B1C20"/>
          <w:szCs w:val="20"/>
        </w:rPr>
      </w:pPr>
      <w:r>
        <w:rPr>
          <w:rFonts w:ascii="Times New Roman" w:hAnsi="Times New Roman" w:cs="Times New Roman"/>
          <w:color w:val="1B1C20"/>
          <w:szCs w:val="20"/>
        </w:rPr>
        <w:t xml:space="preserve">The first task undertaken by this group was the development of </w:t>
      </w:r>
      <w:r w:rsidR="008D6469">
        <w:rPr>
          <w:rFonts w:ascii="Times New Roman" w:hAnsi="Times New Roman" w:cs="Times New Roman"/>
          <w:color w:val="1B1C20"/>
          <w:szCs w:val="20"/>
        </w:rPr>
        <w:t>g</w:t>
      </w:r>
      <w:r w:rsidR="008D6469">
        <w:rPr>
          <w:rFonts w:ascii="Times New Roman" w:hAnsi="Times New Roman" w:cs="Times New Roman"/>
        </w:rPr>
        <w:t>uidelines for evidence collection in a crime scene contaminated with nuclear or other radioactive material. This guideline was approved in June 2011 and is available from the ITWG website [1].</w:t>
      </w:r>
      <w:r w:rsidR="00690AA9">
        <w:rPr>
          <w:rFonts w:ascii="Times New Roman" w:hAnsi="Times New Roman" w:cs="Times New Roman"/>
          <w:color w:val="1B1C20"/>
          <w:szCs w:val="20"/>
        </w:rPr>
        <w:t xml:space="preserve"> </w:t>
      </w:r>
      <w:r w:rsidR="008D6469">
        <w:rPr>
          <w:rFonts w:ascii="Times New Roman" w:hAnsi="Times New Roman" w:cs="Times New Roman"/>
        </w:rPr>
        <w:t xml:space="preserve">As the task group moves forward, it will consider additional topics related to recovery of evidence. These topics </w:t>
      </w:r>
      <w:r w:rsidR="004A35EA">
        <w:rPr>
          <w:rFonts w:ascii="Times New Roman" w:hAnsi="Times New Roman" w:cs="Times New Roman"/>
        </w:rPr>
        <w:t xml:space="preserve">might </w:t>
      </w:r>
      <w:r w:rsidR="005C62DF">
        <w:rPr>
          <w:rFonts w:ascii="Times New Roman" w:hAnsi="Times New Roman" w:cs="Times New Roman"/>
        </w:rPr>
        <w:t>include:</w:t>
      </w:r>
    </w:p>
    <w:p w14:paraId="68ED36C8" w14:textId="77777777" w:rsidR="005C62DF" w:rsidRDefault="005C62DF" w:rsidP="00841CC1">
      <w:pPr>
        <w:jc w:val="both"/>
        <w:rPr>
          <w:rFonts w:ascii="Times New Roman" w:hAnsi="Times New Roman" w:cs="Times New Roman"/>
        </w:rPr>
      </w:pPr>
    </w:p>
    <w:p w14:paraId="6F5B840D" w14:textId="77777777" w:rsidR="00921214" w:rsidRDefault="00921214" w:rsidP="008839EC">
      <w:pPr>
        <w:pStyle w:val="ListParagraph"/>
        <w:numPr>
          <w:ilvl w:val="0"/>
          <w:numId w:val="13"/>
        </w:numPr>
        <w:ind w:left="360"/>
        <w:jc w:val="both"/>
        <w:rPr>
          <w:rFonts w:ascii="Times New Roman" w:hAnsi="Times New Roman" w:cs="Times New Roman"/>
        </w:rPr>
      </w:pPr>
      <w:r w:rsidRPr="00921214">
        <w:rPr>
          <w:rFonts w:ascii="Times New Roman" w:hAnsi="Times New Roman" w:cs="Times New Roman"/>
        </w:rPr>
        <w:t>Chain of custody. The chain of custody refers to those procedures and documents that account for the integrity of physical evidence by tracking its handling and storage from its point of collec</w:t>
      </w:r>
      <w:r w:rsidR="008D6469">
        <w:rPr>
          <w:rFonts w:ascii="Times New Roman" w:hAnsi="Times New Roman" w:cs="Times New Roman"/>
        </w:rPr>
        <w:t>tion to its final disposition [4</w:t>
      </w:r>
      <w:r w:rsidRPr="00921214">
        <w:rPr>
          <w:rFonts w:ascii="Times New Roman" w:hAnsi="Times New Roman" w:cs="Times New Roman"/>
        </w:rPr>
        <w:t>].  Other terms used are chain of evidence and traceability.</w:t>
      </w:r>
      <w:r w:rsidR="008D6469">
        <w:rPr>
          <w:rFonts w:ascii="Times New Roman" w:hAnsi="Times New Roman" w:cs="Times New Roman"/>
        </w:rPr>
        <w:t xml:space="preserve"> Establishing chain of custody at the scene and maintaining that chain of custody until ultimate disposition of the evidence minimizes the prospects that challenges might be mounted against its introduction at trial or against interpretations and conclusions drawn from examinations conducted on the evidence.</w:t>
      </w:r>
    </w:p>
    <w:p w14:paraId="24E5C80E" w14:textId="77777777" w:rsidR="00681D2A" w:rsidRDefault="00681D2A" w:rsidP="00681D2A">
      <w:pPr>
        <w:pStyle w:val="ListParagraph"/>
        <w:ind w:left="360"/>
        <w:jc w:val="both"/>
        <w:rPr>
          <w:rFonts w:ascii="Times New Roman" w:hAnsi="Times New Roman" w:cs="Times New Roman"/>
        </w:rPr>
      </w:pPr>
    </w:p>
    <w:p w14:paraId="1E389921" w14:textId="77777777" w:rsidR="00921214" w:rsidRDefault="00921214" w:rsidP="008839EC">
      <w:pPr>
        <w:pStyle w:val="ListParagraph"/>
        <w:numPr>
          <w:ilvl w:val="0"/>
          <w:numId w:val="13"/>
        </w:numPr>
        <w:ind w:left="360"/>
        <w:jc w:val="both"/>
        <w:rPr>
          <w:rFonts w:ascii="Times New Roman" w:hAnsi="Times New Roman" w:cs="Times New Roman"/>
        </w:rPr>
      </w:pPr>
      <w:r>
        <w:rPr>
          <w:rFonts w:ascii="Times New Roman" w:hAnsi="Times New Roman" w:cs="Times New Roman"/>
        </w:rPr>
        <w:t>Development of an evidence collection plan.</w:t>
      </w:r>
      <w:r w:rsidR="008D6469">
        <w:rPr>
          <w:rFonts w:ascii="Times New Roman" w:hAnsi="Times New Roman" w:cs="Times New Roman"/>
        </w:rPr>
        <w:t xml:space="preserve"> Crime scene personnel might be faced with an abundance of items that could be collected or with items that are bulky or otherwise difficult for collection, packaging, storage and transport. Furthermore, a scene involving nuclear or other </w:t>
      </w:r>
      <w:r w:rsidR="008D6469">
        <w:rPr>
          <w:rFonts w:ascii="Times New Roman" w:hAnsi="Times New Roman" w:cs="Times New Roman"/>
        </w:rPr>
        <w:lastRenderedPageBreak/>
        <w:t>radioactive material might present unique collection challenges. Developing an evidence collection plan affords an opportunity for the crime scene personnel to work with specialists in nuclear forensic sciences to ensure that critical items are collected, packaged, stored and transported in a manner consistent with the needs of the investigation and the laboratories.</w:t>
      </w:r>
    </w:p>
    <w:p w14:paraId="7C574ADF" w14:textId="77777777" w:rsidR="00681D2A" w:rsidRDefault="00681D2A" w:rsidP="00681D2A">
      <w:pPr>
        <w:pStyle w:val="ListParagraph"/>
        <w:ind w:left="360"/>
        <w:jc w:val="both"/>
        <w:rPr>
          <w:rFonts w:ascii="Times New Roman" w:hAnsi="Times New Roman" w:cs="Times New Roman"/>
        </w:rPr>
      </w:pPr>
    </w:p>
    <w:p w14:paraId="3BE03C95" w14:textId="77777777" w:rsidR="005C62DF" w:rsidRPr="00921214" w:rsidRDefault="004A35EA" w:rsidP="008839EC">
      <w:pPr>
        <w:pStyle w:val="ListParagraph"/>
        <w:numPr>
          <w:ilvl w:val="0"/>
          <w:numId w:val="13"/>
        </w:numPr>
        <w:ind w:left="360"/>
        <w:jc w:val="both"/>
        <w:rPr>
          <w:rFonts w:ascii="Times New Roman" w:hAnsi="Times New Roman" w:cs="Times New Roman"/>
        </w:rPr>
      </w:pPr>
      <w:r w:rsidRPr="00921214">
        <w:rPr>
          <w:rFonts w:ascii="Times New Roman" w:hAnsi="Times New Roman" w:cs="Times New Roman"/>
        </w:rPr>
        <w:t>Conduct of traditional forensic examinations on evidence containing nuclear or other radioactive material.</w:t>
      </w:r>
      <w:r w:rsidR="00681D2A">
        <w:rPr>
          <w:rFonts w:ascii="Times New Roman" w:hAnsi="Times New Roman" w:cs="Times New Roman"/>
        </w:rPr>
        <w:t xml:space="preserve"> These traditional forensic examinations include fingerprints (also referred to as fingermarks), genetic markers such as nuclear DNA, and toolmarks. These examinations can yield results that aid the investigation in determining whether linkages exist among people, places and things. Procedures </w:t>
      </w:r>
      <w:r w:rsidR="0092790C">
        <w:rPr>
          <w:rFonts w:ascii="Times New Roman" w:hAnsi="Times New Roman" w:cs="Times New Roman"/>
        </w:rPr>
        <w:t xml:space="preserve">exist </w:t>
      </w:r>
      <w:r w:rsidR="00681D2A">
        <w:rPr>
          <w:rFonts w:ascii="Times New Roman" w:hAnsi="Times New Roman" w:cs="Times New Roman"/>
        </w:rPr>
        <w:t>for conducting such examinations</w:t>
      </w:r>
      <w:r w:rsidR="0092790C">
        <w:rPr>
          <w:rFonts w:ascii="Times New Roman" w:hAnsi="Times New Roman" w:cs="Times New Roman"/>
        </w:rPr>
        <w:t xml:space="preserve"> on</w:t>
      </w:r>
      <w:r w:rsidR="00681D2A">
        <w:rPr>
          <w:rFonts w:ascii="Times New Roman" w:hAnsi="Times New Roman" w:cs="Times New Roman"/>
        </w:rPr>
        <w:t xml:space="preserve"> evidence that is free of detectable nuclear or other radioactive material. But procedures</w:t>
      </w:r>
      <w:r w:rsidR="0092790C">
        <w:rPr>
          <w:rFonts w:ascii="Times New Roman" w:hAnsi="Times New Roman" w:cs="Times New Roman"/>
        </w:rPr>
        <w:t xml:space="preserve"> for evidence containing nuclear or other radioactive material are less well-developed.</w:t>
      </w:r>
    </w:p>
    <w:p w14:paraId="2480E571" w14:textId="77777777" w:rsidR="0068073E" w:rsidRDefault="0068073E" w:rsidP="00841CC1">
      <w:pPr>
        <w:jc w:val="both"/>
        <w:rPr>
          <w:rFonts w:ascii="Times New Roman" w:hAnsi="Times New Roman" w:cs="Times New Roman"/>
        </w:rPr>
      </w:pPr>
    </w:p>
    <w:p w14:paraId="7FEED433" w14:textId="77777777" w:rsidR="000D2F57" w:rsidRDefault="000D2F57" w:rsidP="00841CC1">
      <w:pPr>
        <w:jc w:val="both"/>
        <w:rPr>
          <w:rFonts w:ascii="Times New Roman" w:hAnsi="Times New Roman" w:cs="Times New Roman"/>
        </w:rPr>
      </w:pPr>
      <w:r>
        <w:rPr>
          <w:rFonts w:ascii="Times New Roman" w:hAnsi="Times New Roman" w:cs="Times New Roman"/>
        </w:rPr>
        <w:t>The results of this task group have seen practical application in the assistance provided by ITWG participants, who have worked closely with both the IAEA and INTERPOL in developing guidance documents as well as training on radiological crime scene management.</w:t>
      </w:r>
    </w:p>
    <w:p w14:paraId="084F928E" w14:textId="77777777" w:rsidR="000D2F57" w:rsidRDefault="000D2F57" w:rsidP="00841CC1">
      <w:pPr>
        <w:jc w:val="both"/>
        <w:rPr>
          <w:rFonts w:ascii="Times New Roman" w:hAnsi="Times New Roman" w:cs="Times New Roman"/>
        </w:rPr>
      </w:pPr>
    </w:p>
    <w:p w14:paraId="6FB605F5" w14:textId="77777777" w:rsidR="007B409A" w:rsidRPr="00921214" w:rsidRDefault="007B409A" w:rsidP="00841CC1">
      <w:pPr>
        <w:jc w:val="both"/>
        <w:rPr>
          <w:rFonts w:ascii="Times New Roman" w:hAnsi="Times New Roman" w:cs="Times New Roman"/>
        </w:rPr>
      </w:pPr>
    </w:p>
    <w:p w14:paraId="350F86EF" w14:textId="77777777" w:rsidR="00B267DC" w:rsidRPr="00B267DC" w:rsidRDefault="00B267DC" w:rsidP="00841CC1">
      <w:pPr>
        <w:jc w:val="both"/>
        <w:rPr>
          <w:rFonts w:ascii="Times New Roman" w:hAnsi="Times New Roman" w:cs="Times New Roman"/>
          <w:b/>
          <w:i/>
        </w:rPr>
      </w:pPr>
      <w:r w:rsidRPr="00B267DC">
        <w:rPr>
          <w:rFonts w:ascii="Times New Roman" w:hAnsi="Times New Roman" w:cs="Times New Roman"/>
          <w:b/>
          <w:i/>
        </w:rPr>
        <w:t>2.3 Exercises</w:t>
      </w:r>
    </w:p>
    <w:p w14:paraId="2FB84D20" w14:textId="77777777" w:rsidR="00B267DC" w:rsidRDefault="00B267DC" w:rsidP="00841CC1">
      <w:pPr>
        <w:jc w:val="both"/>
        <w:rPr>
          <w:rFonts w:ascii="Times New Roman" w:hAnsi="Times New Roman" w:cs="Times New Roman"/>
        </w:rPr>
      </w:pPr>
    </w:p>
    <w:p w14:paraId="4C739758" w14:textId="77777777" w:rsidR="006453EE" w:rsidRDefault="00166256" w:rsidP="00841CC1">
      <w:pPr>
        <w:jc w:val="both"/>
        <w:rPr>
          <w:rFonts w:ascii="Times New Roman" w:hAnsi="Times New Roman" w:cs="Times New Roman"/>
        </w:rPr>
      </w:pPr>
      <w:r>
        <w:rPr>
          <w:rFonts w:ascii="Times New Roman" w:hAnsi="Times New Roman" w:cs="Times New Roman"/>
        </w:rPr>
        <w:t xml:space="preserve">The ITWG provides a forum for the conduct of exercises in which laboratories that elect to participate can test their ability to analyze nuclear material and can compare their results with those of the other participating laboratories. One feature of these exercises is that results are coded such that they cannot be attributed to any one of the participants. This feature affords the participants a measure of anonymity as well as protection against the misapplication of the results for purposes of grading the performance of any one laboratory or any group of laboratories. </w:t>
      </w:r>
    </w:p>
    <w:p w14:paraId="0981F931" w14:textId="77777777" w:rsidR="006453EE" w:rsidRDefault="006453EE" w:rsidP="00841CC1">
      <w:pPr>
        <w:jc w:val="both"/>
        <w:rPr>
          <w:rFonts w:ascii="Times New Roman" w:hAnsi="Times New Roman" w:cs="Times New Roman"/>
        </w:rPr>
      </w:pPr>
    </w:p>
    <w:p w14:paraId="5A4187B1" w14:textId="77777777" w:rsidR="0068073E" w:rsidRDefault="00166256" w:rsidP="00841CC1">
      <w:pPr>
        <w:jc w:val="both"/>
        <w:rPr>
          <w:rFonts w:ascii="Times New Roman" w:hAnsi="Times New Roman" w:cs="Times New Roman"/>
        </w:rPr>
      </w:pPr>
      <w:r>
        <w:rPr>
          <w:rFonts w:ascii="Times New Roman" w:hAnsi="Times New Roman" w:cs="Times New Roman"/>
        </w:rPr>
        <w:t xml:space="preserve">Additionally, while the </w:t>
      </w:r>
      <w:r w:rsidR="00C42758">
        <w:rPr>
          <w:rFonts w:ascii="Times New Roman" w:hAnsi="Times New Roman" w:cs="Times New Roman"/>
        </w:rPr>
        <w:t xml:space="preserve">exercise </w:t>
      </w:r>
      <w:r>
        <w:rPr>
          <w:rFonts w:ascii="Times New Roman" w:hAnsi="Times New Roman" w:cs="Times New Roman"/>
        </w:rPr>
        <w:t xml:space="preserve">results are anonymous, they can be used to inform requirements for research and development, such as enhancements in analysis techniques, availability of reference materials and </w:t>
      </w:r>
      <w:r w:rsidR="00C42758">
        <w:rPr>
          <w:rFonts w:ascii="Times New Roman" w:hAnsi="Times New Roman" w:cs="Times New Roman"/>
        </w:rPr>
        <w:t xml:space="preserve">improvements in instrumentation. </w:t>
      </w:r>
    </w:p>
    <w:p w14:paraId="1EFF88AA" w14:textId="77777777" w:rsidR="00C42758" w:rsidRDefault="00C42758" w:rsidP="00841CC1">
      <w:pPr>
        <w:jc w:val="both"/>
        <w:rPr>
          <w:rFonts w:ascii="Times New Roman" w:hAnsi="Times New Roman" w:cs="Times New Roman"/>
        </w:rPr>
      </w:pPr>
    </w:p>
    <w:p w14:paraId="4C2AA2CC" w14:textId="77777777" w:rsidR="00C42758" w:rsidRDefault="00C42758" w:rsidP="00841CC1">
      <w:pPr>
        <w:jc w:val="both"/>
        <w:rPr>
          <w:rFonts w:ascii="Times New Roman" w:hAnsi="Times New Roman" w:cs="Times New Roman"/>
        </w:rPr>
      </w:pPr>
      <w:r>
        <w:rPr>
          <w:rFonts w:ascii="Times New Roman" w:hAnsi="Times New Roman" w:cs="Times New Roman"/>
        </w:rPr>
        <w:t>To date, the ITWG Exercises Task Group has overseen the development, conduct, comparative data analysis, and reporting for three collaborative material exercises, dubbed “Round Robins”. The</w:t>
      </w:r>
      <w:r w:rsidR="00A14738">
        <w:rPr>
          <w:rFonts w:ascii="Times New Roman" w:hAnsi="Times New Roman" w:cs="Times New Roman"/>
        </w:rPr>
        <w:t xml:space="preserve"> years, the materials used</w:t>
      </w:r>
      <w:r>
        <w:rPr>
          <w:rFonts w:ascii="Times New Roman" w:hAnsi="Times New Roman" w:cs="Times New Roman"/>
        </w:rPr>
        <w:t xml:space="preserve"> and </w:t>
      </w:r>
      <w:r w:rsidR="00A14738">
        <w:rPr>
          <w:rFonts w:ascii="Times New Roman" w:hAnsi="Times New Roman" w:cs="Times New Roman"/>
        </w:rPr>
        <w:t xml:space="preserve">the </w:t>
      </w:r>
      <w:r>
        <w:rPr>
          <w:rFonts w:ascii="Times New Roman" w:hAnsi="Times New Roman" w:cs="Times New Roman"/>
        </w:rPr>
        <w:t xml:space="preserve">participating laboratories </w:t>
      </w:r>
      <w:r w:rsidR="00A14738">
        <w:rPr>
          <w:rFonts w:ascii="Times New Roman" w:hAnsi="Times New Roman" w:cs="Times New Roman"/>
        </w:rPr>
        <w:t xml:space="preserve">of Round Robin 1, 2 and 3 </w:t>
      </w:r>
      <w:r>
        <w:rPr>
          <w:rFonts w:ascii="Times New Roman" w:hAnsi="Times New Roman" w:cs="Times New Roman"/>
        </w:rPr>
        <w:t>are given in Table I.</w:t>
      </w:r>
      <w:r w:rsidR="00A14738">
        <w:rPr>
          <w:rFonts w:ascii="Times New Roman" w:hAnsi="Times New Roman" w:cs="Times New Roman"/>
        </w:rPr>
        <w:t xml:space="preserve"> </w:t>
      </w:r>
    </w:p>
    <w:p w14:paraId="1AB43910" w14:textId="77777777" w:rsidR="0092790C" w:rsidRDefault="0092790C" w:rsidP="0092790C">
      <w:pPr>
        <w:jc w:val="both"/>
        <w:rPr>
          <w:rFonts w:ascii="Times New Roman" w:hAnsi="Times New Roman" w:cs="Times New Roman"/>
        </w:rPr>
      </w:pPr>
    </w:p>
    <w:p w14:paraId="0EFDE332" w14:textId="77777777" w:rsidR="0092790C" w:rsidRDefault="0092790C" w:rsidP="0092790C">
      <w:pPr>
        <w:jc w:val="both"/>
        <w:rPr>
          <w:rFonts w:ascii="Times New Roman" w:hAnsi="Times New Roman" w:cs="Times New Roman"/>
        </w:rPr>
      </w:pPr>
      <w:r>
        <w:rPr>
          <w:rFonts w:ascii="Times New Roman" w:hAnsi="Times New Roman" w:cs="Times New Roman"/>
        </w:rPr>
        <w:t>Important lessons have been gleaned from these exercises. These lessons include:</w:t>
      </w:r>
    </w:p>
    <w:p w14:paraId="3D01BA79" w14:textId="77777777" w:rsidR="0092790C" w:rsidRDefault="0092790C" w:rsidP="0092790C">
      <w:pPr>
        <w:jc w:val="both"/>
        <w:rPr>
          <w:rFonts w:ascii="Times New Roman" w:hAnsi="Times New Roman" w:cs="Times New Roman"/>
        </w:rPr>
      </w:pPr>
    </w:p>
    <w:p w14:paraId="065B8E79" w14:textId="77777777" w:rsidR="0092790C" w:rsidRDefault="0092790C" w:rsidP="0092790C">
      <w:pPr>
        <w:pStyle w:val="ListParagraph"/>
        <w:numPr>
          <w:ilvl w:val="0"/>
          <w:numId w:val="7"/>
        </w:numPr>
        <w:ind w:left="360"/>
        <w:jc w:val="both"/>
        <w:rPr>
          <w:rFonts w:ascii="Times New Roman" w:hAnsi="Times New Roman" w:cs="Times New Roman"/>
        </w:rPr>
      </w:pPr>
      <w:r w:rsidRPr="002726AC">
        <w:rPr>
          <w:rFonts w:ascii="Times New Roman" w:hAnsi="Times New Roman" w:cs="Times New Roman"/>
        </w:rPr>
        <w:t xml:space="preserve">The participating laboratories have demonstrated their technical competence </w:t>
      </w:r>
      <w:r>
        <w:rPr>
          <w:rFonts w:ascii="Times New Roman" w:hAnsi="Times New Roman" w:cs="Times New Roman"/>
        </w:rPr>
        <w:t>for</w:t>
      </w:r>
      <w:r w:rsidRPr="002726AC">
        <w:rPr>
          <w:rFonts w:ascii="Times New Roman" w:hAnsi="Times New Roman" w:cs="Times New Roman"/>
        </w:rPr>
        <w:t xml:space="preserve"> perform</w:t>
      </w:r>
      <w:r>
        <w:rPr>
          <w:rFonts w:ascii="Times New Roman" w:hAnsi="Times New Roman" w:cs="Times New Roman"/>
        </w:rPr>
        <w:t>ing analyses critical to</w:t>
      </w:r>
      <w:r w:rsidRPr="002726AC">
        <w:rPr>
          <w:rFonts w:ascii="Times New Roman" w:hAnsi="Times New Roman" w:cs="Times New Roman"/>
        </w:rPr>
        <w:t xml:space="preserve"> nuclear forensic</w:t>
      </w:r>
      <w:r>
        <w:rPr>
          <w:rFonts w:ascii="Times New Roman" w:hAnsi="Times New Roman" w:cs="Times New Roman"/>
        </w:rPr>
        <w:t xml:space="preserve"> investigations.</w:t>
      </w:r>
    </w:p>
    <w:p w14:paraId="01757B9F" w14:textId="77777777" w:rsidR="008839EC" w:rsidRDefault="008839EC" w:rsidP="008839EC">
      <w:pPr>
        <w:pStyle w:val="ListParagraph"/>
        <w:ind w:left="360"/>
        <w:jc w:val="both"/>
        <w:rPr>
          <w:rFonts w:ascii="Times New Roman" w:hAnsi="Times New Roman" w:cs="Times New Roman"/>
        </w:rPr>
      </w:pPr>
    </w:p>
    <w:p w14:paraId="13143711" w14:textId="77777777" w:rsidR="0092790C" w:rsidRDefault="0092790C" w:rsidP="0092790C">
      <w:pPr>
        <w:pStyle w:val="ListParagraph"/>
        <w:numPr>
          <w:ilvl w:val="0"/>
          <w:numId w:val="7"/>
        </w:numPr>
        <w:ind w:left="360"/>
        <w:jc w:val="both"/>
        <w:rPr>
          <w:rFonts w:ascii="Times New Roman" w:hAnsi="Times New Roman" w:cs="Times New Roman"/>
        </w:rPr>
      </w:pPr>
      <w:r>
        <w:rPr>
          <w:rFonts w:ascii="Times New Roman" w:hAnsi="Times New Roman" w:cs="Times New Roman"/>
        </w:rPr>
        <w:t>Guidance documents such as the IAEA Nuclear Security Series publications as well as the ITWG Best Practices guidelines have proven useful. Conversely, the results of the exercises have aided in identifying areas within these guidance documents where changes are desired or where greater clarity must be sought.</w:t>
      </w:r>
    </w:p>
    <w:p w14:paraId="0991326A" w14:textId="77777777" w:rsidR="008839EC" w:rsidRDefault="008839EC" w:rsidP="008839EC">
      <w:pPr>
        <w:pStyle w:val="ListParagraph"/>
        <w:ind w:left="360"/>
        <w:jc w:val="both"/>
        <w:rPr>
          <w:rFonts w:ascii="Times New Roman" w:hAnsi="Times New Roman" w:cs="Times New Roman"/>
        </w:rPr>
      </w:pPr>
    </w:p>
    <w:p w14:paraId="2247C412" w14:textId="77777777" w:rsidR="0092790C" w:rsidRDefault="0092790C" w:rsidP="0092790C">
      <w:pPr>
        <w:pStyle w:val="ListParagraph"/>
        <w:numPr>
          <w:ilvl w:val="0"/>
          <w:numId w:val="7"/>
        </w:numPr>
        <w:ind w:left="360"/>
        <w:jc w:val="both"/>
        <w:rPr>
          <w:rFonts w:ascii="Times New Roman" w:hAnsi="Times New Roman" w:cs="Times New Roman"/>
        </w:rPr>
      </w:pPr>
      <w:r>
        <w:rPr>
          <w:rFonts w:ascii="Times New Roman" w:hAnsi="Times New Roman" w:cs="Times New Roman"/>
        </w:rPr>
        <w:t>Databases</w:t>
      </w:r>
      <w:r w:rsidR="00940DBB">
        <w:rPr>
          <w:rFonts w:ascii="Times New Roman" w:hAnsi="Times New Roman" w:cs="Times New Roman"/>
        </w:rPr>
        <w:t>,</w:t>
      </w:r>
      <w:r>
        <w:rPr>
          <w:rFonts w:ascii="Times New Roman" w:hAnsi="Times New Roman" w:cs="Times New Roman"/>
        </w:rPr>
        <w:t xml:space="preserve"> historical records</w:t>
      </w:r>
      <w:r w:rsidR="00940DBB">
        <w:rPr>
          <w:rFonts w:ascii="Times New Roman" w:hAnsi="Times New Roman" w:cs="Times New Roman"/>
        </w:rPr>
        <w:t>, and archived materials</w:t>
      </w:r>
      <w:r>
        <w:rPr>
          <w:rFonts w:ascii="Times New Roman" w:hAnsi="Times New Roman" w:cs="Times New Roman"/>
        </w:rPr>
        <w:t xml:space="preserve"> are valuable in identifying similarities and dissimilarities between materials of known provenance and samples associated with nuclear security events. Both types of results – </w:t>
      </w:r>
      <w:r w:rsidR="00940DBB">
        <w:rPr>
          <w:rFonts w:ascii="Times New Roman" w:hAnsi="Times New Roman" w:cs="Times New Roman"/>
        </w:rPr>
        <w:t xml:space="preserve">that is, </w:t>
      </w:r>
      <w:r>
        <w:rPr>
          <w:rFonts w:ascii="Times New Roman" w:hAnsi="Times New Roman" w:cs="Times New Roman"/>
        </w:rPr>
        <w:t>“inclusion” and “exclusion” in the terms used in forensic science – can be valuable in determining the origin of a material.</w:t>
      </w:r>
    </w:p>
    <w:p w14:paraId="3639A12C" w14:textId="77777777" w:rsidR="00940DBB" w:rsidRPr="00940DBB" w:rsidRDefault="00940DBB" w:rsidP="00940DBB">
      <w:pPr>
        <w:pStyle w:val="ListParagraph"/>
        <w:rPr>
          <w:rFonts w:ascii="Times New Roman" w:hAnsi="Times New Roman" w:cs="Times New Roman"/>
        </w:rPr>
      </w:pPr>
    </w:p>
    <w:p w14:paraId="5BE8E0C6" w14:textId="77777777" w:rsidR="00940DBB" w:rsidRDefault="00940DBB" w:rsidP="0092790C">
      <w:pPr>
        <w:pStyle w:val="ListParagraph"/>
        <w:numPr>
          <w:ilvl w:val="0"/>
          <w:numId w:val="7"/>
        </w:numPr>
        <w:ind w:left="360"/>
        <w:jc w:val="both"/>
        <w:rPr>
          <w:rFonts w:ascii="Times New Roman" w:hAnsi="Times New Roman" w:cs="Times New Roman"/>
        </w:rPr>
      </w:pPr>
      <w:r>
        <w:rPr>
          <w:rFonts w:ascii="Times New Roman" w:hAnsi="Times New Roman" w:cs="Times New Roman"/>
        </w:rPr>
        <w:t>Ensuring availability of personnel, instrumentation, and equipment is challenging, perhaps reflecting the voluntary nature of these collaborative exercises.</w:t>
      </w:r>
    </w:p>
    <w:p w14:paraId="1003EE9D" w14:textId="77777777" w:rsidR="008839EC" w:rsidRDefault="008839EC" w:rsidP="008839EC">
      <w:pPr>
        <w:pStyle w:val="ListParagraph"/>
        <w:ind w:left="360"/>
        <w:jc w:val="both"/>
        <w:rPr>
          <w:rFonts w:ascii="Times New Roman" w:hAnsi="Times New Roman" w:cs="Times New Roman"/>
        </w:rPr>
      </w:pPr>
    </w:p>
    <w:p w14:paraId="01E5B8FB" w14:textId="77777777" w:rsidR="0092790C" w:rsidRPr="005A2B69" w:rsidRDefault="0092790C" w:rsidP="0092790C">
      <w:pPr>
        <w:pStyle w:val="ListParagraph"/>
        <w:numPr>
          <w:ilvl w:val="0"/>
          <w:numId w:val="7"/>
        </w:numPr>
        <w:ind w:left="360"/>
        <w:jc w:val="both"/>
        <w:rPr>
          <w:rFonts w:ascii="Times New Roman" w:hAnsi="Times New Roman" w:cs="Times New Roman"/>
        </w:rPr>
      </w:pPr>
      <w:r>
        <w:rPr>
          <w:rFonts w:ascii="Times New Roman" w:hAnsi="Times New Roman" w:cs="Times New Roman"/>
        </w:rPr>
        <w:t>Few participating laboratories have developed robust methods for the safe and effective conduct of conventional forensic examinations on samples containing nuclear materials.</w:t>
      </w:r>
      <w:r w:rsidR="00940DBB">
        <w:rPr>
          <w:rFonts w:ascii="Times New Roman" w:hAnsi="Times New Roman" w:cs="Times New Roman"/>
        </w:rPr>
        <w:t xml:space="preserve"> Consequently, results from these conventional forensic examinations </w:t>
      </w:r>
      <w:r w:rsidR="007B409A">
        <w:rPr>
          <w:rFonts w:ascii="Times New Roman" w:hAnsi="Times New Roman" w:cs="Times New Roman"/>
        </w:rPr>
        <w:t>have</w:t>
      </w:r>
      <w:r w:rsidR="00940DBB">
        <w:rPr>
          <w:rFonts w:ascii="Times New Roman" w:hAnsi="Times New Roman" w:cs="Times New Roman"/>
        </w:rPr>
        <w:t xml:space="preserve"> under-exploited</w:t>
      </w:r>
      <w:r w:rsidR="007B409A">
        <w:rPr>
          <w:rFonts w:ascii="Times New Roman" w:hAnsi="Times New Roman" w:cs="Times New Roman"/>
        </w:rPr>
        <w:t>.</w:t>
      </w:r>
    </w:p>
    <w:p w14:paraId="64F634A5" w14:textId="77777777" w:rsidR="000855F3" w:rsidRDefault="000855F3" w:rsidP="000855F3">
      <w:pPr>
        <w:jc w:val="both"/>
        <w:rPr>
          <w:rFonts w:ascii="Times New Roman" w:hAnsi="Times New Roman" w:cs="Times New Roman"/>
        </w:rPr>
      </w:pPr>
    </w:p>
    <w:tbl>
      <w:tblPr>
        <w:tblStyle w:val="TableGrid"/>
        <w:tblW w:w="0" w:type="auto"/>
        <w:tblLook w:val="04A0" w:firstRow="1" w:lastRow="0" w:firstColumn="1" w:lastColumn="0" w:noHBand="0" w:noVBand="1"/>
      </w:tblPr>
      <w:tblGrid>
        <w:gridCol w:w="1278"/>
        <w:gridCol w:w="2430"/>
        <w:gridCol w:w="5400"/>
      </w:tblGrid>
      <w:tr w:rsidR="0092790C" w14:paraId="66388413" w14:textId="77777777" w:rsidTr="006D72B4">
        <w:tc>
          <w:tcPr>
            <w:tcW w:w="9108" w:type="dxa"/>
            <w:gridSpan w:val="3"/>
            <w:tcBorders>
              <w:left w:val="nil"/>
              <w:right w:val="nil"/>
            </w:tcBorders>
          </w:tcPr>
          <w:p w14:paraId="544E9860" w14:textId="77777777" w:rsidR="0092790C" w:rsidRDefault="0092790C" w:rsidP="006D72B4">
            <w:pPr>
              <w:spacing w:before="120" w:after="120"/>
              <w:rPr>
                <w:rFonts w:ascii="Times New Roman" w:hAnsi="Times New Roman" w:cs="Times New Roman"/>
              </w:rPr>
            </w:pPr>
            <w:r>
              <w:rPr>
                <w:rFonts w:ascii="Times New Roman" w:hAnsi="Times New Roman" w:cs="Times New Roman"/>
              </w:rPr>
              <w:t>Table I. Collaborative Material Exercises of the ITWG</w:t>
            </w:r>
          </w:p>
        </w:tc>
      </w:tr>
      <w:tr w:rsidR="0092790C" w14:paraId="348DAFBF" w14:textId="77777777" w:rsidTr="006D72B4">
        <w:tc>
          <w:tcPr>
            <w:tcW w:w="1278" w:type="dxa"/>
            <w:tcBorders>
              <w:left w:val="nil"/>
              <w:bottom w:val="single" w:sz="4" w:space="0" w:color="auto"/>
              <w:right w:val="nil"/>
            </w:tcBorders>
          </w:tcPr>
          <w:p w14:paraId="212FA7A5"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Years</w:t>
            </w:r>
          </w:p>
        </w:tc>
        <w:tc>
          <w:tcPr>
            <w:tcW w:w="2430" w:type="dxa"/>
            <w:tcBorders>
              <w:left w:val="nil"/>
              <w:bottom w:val="single" w:sz="4" w:space="0" w:color="auto"/>
              <w:right w:val="nil"/>
            </w:tcBorders>
          </w:tcPr>
          <w:p w14:paraId="3C3F1725"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Material</w:t>
            </w:r>
          </w:p>
        </w:tc>
        <w:tc>
          <w:tcPr>
            <w:tcW w:w="5400" w:type="dxa"/>
            <w:tcBorders>
              <w:left w:val="nil"/>
              <w:bottom w:val="single" w:sz="4" w:space="0" w:color="auto"/>
              <w:right w:val="nil"/>
            </w:tcBorders>
          </w:tcPr>
          <w:p w14:paraId="5B67B4BD" w14:textId="77777777" w:rsidR="0092790C" w:rsidRPr="007E651F" w:rsidRDefault="0092790C" w:rsidP="006D72B4">
            <w:pPr>
              <w:spacing w:before="120" w:after="120"/>
              <w:jc w:val="center"/>
              <w:rPr>
                <w:rFonts w:ascii="Times New Roman" w:hAnsi="Times New Roman" w:cs="Times New Roman"/>
                <w:vertAlign w:val="superscript"/>
              </w:rPr>
            </w:pPr>
            <w:r>
              <w:rPr>
                <w:rFonts w:ascii="Times New Roman" w:hAnsi="Times New Roman" w:cs="Times New Roman"/>
              </w:rPr>
              <w:t>Participating Laboratories</w:t>
            </w:r>
            <w:r>
              <w:rPr>
                <w:rFonts w:ascii="Times New Roman" w:hAnsi="Times New Roman" w:cs="Times New Roman"/>
                <w:vertAlign w:val="superscript"/>
              </w:rPr>
              <w:t>a</w:t>
            </w:r>
          </w:p>
        </w:tc>
      </w:tr>
      <w:tr w:rsidR="0092790C" w14:paraId="19099812" w14:textId="77777777" w:rsidTr="006D72B4">
        <w:tc>
          <w:tcPr>
            <w:tcW w:w="1278" w:type="dxa"/>
            <w:tcBorders>
              <w:left w:val="nil"/>
              <w:bottom w:val="nil"/>
              <w:right w:val="nil"/>
            </w:tcBorders>
          </w:tcPr>
          <w:p w14:paraId="3A9BFA3E" w14:textId="77777777" w:rsidR="0092790C" w:rsidRDefault="0092790C" w:rsidP="006D72B4">
            <w:pPr>
              <w:spacing w:before="120"/>
              <w:jc w:val="center"/>
              <w:rPr>
                <w:rFonts w:ascii="Times New Roman" w:hAnsi="Times New Roman" w:cs="Times New Roman"/>
              </w:rPr>
            </w:pPr>
            <w:r>
              <w:rPr>
                <w:rFonts w:ascii="Times New Roman" w:hAnsi="Times New Roman" w:cs="Times New Roman"/>
              </w:rPr>
              <w:t>1999-2000</w:t>
            </w:r>
          </w:p>
        </w:tc>
        <w:tc>
          <w:tcPr>
            <w:tcW w:w="2430" w:type="dxa"/>
            <w:tcBorders>
              <w:left w:val="nil"/>
              <w:bottom w:val="nil"/>
              <w:right w:val="nil"/>
            </w:tcBorders>
          </w:tcPr>
          <w:p w14:paraId="0CDBFDC9" w14:textId="77777777" w:rsidR="0092790C" w:rsidRDefault="0092790C" w:rsidP="006D72B4">
            <w:pPr>
              <w:spacing w:before="120"/>
              <w:rPr>
                <w:rFonts w:ascii="Times New Roman" w:hAnsi="Times New Roman" w:cs="Times New Roman"/>
              </w:rPr>
            </w:pPr>
            <w:r>
              <w:rPr>
                <w:rFonts w:ascii="Times New Roman" w:hAnsi="Times New Roman" w:cs="Times New Roman"/>
              </w:rPr>
              <w:t>Plutonium oxide powder</w:t>
            </w:r>
          </w:p>
        </w:tc>
        <w:tc>
          <w:tcPr>
            <w:tcW w:w="5400" w:type="dxa"/>
            <w:tcBorders>
              <w:left w:val="nil"/>
              <w:bottom w:val="nil"/>
              <w:right w:val="nil"/>
            </w:tcBorders>
          </w:tcPr>
          <w:p w14:paraId="6EA3B2A7" w14:textId="77777777" w:rsidR="0092790C" w:rsidRDefault="00AD0450" w:rsidP="006D72B4">
            <w:pPr>
              <w:spacing w:before="120"/>
              <w:rPr>
                <w:rFonts w:ascii="Times New Roman" w:hAnsi="Times New Roman" w:cs="Times New Roman"/>
              </w:rPr>
            </w:pPr>
            <w:r>
              <w:rPr>
                <w:rFonts w:ascii="Times New Roman" w:hAnsi="Times New Roman" w:cs="Times New Roman"/>
              </w:rPr>
              <w:t xml:space="preserve">Austrian Research Centre, Seibersdorf, Austria; </w:t>
            </w:r>
            <w:r w:rsidR="0092790C" w:rsidRPr="00DB4C96">
              <w:rPr>
                <w:rFonts w:ascii="Times New Roman" w:hAnsi="Times New Roman" w:cs="Times New Roman"/>
              </w:rPr>
              <w:t>CEA</w:t>
            </w:r>
            <w:r w:rsidR="0092790C">
              <w:rPr>
                <w:rFonts w:ascii="Times New Roman" w:hAnsi="Times New Roman" w:cs="Times New Roman"/>
              </w:rPr>
              <w:t>,</w:t>
            </w:r>
            <w:r w:rsidR="0092790C" w:rsidRPr="00DB4C96">
              <w:rPr>
                <w:rFonts w:ascii="Times New Roman" w:hAnsi="Times New Roman" w:cs="Times New Roman"/>
              </w:rPr>
              <w:t xml:space="preserve"> Valduc, France</w:t>
            </w:r>
            <w:r w:rsidR="0092790C">
              <w:rPr>
                <w:rFonts w:ascii="Times New Roman" w:hAnsi="Times New Roman" w:cs="Times New Roman"/>
              </w:rPr>
              <w:t xml:space="preserve">; </w:t>
            </w:r>
            <w:r w:rsidR="0092790C" w:rsidRPr="00DB4C96">
              <w:rPr>
                <w:rFonts w:ascii="Times New Roman" w:hAnsi="Times New Roman" w:cs="Times New Roman"/>
              </w:rPr>
              <w:t>Institute for Transuranium Elements (ITU)</w:t>
            </w:r>
            <w:r w:rsidR="0092790C">
              <w:rPr>
                <w:rFonts w:ascii="Times New Roman" w:hAnsi="Times New Roman" w:cs="Times New Roman"/>
              </w:rPr>
              <w:t>, Karlsruhe, Germany</w:t>
            </w:r>
            <w:r w:rsidR="0092790C" w:rsidRPr="00DB4C96">
              <w:rPr>
                <w:rFonts w:ascii="Times New Roman" w:hAnsi="Times New Roman" w:cs="Times New Roman"/>
              </w:rPr>
              <w:t>, European Commission</w:t>
            </w:r>
            <w:r w:rsidR="0092790C">
              <w:rPr>
                <w:rFonts w:ascii="Times New Roman" w:hAnsi="Times New Roman" w:cs="Times New Roman"/>
              </w:rPr>
              <w:t xml:space="preserve">; </w:t>
            </w:r>
            <w:r w:rsidR="0092790C" w:rsidRPr="004217C4">
              <w:rPr>
                <w:rFonts w:ascii="TimesTen-Roman" w:hAnsi="TimesTen-Roman" w:cs="TimesTen-Roman"/>
                <w:color w:val="1B1C20"/>
                <w:szCs w:val="20"/>
              </w:rPr>
              <w:t>Institute of Nuclear Chemistry and Technology,</w:t>
            </w:r>
            <w:r w:rsidR="0092790C">
              <w:rPr>
                <w:rFonts w:ascii="TimesTen-Roman" w:hAnsi="TimesTen-Roman" w:cs="TimesTen-Roman"/>
                <w:color w:val="1B1C20"/>
                <w:szCs w:val="20"/>
              </w:rPr>
              <w:t xml:space="preserve"> </w:t>
            </w:r>
            <w:r w:rsidR="0092790C" w:rsidRPr="004217C4">
              <w:rPr>
                <w:rFonts w:ascii="TimesTen-Roman" w:hAnsi="TimesTen-Roman" w:cs="TimesTen-Roman"/>
                <w:color w:val="1B1C20"/>
                <w:szCs w:val="20"/>
              </w:rPr>
              <w:t>Warsaw, Poland</w:t>
            </w:r>
            <w:r w:rsidR="0092790C">
              <w:rPr>
                <w:rFonts w:ascii="TimesTen-Roman" w:hAnsi="TimesTen-Roman" w:cs="TimesTen-Roman"/>
                <w:color w:val="1B1C20"/>
                <w:szCs w:val="20"/>
              </w:rPr>
              <w:t>; Institute of Physics, Vilnius, Lithuania; and Lawrence Livermore National Laboratory (LLNL), Livermore, California, USA</w:t>
            </w:r>
          </w:p>
        </w:tc>
      </w:tr>
      <w:tr w:rsidR="0092790C" w14:paraId="58D0F69E" w14:textId="77777777" w:rsidTr="006D72B4">
        <w:tc>
          <w:tcPr>
            <w:tcW w:w="1278" w:type="dxa"/>
            <w:tcBorders>
              <w:top w:val="nil"/>
              <w:left w:val="nil"/>
              <w:bottom w:val="nil"/>
              <w:right w:val="nil"/>
            </w:tcBorders>
          </w:tcPr>
          <w:p w14:paraId="201BB77E" w14:textId="77777777" w:rsidR="0092790C" w:rsidRDefault="0092790C" w:rsidP="006D72B4">
            <w:pPr>
              <w:spacing w:before="120"/>
              <w:jc w:val="center"/>
              <w:rPr>
                <w:rFonts w:ascii="Times New Roman" w:hAnsi="Times New Roman" w:cs="Times New Roman"/>
              </w:rPr>
            </w:pPr>
            <w:r>
              <w:rPr>
                <w:rFonts w:ascii="Times New Roman" w:hAnsi="Times New Roman" w:cs="Times New Roman"/>
              </w:rPr>
              <w:t>2000-2002</w:t>
            </w:r>
          </w:p>
        </w:tc>
        <w:tc>
          <w:tcPr>
            <w:tcW w:w="2430" w:type="dxa"/>
            <w:tcBorders>
              <w:top w:val="nil"/>
              <w:left w:val="nil"/>
              <w:bottom w:val="nil"/>
              <w:right w:val="nil"/>
            </w:tcBorders>
          </w:tcPr>
          <w:p w14:paraId="625B2527" w14:textId="77777777" w:rsidR="0092790C" w:rsidRPr="00AE3906" w:rsidRDefault="0092790C" w:rsidP="006D72B4">
            <w:pPr>
              <w:spacing w:before="120"/>
              <w:rPr>
                <w:rFonts w:ascii="Times New Roman" w:hAnsi="Times New Roman" w:cs="Times New Roman"/>
                <w:vertAlign w:val="superscript"/>
              </w:rPr>
            </w:pPr>
            <w:r>
              <w:rPr>
                <w:rFonts w:ascii="Times New Roman" w:hAnsi="Times New Roman" w:cs="Times New Roman"/>
              </w:rPr>
              <w:t>Highly enriched uranium (HEU) (uranium oxide powder)</w:t>
            </w:r>
            <w:r>
              <w:rPr>
                <w:rFonts w:ascii="Times New Roman" w:hAnsi="Times New Roman" w:cs="Times New Roman"/>
                <w:vertAlign w:val="superscript"/>
              </w:rPr>
              <w:t>b</w:t>
            </w:r>
          </w:p>
        </w:tc>
        <w:tc>
          <w:tcPr>
            <w:tcW w:w="5400" w:type="dxa"/>
            <w:tcBorders>
              <w:top w:val="nil"/>
              <w:left w:val="nil"/>
              <w:bottom w:val="nil"/>
              <w:right w:val="nil"/>
            </w:tcBorders>
          </w:tcPr>
          <w:p w14:paraId="5DAD34D7" w14:textId="77777777" w:rsidR="0092790C" w:rsidRPr="004217C4" w:rsidRDefault="0092790C" w:rsidP="00AD0450">
            <w:pPr>
              <w:spacing w:before="120"/>
              <w:rPr>
                <w:rFonts w:ascii="Times New Roman" w:hAnsi="Times New Roman" w:cs="Times New Roman"/>
                <w:vertAlign w:val="superscript"/>
              </w:rPr>
            </w:pPr>
            <w:r>
              <w:rPr>
                <w:rFonts w:ascii="Times New Roman" w:hAnsi="Times New Roman" w:cs="Times New Roman"/>
              </w:rPr>
              <w:t>Austrian Research Cent</w:t>
            </w:r>
            <w:r w:rsidR="00AD0450">
              <w:rPr>
                <w:rFonts w:ascii="Times New Roman" w:hAnsi="Times New Roman" w:cs="Times New Roman"/>
              </w:rPr>
              <w:t>re</w:t>
            </w:r>
            <w:r>
              <w:rPr>
                <w:rFonts w:ascii="Times New Roman" w:hAnsi="Times New Roman" w:cs="Times New Roman"/>
              </w:rPr>
              <w:t xml:space="preserve">; AWE; CEA; </w:t>
            </w:r>
            <w:r w:rsidRPr="004217C4">
              <w:rPr>
                <w:rFonts w:ascii="Times New Roman" w:hAnsi="Times New Roman" w:cs="Times New Roman"/>
                <w:color w:val="1B1C20"/>
                <w:szCs w:val="20"/>
              </w:rPr>
              <w:t>Cekmece Nuclear Research and Training Center, Istanbul,</w:t>
            </w:r>
            <w:r>
              <w:rPr>
                <w:rFonts w:ascii="Times New Roman" w:hAnsi="Times New Roman" w:cs="Times New Roman"/>
                <w:color w:val="1B1C20"/>
                <w:szCs w:val="20"/>
              </w:rPr>
              <w:t xml:space="preserve"> </w:t>
            </w:r>
            <w:r w:rsidRPr="004217C4">
              <w:rPr>
                <w:rFonts w:ascii="Times New Roman" w:hAnsi="Times New Roman" w:cs="Times New Roman"/>
                <w:color w:val="1B1C20"/>
                <w:szCs w:val="20"/>
              </w:rPr>
              <w:t>Turkey;</w:t>
            </w:r>
            <w:r>
              <w:rPr>
                <w:rFonts w:ascii="Times New Roman" w:hAnsi="Times New Roman" w:cs="Times New Roman"/>
                <w:color w:val="1B1C20"/>
                <w:szCs w:val="20"/>
              </w:rPr>
              <w:t xml:space="preserve"> </w:t>
            </w:r>
            <w:r w:rsidRPr="004217C4">
              <w:rPr>
                <w:rFonts w:ascii="Times New Roman" w:hAnsi="Times New Roman" w:cs="Times New Roman"/>
                <w:color w:val="1B1C20"/>
                <w:szCs w:val="20"/>
              </w:rPr>
              <w:t xml:space="preserve">ITU; Institut für Radiochemie, Munich, Germany; Institute of Isotope and Surface Chemistry, </w:t>
            </w:r>
            <w:r>
              <w:rPr>
                <w:rFonts w:ascii="Times New Roman" w:hAnsi="Times New Roman" w:cs="Times New Roman"/>
                <w:color w:val="1B1C20"/>
                <w:szCs w:val="20"/>
              </w:rPr>
              <w:t xml:space="preserve">Hungarian Academy of Sciences, Budapest, </w:t>
            </w:r>
            <w:r w:rsidRPr="004217C4">
              <w:rPr>
                <w:rFonts w:ascii="Times New Roman" w:hAnsi="Times New Roman" w:cs="Times New Roman"/>
                <w:color w:val="1B1C20"/>
                <w:szCs w:val="20"/>
              </w:rPr>
              <w:t xml:space="preserve">Hungary; LLNL; </w:t>
            </w:r>
            <w:r>
              <w:rPr>
                <w:rFonts w:ascii="Times New Roman" w:hAnsi="Times New Roman" w:cs="Times New Roman"/>
                <w:color w:val="1B1C20"/>
                <w:szCs w:val="20"/>
              </w:rPr>
              <w:t xml:space="preserve">and </w:t>
            </w:r>
            <w:r w:rsidRPr="004217C4">
              <w:rPr>
                <w:rFonts w:ascii="Times New Roman" w:hAnsi="Times New Roman" w:cs="Times New Roman"/>
                <w:color w:val="1B1C20"/>
                <w:szCs w:val="20"/>
              </w:rPr>
              <w:t xml:space="preserve">Nuclear Research Institute </w:t>
            </w:r>
            <w:r>
              <w:rPr>
                <w:rFonts w:ascii="Times New Roman" w:hAnsi="Times New Roman" w:cs="Times New Roman"/>
                <w:color w:val="1B1C20"/>
                <w:szCs w:val="20"/>
              </w:rPr>
              <w:t>Ř</w:t>
            </w:r>
            <w:r w:rsidRPr="004217C4">
              <w:rPr>
                <w:rFonts w:ascii="Times New Roman" w:hAnsi="Times New Roman" w:cs="Times New Roman"/>
                <w:color w:val="1B1C20"/>
                <w:szCs w:val="20"/>
              </w:rPr>
              <w:t>ež</w:t>
            </w:r>
            <w:r>
              <w:rPr>
                <w:rFonts w:ascii="Times New Roman" w:hAnsi="Times New Roman" w:cs="Times New Roman"/>
                <w:color w:val="1B1C20"/>
                <w:szCs w:val="20"/>
              </w:rPr>
              <w:t xml:space="preserve"> (NRI</w:t>
            </w:r>
            <w:r w:rsidRPr="004217C4">
              <w:rPr>
                <w:rFonts w:ascii="Times New Roman" w:hAnsi="Times New Roman" w:cs="Times New Roman"/>
                <w:color w:val="1B1C20"/>
                <w:szCs w:val="20"/>
              </w:rPr>
              <w:t xml:space="preserve"> </w:t>
            </w:r>
            <w:r>
              <w:rPr>
                <w:rFonts w:ascii="Times New Roman" w:hAnsi="Times New Roman" w:cs="Times New Roman"/>
                <w:color w:val="1B1C20"/>
                <w:szCs w:val="20"/>
              </w:rPr>
              <w:t>Ř</w:t>
            </w:r>
            <w:r w:rsidRPr="004217C4">
              <w:rPr>
                <w:rFonts w:ascii="Times New Roman" w:hAnsi="Times New Roman" w:cs="Times New Roman"/>
                <w:color w:val="1B1C20"/>
                <w:szCs w:val="20"/>
              </w:rPr>
              <w:t>ež</w:t>
            </w:r>
            <w:r>
              <w:rPr>
                <w:rFonts w:ascii="Times New Roman" w:hAnsi="Times New Roman" w:cs="Times New Roman"/>
                <w:color w:val="1B1C20"/>
                <w:szCs w:val="20"/>
              </w:rPr>
              <w:t xml:space="preserve">) </w:t>
            </w:r>
            <w:r w:rsidRPr="004217C4">
              <w:rPr>
                <w:rFonts w:ascii="Times New Roman" w:hAnsi="Times New Roman" w:cs="Times New Roman"/>
                <w:color w:val="1B1C20"/>
                <w:szCs w:val="20"/>
              </w:rPr>
              <w:t>, Czech Republic</w:t>
            </w:r>
            <w:r>
              <w:rPr>
                <w:rFonts w:ascii="Times New Roman" w:hAnsi="Times New Roman" w:cs="Times New Roman"/>
                <w:color w:val="1B1C20"/>
                <w:szCs w:val="20"/>
                <w:vertAlign w:val="superscript"/>
              </w:rPr>
              <w:t>c</w:t>
            </w:r>
          </w:p>
        </w:tc>
      </w:tr>
      <w:tr w:rsidR="0092790C" w14:paraId="58C909AA" w14:textId="77777777" w:rsidTr="006D72B4">
        <w:tc>
          <w:tcPr>
            <w:tcW w:w="1278" w:type="dxa"/>
            <w:tcBorders>
              <w:top w:val="nil"/>
              <w:left w:val="nil"/>
              <w:right w:val="nil"/>
            </w:tcBorders>
          </w:tcPr>
          <w:p w14:paraId="6391F56C"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2009-2010</w:t>
            </w:r>
          </w:p>
        </w:tc>
        <w:tc>
          <w:tcPr>
            <w:tcW w:w="2430" w:type="dxa"/>
            <w:tcBorders>
              <w:top w:val="nil"/>
              <w:left w:val="nil"/>
              <w:right w:val="nil"/>
            </w:tcBorders>
          </w:tcPr>
          <w:p w14:paraId="71810AE5" w14:textId="77777777" w:rsidR="0092790C" w:rsidRPr="00AE3906" w:rsidRDefault="0092790C" w:rsidP="006D72B4">
            <w:pPr>
              <w:spacing w:before="120" w:after="120"/>
              <w:rPr>
                <w:rFonts w:ascii="Times New Roman" w:hAnsi="Times New Roman" w:cs="Times New Roman"/>
                <w:vertAlign w:val="superscript"/>
              </w:rPr>
            </w:pPr>
            <w:r>
              <w:rPr>
                <w:rFonts w:ascii="Times New Roman" w:hAnsi="Times New Roman" w:cs="Times New Roman"/>
              </w:rPr>
              <w:t>HEU (Uranium metal)</w:t>
            </w:r>
            <w:r>
              <w:rPr>
                <w:rFonts w:ascii="Times New Roman" w:hAnsi="Times New Roman" w:cs="Times New Roman"/>
                <w:vertAlign w:val="superscript"/>
              </w:rPr>
              <w:t>d</w:t>
            </w:r>
          </w:p>
        </w:tc>
        <w:tc>
          <w:tcPr>
            <w:tcW w:w="5400" w:type="dxa"/>
            <w:tcBorders>
              <w:top w:val="nil"/>
              <w:left w:val="nil"/>
              <w:right w:val="nil"/>
            </w:tcBorders>
          </w:tcPr>
          <w:p w14:paraId="7E8BEB26" w14:textId="77777777" w:rsidR="0092790C" w:rsidRDefault="0092790C" w:rsidP="006D72B4">
            <w:pPr>
              <w:spacing w:before="120" w:after="120"/>
              <w:rPr>
                <w:rFonts w:ascii="Times New Roman" w:hAnsi="Times New Roman" w:cs="Times New Roman"/>
              </w:rPr>
            </w:pPr>
            <w:r w:rsidRPr="00B267DC">
              <w:rPr>
                <w:rFonts w:ascii="Times New Roman" w:hAnsi="Times New Roman" w:cs="Times New Roman"/>
              </w:rPr>
              <w:t>Australian Nuclea</w:t>
            </w:r>
            <w:r>
              <w:rPr>
                <w:rFonts w:ascii="Times New Roman" w:hAnsi="Times New Roman" w:cs="Times New Roman"/>
              </w:rPr>
              <w:t>r Science and Technology Organiz</w:t>
            </w:r>
            <w:r w:rsidRPr="00B267DC">
              <w:rPr>
                <w:rFonts w:ascii="Times New Roman" w:hAnsi="Times New Roman" w:cs="Times New Roman"/>
              </w:rPr>
              <w:t xml:space="preserve">ation (ANSTO), </w:t>
            </w:r>
            <w:r>
              <w:rPr>
                <w:rFonts w:ascii="Times New Roman" w:hAnsi="Times New Roman" w:cs="Times New Roman"/>
              </w:rPr>
              <w:t xml:space="preserve">Menai, </w:t>
            </w:r>
            <w:r w:rsidRPr="00B267DC">
              <w:rPr>
                <w:rFonts w:ascii="Times New Roman" w:hAnsi="Times New Roman" w:cs="Times New Roman"/>
              </w:rPr>
              <w:t>Australia</w:t>
            </w:r>
            <w:r>
              <w:rPr>
                <w:rFonts w:ascii="Times New Roman" w:hAnsi="Times New Roman" w:cs="Times New Roman"/>
              </w:rPr>
              <w:t xml:space="preserve">; AWE; </w:t>
            </w:r>
            <w:r w:rsidRPr="00B267DC">
              <w:rPr>
                <w:rFonts w:ascii="Times New Roman" w:hAnsi="Times New Roman" w:cs="Times New Roman"/>
              </w:rPr>
              <w:t xml:space="preserve">Comissao Nacional de Energia Nuclear (CNEN), </w:t>
            </w:r>
            <w:r>
              <w:rPr>
                <w:rFonts w:ascii="Times New Roman" w:hAnsi="Times New Roman" w:cs="Times New Roman"/>
              </w:rPr>
              <w:t xml:space="preserve">Pocos de Caldas, </w:t>
            </w:r>
            <w:r w:rsidRPr="00B267DC">
              <w:rPr>
                <w:rFonts w:ascii="Times New Roman" w:hAnsi="Times New Roman" w:cs="Times New Roman"/>
              </w:rPr>
              <w:t>Brazil</w:t>
            </w:r>
            <w:r>
              <w:rPr>
                <w:rFonts w:ascii="Times New Roman" w:hAnsi="Times New Roman" w:cs="Times New Roman"/>
              </w:rPr>
              <w:t xml:space="preserve">; CEA; </w:t>
            </w:r>
            <w:r w:rsidRPr="00B267DC">
              <w:rPr>
                <w:rFonts w:ascii="Times New Roman" w:hAnsi="Times New Roman" w:cs="Times New Roman"/>
              </w:rPr>
              <w:t xml:space="preserve">Defence R&amp;D Canada, </w:t>
            </w:r>
            <w:r>
              <w:rPr>
                <w:rFonts w:ascii="Times New Roman" w:hAnsi="Times New Roman" w:cs="Times New Roman"/>
              </w:rPr>
              <w:t xml:space="preserve">Ottawa, </w:t>
            </w:r>
            <w:r w:rsidRPr="00B267DC">
              <w:rPr>
                <w:rFonts w:ascii="Times New Roman" w:hAnsi="Times New Roman" w:cs="Times New Roman"/>
              </w:rPr>
              <w:t>Canada</w:t>
            </w:r>
            <w:r>
              <w:rPr>
                <w:rFonts w:ascii="Times New Roman" w:hAnsi="Times New Roman" w:cs="Times New Roman"/>
              </w:rPr>
              <w:t xml:space="preserve">; </w:t>
            </w:r>
            <w:r w:rsidRPr="00B267DC">
              <w:rPr>
                <w:rFonts w:ascii="Times New Roman" w:hAnsi="Times New Roman" w:cs="Times New Roman"/>
              </w:rPr>
              <w:t>Institute of Isotopes</w:t>
            </w:r>
            <w:r>
              <w:rPr>
                <w:rFonts w:ascii="Times New Roman" w:hAnsi="Times New Roman" w:cs="Times New Roman"/>
              </w:rPr>
              <w:t>,</w:t>
            </w:r>
            <w:r w:rsidRPr="00B267DC">
              <w:rPr>
                <w:rFonts w:ascii="Times New Roman" w:hAnsi="Times New Roman" w:cs="Times New Roman"/>
              </w:rPr>
              <w:t xml:space="preserve"> Hungarian Academy of Sciences,</w:t>
            </w:r>
            <w:r>
              <w:rPr>
                <w:rFonts w:ascii="Times New Roman" w:hAnsi="Times New Roman" w:cs="Times New Roman"/>
              </w:rPr>
              <w:t xml:space="preserve"> Budapest, Hungary; ITU; LLNL; and NRI </w:t>
            </w:r>
            <w:r>
              <w:rPr>
                <w:rFonts w:ascii="Times New Roman" w:hAnsi="Times New Roman" w:cs="Times New Roman"/>
                <w:color w:val="1B1C20"/>
                <w:szCs w:val="20"/>
              </w:rPr>
              <w:t>Ř</w:t>
            </w:r>
            <w:r w:rsidRPr="004217C4">
              <w:rPr>
                <w:rFonts w:ascii="Times New Roman" w:hAnsi="Times New Roman" w:cs="Times New Roman"/>
                <w:color w:val="1B1C20"/>
                <w:szCs w:val="20"/>
              </w:rPr>
              <w:t>ež</w:t>
            </w:r>
          </w:p>
        </w:tc>
      </w:tr>
    </w:tbl>
    <w:p w14:paraId="33849826" w14:textId="77777777" w:rsidR="0092790C" w:rsidRPr="007E651F" w:rsidRDefault="0092790C" w:rsidP="0092790C">
      <w:pPr>
        <w:spacing w:before="120"/>
        <w:rPr>
          <w:rFonts w:ascii="Times New Roman" w:hAnsi="Times New Roman" w:cs="Times New Roman"/>
        </w:rPr>
      </w:pPr>
      <w:r>
        <w:rPr>
          <w:rFonts w:ascii="Times New Roman" w:hAnsi="Times New Roman" w:cs="Times New Roman"/>
          <w:vertAlign w:val="superscript"/>
        </w:rPr>
        <w:t xml:space="preserve">a </w:t>
      </w:r>
      <w:r>
        <w:rPr>
          <w:rFonts w:ascii="Times New Roman" w:hAnsi="Times New Roman" w:cs="Times New Roman"/>
        </w:rPr>
        <w:t>The name of the laboratory shown in the table is the one that was in use at the time of the exercise.</w:t>
      </w:r>
    </w:p>
    <w:p w14:paraId="00CDB809" w14:textId="77777777" w:rsidR="0092790C" w:rsidRDefault="0092790C" w:rsidP="0092790C">
      <w:pPr>
        <w:rPr>
          <w:rFonts w:ascii="Times New Roman" w:hAnsi="Times New Roman" w:cs="Times New Roman"/>
          <w:color w:val="000000"/>
          <w:szCs w:val="17"/>
        </w:rPr>
      </w:pPr>
      <w:r>
        <w:rPr>
          <w:rFonts w:ascii="Times New Roman" w:hAnsi="Times New Roman" w:cs="Times New Roman"/>
          <w:vertAlign w:val="superscript"/>
        </w:rPr>
        <w:t xml:space="preserve">b </w:t>
      </w:r>
      <w:r>
        <w:rPr>
          <w:rFonts w:ascii="Times New Roman" w:hAnsi="Times New Roman" w:cs="Times New Roman"/>
        </w:rPr>
        <w:t xml:space="preserve">90+% </w:t>
      </w:r>
      <w:r w:rsidRPr="00AE3906">
        <w:rPr>
          <w:rFonts w:ascii="Times New Roman" w:hAnsi="Times New Roman" w:cs="Times New Roman"/>
          <w:vertAlign w:val="superscript"/>
        </w:rPr>
        <w:t>235</w:t>
      </w:r>
      <w:r>
        <w:rPr>
          <w:rFonts w:ascii="Times New Roman" w:hAnsi="Times New Roman" w:cs="Times New Roman"/>
        </w:rPr>
        <w:t xml:space="preserve">U, provided by </w:t>
      </w:r>
      <w:r>
        <w:rPr>
          <w:rFonts w:ascii="Times New Roman" w:hAnsi="Times New Roman" w:cs="Times New Roman"/>
          <w:color w:val="000000"/>
          <w:szCs w:val="17"/>
        </w:rPr>
        <w:t xml:space="preserve">Nuclear Research Institute </w:t>
      </w:r>
      <w:r w:rsidRPr="00503FB6">
        <w:rPr>
          <w:rFonts w:ascii="Times New Roman" w:hAnsi="Times New Roman" w:cs="Times New Roman"/>
          <w:color w:val="000000"/>
          <w:szCs w:val="17"/>
        </w:rPr>
        <w:t>Řež</w:t>
      </w:r>
      <w:r>
        <w:rPr>
          <w:rFonts w:ascii="Times New Roman" w:hAnsi="Times New Roman" w:cs="Times New Roman"/>
          <w:color w:val="000000"/>
          <w:szCs w:val="17"/>
        </w:rPr>
        <w:t>, Czech Republic.</w:t>
      </w:r>
    </w:p>
    <w:p w14:paraId="6F19D6A8" w14:textId="77777777" w:rsidR="0092790C" w:rsidRPr="004217C4" w:rsidRDefault="0092790C" w:rsidP="0092790C">
      <w:pPr>
        <w:rPr>
          <w:rFonts w:ascii="Times New Roman" w:hAnsi="Times New Roman" w:cs="Times New Roman"/>
        </w:rPr>
      </w:pPr>
      <w:r>
        <w:rPr>
          <w:rFonts w:ascii="Times New Roman" w:hAnsi="Times New Roman" w:cs="Times New Roman"/>
          <w:color w:val="000000"/>
          <w:szCs w:val="17"/>
          <w:vertAlign w:val="superscript"/>
        </w:rPr>
        <w:t>c</w:t>
      </w:r>
      <w:r>
        <w:rPr>
          <w:rFonts w:ascii="Times New Roman" w:hAnsi="Times New Roman" w:cs="Times New Roman"/>
          <w:color w:val="000000"/>
          <w:szCs w:val="17"/>
        </w:rPr>
        <w:t xml:space="preserve"> In addition, </w:t>
      </w:r>
      <w:r w:rsidRPr="00DB4C96">
        <w:rPr>
          <w:rFonts w:ascii="Times New Roman" w:hAnsi="Times New Roman" w:cs="Times New Roman"/>
        </w:rPr>
        <w:t xml:space="preserve">Defence R&amp;D Canada, </w:t>
      </w:r>
      <w:r>
        <w:rPr>
          <w:rFonts w:ascii="Times New Roman" w:hAnsi="Times New Roman" w:cs="Times New Roman"/>
        </w:rPr>
        <w:t xml:space="preserve">Ottawa, </w:t>
      </w:r>
      <w:r w:rsidRPr="00DB4C96">
        <w:rPr>
          <w:rFonts w:ascii="Times New Roman" w:hAnsi="Times New Roman" w:cs="Times New Roman"/>
        </w:rPr>
        <w:t>Canada</w:t>
      </w:r>
      <w:r>
        <w:rPr>
          <w:rFonts w:ascii="Times New Roman" w:hAnsi="Times New Roman" w:cs="Times New Roman"/>
        </w:rPr>
        <w:t xml:space="preserve">, participated on a delayed basis, submitting its report in November 2004. </w:t>
      </w:r>
    </w:p>
    <w:p w14:paraId="4D4CDD5F" w14:textId="77777777" w:rsidR="0092790C" w:rsidRDefault="0092790C" w:rsidP="0092790C">
      <w:pPr>
        <w:rPr>
          <w:rFonts w:ascii="Times New Roman" w:hAnsi="Times New Roman" w:cs="Times New Roman"/>
        </w:rPr>
      </w:pPr>
      <w:r>
        <w:rPr>
          <w:rFonts w:ascii="Times New Roman" w:hAnsi="Times New Roman" w:cs="Times New Roman"/>
          <w:vertAlign w:val="superscript"/>
        </w:rPr>
        <w:t>d</w:t>
      </w:r>
      <w:r>
        <w:rPr>
          <w:rFonts w:ascii="Times New Roman" w:hAnsi="Times New Roman" w:cs="Times New Roman"/>
        </w:rPr>
        <w:t xml:space="preserve"> 90+% </w:t>
      </w:r>
      <w:r w:rsidRPr="00AE3906">
        <w:rPr>
          <w:rFonts w:ascii="Times New Roman" w:hAnsi="Times New Roman" w:cs="Times New Roman"/>
          <w:vertAlign w:val="superscript"/>
        </w:rPr>
        <w:t>235</w:t>
      </w:r>
      <w:r>
        <w:rPr>
          <w:rFonts w:ascii="Times New Roman" w:hAnsi="Times New Roman" w:cs="Times New Roman"/>
        </w:rPr>
        <w:t>U, provided by a US government facility, Oak Ridge, Tennessee.</w:t>
      </w:r>
    </w:p>
    <w:p w14:paraId="18D571F0" w14:textId="77777777" w:rsidR="0092790C" w:rsidRDefault="0092790C" w:rsidP="00841CC1">
      <w:pPr>
        <w:jc w:val="both"/>
        <w:rPr>
          <w:rFonts w:ascii="Times New Roman" w:hAnsi="Times New Roman" w:cs="Times New Roman"/>
        </w:rPr>
      </w:pPr>
    </w:p>
    <w:p w14:paraId="4F80B14B" w14:textId="77777777" w:rsidR="007B409A" w:rsidRDefault="007B409A" w:rsidP="007B409A">
      <w:pPr>
        <w:jc w:val="both"/>
        <w:rPr>
          <w:rFonts w:ascii="Times New Roman" w:hAnsi="Times New Roman" w:cs="Times New Roman"/>
        </w:rPr>
      </w:pPr>
      <w:r w:rsidRPr="000855F3">
        <w:rPr>
          <w:rFonts w:ascii="Times New Roman" w:hAnsi="Times New Roman" w:cs="Times New Roman"/>
        </w:rPr>
        <w:t>The results of and lessons learned from the most recent exercise, Round Robin 3, have been published [2]. A copy is available from the ITWG website.</w:t>
      </w:r>
      <w:r w:rsidRPr="00940DBB">
        <w:rPr>
          <w:rFonts w:ascii="Times New Roman" w:hAnsi="Times New Roman" w:cs="Times New Roman"/>
        </w:rPr>
        <w:t xml:space="preserve"> </w:t>
      </w:r>
    </w:p>
    <w:p w14:paraId="171E716D" w14:textId="77777777" w:rsidR="007B409A" w:rsidRDefault="007B409A" w:rsidP="007B409A">
      <w:pPr>
        <w:jc w:val="both"/>
        <w:rPr>
          <w:rFonts w:ascii="Times New Roman" w:hAnsi="Times New Roman" w:cs="Times New Roman"/>
        </w:rPr>
      </w:pPr>
    </w:p>
    <w:p w14:paraId="05F21AA6" w14:textId="77777777" w:rsidR="007B409A" w:rsidRPr="000855F3" w:rsidRDefault="00EE4761" w:rsidP="007B409A">
      <w:pPr>
        <w:jc w:val="both"/>
        <w:rPr>
          <w:rFonts w:ascii="Times New Roman" w:hAnsi="Times New Roman" w:cs="Times New Roman"/>
        </w:rPr>
      </w:pPr>
      <w:r>
        <w:rPr>
          <w:rFonts w:ascii="Times New Roman" w:hAnsi="Times New Roman" w:cs="Times New Roman"/>
        </w:rPr>
        <w:t>Currently,</w:t>
      </w:r>
      <w:r w:rsidR="007B409A" w:rsidRPr="000855F3">
        <w:rPr>
          <w:rFonts w:ascii="Times New Roman" w:hAnsi="Times New Roman" w:cs="Times New Roman"/>
        </w:rPr>
        <w:t xml:space="preserve"> a fourth collaborative material exercise</w:t>
      </w:r>
      <w:r>
        <w:rPr>
          <w:rFonts w:ascii="Times New Roman" w:hAnsi="Times New Roman" w:cs="Times New Roman"/>
        </w:rPr>
        <w:t xml:space="preserve"> (CMX-4)</w:t>
      </w:r>
      <w:r w:rsidR="007B409A" w:rsidRPr="000855F3">
        <w:rPr>
          <w:rFonts w:ascii="Times New Roman" w:hAnsi="Times New Roman" w:cs="Times New Roman"/>
        </w:rPr>
        <w:t>, involving low enriched uranium (LEU)</w:t>
      </w:r>
      <w:r>
        <w:rPr>
          <w:rFonts w:ascii="Times New Roman" w:hAnsi="Times New Roman" w:cs="Times New Roman"/>
        </w:rPr>
        <w:t>, is in the final phase of preparation</w:t>
      </w:r>
      <w:r w:rsidR="007B409A" w:rsidRPr="000855F3">
        <w:rPr>
          <w:rFonts w:ascii="Times New Roman" w:hAnsi="Times New Roman" w:cs="Times New Roman"/>
        </w:rPr>
        <w:t xml:space="preserve">. </w:t>
      </w:r>
      <w:r>
        <w:rPr>
          <w:rFonts w:ascii="Times New Roman" w:hAnsi="Times New Roman" w:cs="Times New Roman"/>
        </w:rPr>
        <w:t>Shipment of the samples is scheduled to be conducted in the</w:t>
      </w:r>
      <w:r w:rsidR="007B409A" w:rsidRPr="000855F3">
        <w:rPr>
          <w:rFonts w:ascii="Times New Roman" w:hAnsi="Times New Roman" w:cs="Times New Roman"/>
        </w:rPr>
        <w:t xml:space="preserve"> fourth quarter of calendar year 2014. </w:t>
      </w:r>
      <w:r>
        <w:rPr>
          <w:rFonts w:ascii="Times New Roman" w:hAnsi="Times New Roman" w:cs="Times New Roman"/>
        </w:rPr>
        <w:t>After completion of the material analysis and reporting of the findings to the organizers of CMX-4, a data review meeting will be held for discussing the results</w:t>
      </w:r>
      <w:r w:rsidR="007B409A" w:rsidRPr="000855F3">
        <w:rPr>
          <w:rFonts w:ascii="Times New Roman" w:hAnsi="Times New Roman" w:cs="Times New Roman"/>
        </w:rPr>
        <w:t>.</w:t>
      </w:r>
    </w:p>
    <w:p w14:paraId="33F500B0" w14:textId="77777777" w:rsidR="00813EBE" w:rsidRDefault="00813EBE" w:rsidP="00841CC1">
      <w:pPr>
        <w:jc w:val="both"/>
        <w:rPr>
          <w:rFonts w:ascii="Times New Roman" w:hAnsi="Times New Roman" w:cs="Times New Roman"/>
        </w:rPr>
      </w:pPr>
    </w:p>
    <w:p w14:paraId="5928241F" w14:textId="77777777" w:rsidR="005A2B69" w:rsidRDefault="00813EBE" w:rsidP="00841CC1">
      <w:pPr>
        <w:jc w:val="both"/>
        <w:rPr>
          <w:rFonts w:ascii="Times New Roman" w:hAnsi="Times New Roman" w:cs="Times New Roman"/>
        </w:rPr>
      </w:pPr>
      <w:r>
        <w:rPr>
          <w:rFonts w:ascii="Times New Roman" w:hAnsi="Times New Roman" w:cs="Times New Roman"/>
        </w:rPr>
        <w:t xml:space="preserve">Moreover, the group </w:t>
      </w:r>
      <w:r w:rsidR="000855F3">
        <w:rPr>
          <w:rFonts w:ascii="Times New Roman" w:hAnsi="Times New Roman" w:cs="Times New Roman"/>
        </w:rPr>
        <w:t xml:space="preserve">has </w:t>
      </w:r>
      <w:r>
        <w:rPr>
          <w:rFonts w:ascii="Times New Roman" w:hAnsi="Times New Roman" w:cs="Times New Roman"/>
        </w:rPr>
        <w:t>offered table top exercises in which the procedural and conceptual aspects related to nuclear forensic investigations were elucidated. Such table-top exercises are typically held during annual meetings of the ITWG and offer a scenario</w:t>
      </w:r>
      <w:r w:rsidR="00AD0450">
        <w:rPr>
          <w:rFonts w:ascii="Times New Roman" w:hAnsi="Times New Roman" w:cs="Times New Roman"/>
        </w:rPr>
        <w:t>-</w:t>
      </w:r>
      <w:r>
        <w:rPr>
          <w:rFonts w:ascii="Times New Roman" w:hAnsi="Times New Roman" w:cs="Times New Roman"/>
        </w:rPr>
        <w:t>based learning exercise.</w:t>
      </w:r>
    </w:p>
    <w:p w14:paraId="73FE9E56" w14:textId="77777777" w:rsidR="005A2B69" w:rsidRDefault="005A2B69" w:rsidP="00841CC1">
      <w:pPr>
        <w:jc w:val="both"/>
        <w:rPr>
          <w:rFonts w:ascii="Times New Roman" w:hAnsi="Times New Roman" w:cs="Times New Roman"/>
        </w:rPr>
      </w:pPr>
    </w:p>
    <w:p w14:paraId="0A0D4AB9" w14:textId="77777777" w:rsidR="007B409A" w:rsidRDefault="007B409A" w:rsidP="00841CC1">
      <w:pPr>
        <w:jc w:val="both"/>
        <w:rPr>
          <w:rFonts w:ascii="Times New Roman" w:hAnsi="Times New Roman" w:cs="Times New Roman"/>
        </w:rPr>
      </w:pPr>
    </w:p>
    <w:p w14:paraId="3AF849E3" w14:textId="77777777" w:rsidR="00B267DC" w:rsidRPr="00B267DC" w:rsidRDefault="00B267DC" w:rsidP="00841CC1">
      <w:pPr>
        <w:jc w:val="both"/>
        <w:rPr>
          <w:rFonts w:ascii="Times New Roman" w:hAnsi="Times New Roman" w:cs="Times New Roman"/>
          <w:b/>
          <w:i/>
        </w:rPr>
      </w:pPr>
      <w:r w:rsidRPr="00B267DC">
        <w:rPr>
          <w:rFonts w:ascii="Times New Roman" w:hAnsi="Times New Roman" w:cs="Times New Roman"/>
          <w:b/>
          <w:i/>
        </w:rPr>
        <w:t>2.4 Guidelines</w:t>
      </w:r>
    </w:p>
    <w:p w14:paraId="62376985" w14:textId="77777777" w:rsidR="00B267DC" w:rsidRDefault="00B267DC" w:rsidP="00841CC1">
      <w:pPr>
        <w:jc w:val="both"/>
        <w:rPr>
          <w:rFonts w:ascii="Times New Roman" w:hAnsi="Times New Roman" w:cs="Times New Roman"/>
        </w:rPr>
      </w:pPr>
    </w:p>
    <w:p w14:paraId="02D80E47" w14:textId="77777777" w:rsidR="004A35EA" w:rsidRDefault="004419F7" w:rsidP="00841CC1">
      <w:pPr>
        <w:jc w:val="both"/>
        <w:rPr>
          <w:rFonts w:ascii="Times New Roman" w:hAnsi="Times New Roman" w:cs="Times New Roman"/>
        </w:rPr>
      </w:pPr>
      <w:r>
        <w:rPr>
          <w:rFonts w:ascii="Times New Roman" w:hAnsi="Times New Roman" w:cs="Times New Roman"/>
        </w:rPr>
        <w:t xml:space="preserve">Publication of peer-reviewed reports, journal articles and related materials is an important aspect to fostering the growth of nuclear forensics as a forensic science discipline. Such publications aid in meeting the objective of placing nuclear forensics on a sounder and more readily defensible scientific basis. </w:t>
      </w:r>
      <w:r w:rsidR="004A35EA">
        <w:rPr>
          <w:rFonts w:ascii="Times New Roman" w:hAnsi="Times New Roman" w:cs="Times New Roman"/>
        </w:rPr>
        <w:t xml:space="preserve">The ITWG Guidelines Task Group </w:t>
      </w:r>
      <w:r>
        <w:rPr>
          <w:rFonts w:ascii="Times New Roman" w:hAnsi="Times New Roman" w:cs="Times New Roman"/>
        </w:rPr>
        <w:t xml:space="preserve">is engaged in work supportive of this objective. In particular, the task group </w:t>
      </w:r>
      <w:r w:rsidR="004A35EA">
        <w:rPr>
          <w:rFonts w:ascii="Times New Roman" w:hAnsi="Times New Roman" w:cs="Times New Roman"/>
        </w:rPr>
        <w:t>oversees the development and adoption of consensus-driven best practices guideline documents. These documents are intended to be general rather than prescriptive.</w:t>
      </w:r>
      <w:r>
        <w:rPr>
          <w:rFonts w:ascii="Times New Roman" w:hAnsi="Times New Roman" w:cs="Times New Roman"/>
        </w:rPr>
        <w:t xml:space="preserve"> That is, they describe in broad terms what is to be accomplished and how it migh</w:t>
      </w:r>
      <w:r w:rsidR="00940DBB">
        <w:rPr>
          <w:rFonts w:ascii="Times New Roman" w:hAnsi="Times New Roman" w:cs="Times New Roman"/>
        </w:rPr>
        <w:t xml:space="preserve">t be accomplished, but they </w:t>
      </w:r>
      <w:r>
        <w:rPr>
          <w:rFonts w:ascii="Times New Roman" w:hAnsi="Times New Roman" w:cs="Times New Roman"/>
        </w:rPr>
        <w:t xml:space="preserve">lack the specificity one might associate with a standard operating procedure. </w:t>
      </w:r>
    </w:p>
    <w:p w14:paraId="35A8700B" w14:textId="77777777" w:rsidR="004419F7" w:rsidRPr="004419F7" w:rsidRDefault="004419F7" w:rsidP="0092790C">
      <w:pPr>
        <w:jc w:val="both"/>
        <w:rPr>
          <w:rFonts w:ascii="Times New Roman" w:hAnsi="Times New Roman" w:cs="Times New Roman"/>
        </w:rPr>
      </w:pPr>
      <w:r>
        <w:rPr>
          <w:rFonts w:ascii="Times New Roman" w:hAnsi="Times New Roman" w:cs="Times New Roman"/>
        </w:rPr>
        <w:lastRenderedPageBreak/>
        <w:t>To date, the task group has overseen the publication and adoption of [1,3]. It is also overseeing the preparing of guidelines on</w:t>
      </w:r>
      <w:r w:rsidR="0092790C">
        <w:rPr>
          <w:rFonts w:ascii="Times New Roman" w:hAnsi="Times New Roman" w:cs="Times New Roman"/>
        </w:rPr>
        <w:t xml:space="preserve"> various topics, including a</w:t>
      </w:r>
      <w:r w:rsidRPr="004419F7">
        <w:rPr>
          <w:rFonts w:ascii="Times New Roman" w:hAnsi="Times New Roman" w:cs="Times New Roman"/>
        </w:rPr>
        <w:t xml:space="preserve"> graded framework for comparing and evaluating results from nuclear forensic-related analyses.</w:t>
      </w:r>
      <w:r>
        <w:rPr>
          <w:rFonts w:ascii="Times New Roman" w:hAnsi="Times New Roman" w:cs="Times New Roman"/>
        </w:rPr>
        <w:t xml:space="preserve"> This framework was tested during Round Robin 3 and is described further in [2].</w:t>
      </w:r>
    </w:p>
    <w:p w14:paraId="19DF1CF5" w14:textId="77777777" w:rsidR="004A35EA" w:rsidRDefault="004A35EA" w:rsidP="00841CC1">
      <w:pPr>
        <w:jc w:val="both"/>
        <w:rPr>
          <w:rFonts w:ascii="Times New Roman" w:hAnsi="Times New Roman" w:cs="Times New Roman"/>
        </w:rPr>
      </w:pPr>
    </w:p>
    <w:p w14:paraId="1F66AE02" w14:textId="77777777" w:rsidR="009E25F8" w:rsidRDefault="009E25F8" w:rsidP="00841CC1">
      <w:pPr>
        <w:jc w:val="both"/>
        <w:rPr>
          <w:rFonts w:ascii="Times New Roman" w:hAnsi="Times New Roman" w:cs="Times New Roman"/>
        </w:rPr>
      </w:pPr>
      <w:r>
        <w:rPr>
          <w:rFonts w:ascii="Times New Roman" w:hAnsi="Times New Roman" w:cs="Times New Roman"/>
        </w:rPr>
        <w:t>Additional guidelines are expected to be developed, adopted and published, reflecting the level of interest in the work of the ITWG.</w:t>
      </w:r>
    </w:p>
    <w:p w14:paraId="412E55BF" w14:textId="77777777" w:rsidR="007B409A" w:rsidRDefault="007B409A" w:rsidP="00841CC1">
      <w:pPr>
        <w:jc w:val="both"/>
        <w:rPr>
          <w:rFonts w:ascii="Times New Roman" w:hAnsi="Times New Roman" w:cs="Times New Roman"/>
        </w:rPr>
      </w:pPr>
    </w:p>
    <w:p w14:paraId="299C641E" w14:textId="77777777" w:rsidR="00B267DC" w:rsidRPr="00B267DC" w:rsidRDefault="00B267DC" w:rsidP="00841CC1">
      <w:pPr>
        <w:jc w:val="both"/>
        <w:rPr>
          <w:rFonts w:ascii="Times New Roman" w:hAnsi="Times New Roman" w:cs="Times New Roman"/>
          <w:b/>
          <w:i/>
        </w:rPr>
      </w:pPr>
      <w:r w:rsidRPr="00B267DC">
        <w:rPr>
          <w:rFonts w:ascii="Times New Roman" w:hAnsi="Times New Roman" w:cs="Times New Roman"/>
          <w:b/>
          <w:i/>
        </w:rPr>
        <w:t>2.5 National Nuclear Forensics Libraries</w:t>
      </w:r>
    </w:p>
    <w:p w14:paraId="6FB9A3AB" w14:textId="77777777" w:rsidR="00B267DC" w:rsidRDefault="00B267DC" w:rsidP="00841CC1">
      <w:pPr>
        <w:jc w:val="both"/>
        <w:rPr>
          <w:rFonts w:ascii="Times New Roman" w:hAnsi="Times New Roman" w:cs="Times New Roman"/>
        </w:rPr>
      </w:pPr>
    </w:p>
    <w:p w14:paraId="3FC8CFFB" w14:textId="77777777" w:rsidR="001F3E2D" w:rsidRDefault="004A35EA" w:rsidP="001F3E2D">
      <w:pPr>
        <w:jc w:val="both"/>
        <w:rPr>
          <w:rFonts w:ascii="Times New Roman" w:hAnsi="Times New Roman" w:cs="Times New Roman"/>
        </w:rPr>
      </w:pPr>
      <w:r>
        <w:rPr>
          <w:rFonts w:ascii="Times New Roman" w:hAnsi="Times New Roman" w:cs="Times New Roman"/>
        </w:rPr>
        <w:t xml:space="preserve">The results of the ITWG material exercises highlighted the need for databases and historical materials that might be used to </w:t>
      </w:r>
      <w:r w:rsidR="001F3E2D">
        <w:rPr>
          <w:rFonts w:ascii="Times New Roman" w:hAnsi="Times New Roman" w:cs="Times New Roman"/>
        </w:rPr>
        <w:t xml:space="preserve">allow </w:t>
      </w:r>
      <w:r>
        <w:rPr>
          <w:rFonts w:ascii="Times New Roman" w:hAnsi="Times New Roman" w:cs="Times New Roman"/>
        </w:rPr>
        <w:t xml:space="preserve">comparisons </w:t>
      </w:r>
      <w:r w:rsidR="001F3E2D">
        <w:rPr>
          <w:rFonts w:ascii="Times New Roman" w:hAnsi="Times New Roman" w:cs="Times New Roman"/>
        </w:rPr>
        <w:t xml:space="preserve">to be made </w:t>
      </w:r>
      <w:r>
        <w:rPr>
          <w:rFonts w:ascii="Times New Roman" w:hAnsi="Times New Roman" w:cs="Times New Roman"/>
        </w:rPr>
        <w:t>between materials and processes of known provenance and evidence and other samples associated with a nuclear security event.</w:t>
      </w:r>
      <w:r w:rsidR="001F3E2D">
        <w:rPr>
          <w:rFonts w:ascii="Times New Roman" w:hAnsi="Times New Roman" w:cs="Times New Roman"/>
        </w:rPr>
        <w:t xml:space="preserve"> These results and other discussions prompted the ITWG to establish a task group devoted to the topic of national nuclear forensics libraries, which are viewed as a tool that might prove useful in addressing the need for databases and historical materials. Consequently, the ITWG National Nuclear Forensics Libraries Task Group was established in 2009.</w:t>
      </w:r>
    </w:p>
    <w:p w14:paraId="15DFA993" w14:textId="77777777" w:rsidR="001F3E2D" w:rsidRDefault="001F3E2D" w:rsidP="001F3E2D">
      <w:pPr>
        <w:jc w:val="both"/>
        <w:rPr>
          <w:rFonts w:ascii="Times New Roman" w:hAnsi="Times New Roman" w:cs="Times New Roman"/>
        </w:rPr>
      </w:pPr>
    </w:p>
    <w:p w14:paraId="40793AA1" w14:textId="77777777" w:rsidR="000D2F57" w:rsidRDefault="00F77D0A" w:rsidP="001F3E2D">
      <w:pPr>
        <w:jc w:val="both"/>
        <w:rPr>
          <w:rFonts w:ascii="Times New Roman" w:hAnsi="Times New Roman" w:cs="Times New Roman"/>
        </w:rPr>
      </w:pPr>
      <w:r w:rsidRPr="001F3E2D">
        <w:rPr>
          <w:rFonts w:ascii="Times New Roman" w:hAnsi="Times New Roman" w:cs="Times New Roman"/>
        </w:rPr>
        <w:t>A national nuclear forensic library is a collection of information, relevant to nuclear forensic investigations, about nuclear or other radioactive material that either resides in, or was manufactured by a particular country.  A national nuclear forensic library may hold such information in electronic form (a single database or several databases) or in the form of a physical sample archive, or any combination thereof</w:t>
      </w:r>
      <w:r w:rsidR="000D2F57">
        <w:rPr>
          <w:rFonts w:ascii="Times New Roman" w:hAnsi="Times New Roman" w:cs="Times New Roman"/>
        </w:rPr>
        <w:t xml:space="preserve"> [3]</w:t>
      </w:r>
      <w:r w:rsidR="00B576F1">
        <w:rPr>
          <w:rFonts w:ascii="Times New Roman" w:hAnsi="Times New Roman" w:cs="Times New Roman"/>
        </w:rPr>
        <w:t xml:space="preserve">. </w:t>
      </w:r>
    </w:p>
    <w:p w14:paraId="05CAFE3F" w14:textId="77777777" w:rsidR="000D2F57" w:rsidRDefault="000D2F57" w:rsidP="001F3E2D">
      <w:pPr>
        <w:jc w:val="both"/>
        <w:rPr>
          <w:rFonts w:ascii="Times New Roman" w:hAnsi="Times New Roman" w:cs="Times New Roman"/>
        </w:rPr>
      </w:pPr>
    </w:p>
    <w:p w14:paraId="57885C80" w14:textId="77777777" w:rsidR="00F77D0A" w:rsidRPr="001F3E2D" w:rsidRDefault="00F77D0A" w:rsidP="001F3E2D">
      <w:pPr>
        <w:jc w:val="both"/>
        <w:rPr>
          <w:rFonts w:ascii="Times New Roman" w:hAnsi="Times New Roman" w:cs="Times New Roman"/>
        </w:rPr>
      </w:pPr>
      <w:r w:rsidRPr="001F3E2D">
        <w:rPr>
          <w:rFonts w:ascii="Times New Roman" w:hAnsi="Times New Roman" w:cs="Times New Roman"/>
        </w:rPr>
        <w:t>A national library contains information on certain characteristics that help distinguish one nuclear or other rad</w:t>
      </w:r>
      <w:r w:rsidR="001F3E2D">
        <w:rPr>
          <w:rFonts w:ascii="Times New Roman" w:hAnsi="Times New Roman" w:cs="Times New Roman"/>
        </w:rPr>
        <w:t>ioactive material from another</w:t>
      </w:r>
      <w:r w:rsidRPr="001F3E2D">
        <w:rPr>
          <w:rFonts w:ascii="Times New Roman" w:hAnsi="Times New Roman" w:cs="Times New Roman"/>
        </w:rPr>
        <w:t xml:space="preserve">. </w:t>
      </w:r>
      <w:r w:rsidR="001F3E2D">
        <w:rPr>
          <w:rFonts w:ascii="Times New Roman" w:hAnsi="Times New Roman" w:cs="Times New Roman"/>
        </w:rPr>
        <w:t>In the view of the task group, such national-level l</w:t>
      </w:r>
      <w:r w:rsidRPr="001F3E2D">
        <w:rPr>
          <w:rFonts w:ascii="Times New Roman" w:hAnsi="Times New Roman" w:cs="Times New Roman"/>
        </w:rPr>
        <w:t>ibraries should be organized in a manner that allows a government to easily search its data using these characteristics and information to answer queries that stem from the illicit use of nuclear and other radioactive materials or other events associated with nuclear smuggling</w:t>
      </w:r>
      <w:r w:rsidR="001F3E2D">
        <w:rPr>
          <w:rFonts w:ascii="Times New Roman" w:hAnsi="Times New Roman" w:cs="Times New Roman"/>
        </w:rPr>
        <w:t xml:space="preserve"> or some other nuclear security event</w:t>
      </w:r>
      <w:r w:rsidRPr="001F3E2D">
        <w:rPr>
          <w:rFonts w:ascii="Times New Roman" w:hAnsi="Times New Roman" w:cs="Times New Roman"/>
        </w:rPr>
        <w:t>. For the purposes of nuclear forensics, it is envisaged that materials from throughout the nuclear fuel cycle will be considered for potential inclusion in the library contingent on the requirem</w:t>
      </w:r>
      <w:r w:rsidR="001F3E2D">
        <w:rPr>
          <w:rFonts w:ascii="Times New Roman" w:hAnsi="Times New Roman" w:cs="Times New Roman"/>
        </w:rPr>
        <w:t>ents of individual s</w:t>
      </w:r>
      <w:r w:rsidRPr="001F3E2D">
        <w:rPr>
          <w:rFonts w:ascii="Times New Roman" w:hAnsi="Times New Roman" w:cs="Times New Roman"/>
        </w:rPr>
        <w:t>tates. Such a library also identifies the facility where the nuclear or other radioactive material is stored and, as information is available, would contain information on how the material was made and a history of its use</w:t>
      </w:r>
      <w:r w:rsidR="001F3E2D">
        <w:rPr>
          <w:rFonts w:ascii="Times New Roman" w:hAnsi="Times New Roman" w:cs="Times New Roman"/>
        </w:rPr>
        <w:t xml:space="preserve"> [3]</w:t>
      </w:r>
      <w:r w:rsidRPr="001F3E2D">
        <w:rPr>
          <w:rFonts w:ascii="Times New Roman" w:hAnsi="Times New Roman" w:cs="Times New Roman"/>
        </w:rPr>
        <w:t>.</w:t>
      </w:r>
    </w:p>
    <w:p w14:paraId="25517B62" w14:textId="77777777" w:rsidR="00F77D0A" w:rsidRPr="001F3E2D" w:rsidRDefault="00F77D0A" w:rsidP="001F3E2D">
      <w:pPr>
        <w:jc w:val="both"/>
        <w:rPr>
          <w:rFonts w:ascii="Times New Roman" w:hAnsi="Times New Roman" w:cs="Times New Roman"/>
        </w:rPr>
      </w:pPr>
    </w:p>
    <w:p w14:paraId="41F7331F" w14:textId="77777777" w:rsidR="00F77D0A" w:rsidRDefault="00B576F1" w:rsidP="00841CC1">
      <w:pPr>
        <w:jc w:val="both"/>
        <w:rPr>
          <w:rFonts w:ascii="Times New Roman" w:hAnsi="Times New Roman" w:cs="Times New Roman"/>
        </w:rPr>
      </w:pPr>
      <w:r>
        <w:rPr>
          <w:rFonts w:ascii="Times New Roman" w:hAnsi="Times New Roman" w:cs="Times New Roman"/>
        </w:rPr>
        <w:t>At the ITWG Annual Meeting in 2012, the task group develop</w:t>
      </w:r>
      <w:r w:rsidR="00EE4761">
        <w:rPr>
          <w:rFonts w:ascii="Times New Roman" w:hAnsi="Times New Roman" w:cs="Times New Roman"/>
        </w:rPr>
        <w:t>ed</w:t>
      </w:r>
      <w:r>
        <w:rPr>
          <w:rFonts w:ascii="Times New Roman" w:hAnsi="Times New Roman" w:cs="Times New Roman"/>
        </w:rPr>
        <w:t xml:space="preserve"> and </w:t>
      </w:r>
      <w:r w:rsidR="00EE4761">
        <w:rPr>
          <w:rFonts w:ascii="Times New Roman" w:hAnsi="Times New Roman" w:cs="Times New Roman"/>
        </w:rPr>
        <w:t xml:space="preserve">successfully </w:t>
      </w:r>
      <w:r>
        <w:rPr>
          <w:rFonts w:ascii="Times New Roman" w:hAnsi="Times New Roman" w:cs="Times New Roman"/>
        </w:rPr>
        <w:t>conduct</w:t>
      </w:r>
      <w:r w:rsidR="00EE4761">
        <w:rPr>
          <w:rFonts w:ascii="Times New Roman" w:hAnsi="Times New Roman" w:cs="Times New Roman"/>
        </w:rPr>
        <w:t>ed</w:t>
      </w:r>
      <w:r>
        <w:rPr>
          <w:rFonts w:ascii="Times New Roman" w:hAnsi="Times New Roman" w:cs="Times New Roman"/>
        </w:rPr>
        <w:t xml:space="preserve"> a web-based, virtual tabletop exercise” (TTX) on national nuclear forensics libraries. This virtual TTX has been given the name “Galaxy Serpent” and has two over-arching objectives. First, participants are to compile a national nuclear forensic library using spent fuel characteristics provided by the TTX coordinators. Second, </w:t>
      </w:r>
      <w:r w:rsidR="00996E4D">
        <w:rPr>
          <w:rFonts w:ascii="Times New Roman" w:hAnsi="Times New Roman" w:cs="Times New Roman"/>
        </w:rPr>
        <w:t>participants are to use this library to determine if a nationalized (that is, hypothetical) seizure of spent fuel is consistent with or is inconsistent with the fuels represented in the exercise library.</w:t>
      </w:r>
    </w:p>
    <w:p w14:paraId="437101E8" w14:textId="77777777" w:rsidR="00996E4D" w:rsidRDefault="00996E4D" w:rsidP="00841CC1">
      <w:pPr>
        <w:jc w:val="both"/>
        <w:rPr>
          <w:rFonts w:ascii="Times New Roman" w:hAnsi="Times New Roman" w:cs="Times New Roman"/>
        </w:rPr>
      </w:pPr>
    </w:p>
    <w:p w14:paraId="6162EC5C" w14:textId="77777777" w:rsidR="00996E4D" w:rsidRDefault="00996E4D" w:rsidP="00996E4D">
      <w:pPr>
        <w:jc w:val="both"/>
        <w:rPr>
          <w:rFonts w:ascii="Times New Roman" w:hAnsi="Times New Roman" w:cs="Times New Roman"/>
        </w:rPr>
      </w:pPr>
      <w:r>
        <w:rPr>
          <w:rFonts w:ascii="Times New Roman" w:hAnsi="Times New Roman" w:cs="Times New Roman"/>
        </w:rPr>
        <w:t xml:space="preserve">Interest in “Galaxy Serpent” has been keen. The first iteration was launched in January 2013, with participating teams from four nations, with results due during the second quarter of the calendar year. A second iteration was launched shortly thereafter, with participating teams from a different group of four nations. </w:t>
      </w:r>
      <w:r w:rsidR="00EE4761">
        <w:rPr>
          <w:rFonts w:ascii="Times New Roman" w:hAnsi="Times New Roman" w:cs="Times New Roman"/>
        </w:rPr>
        <w:t>A</w:t>
      </w:r>
      <w:r>
        <w:rPr>
          <w:rFonts w:ascii="Times New Roman" w:hAnsi="Times New Roman" w:cs="Times New Roman"/>
        </w:rPr>
        <w:t xml:space="preserve"> third </w:t>
      </w:r>
      <w:r w:rsidR="00EE4761">
        <w:rPr>
          <w:rFonts w:ascii="Times New Roman" w:hAnsi="Times New Roman" w:cs="Times New Roman"/>
        </w:rPr>
        <w:t>and fourth iteration were completed later in 2013 and in early 2014, respectively. Most of the participating labs were prepared to describe their methodological approach</w:t>
      </w:r>
      <w:r>
        <w:rPr>
          <w:rFonts w:ascii="Times New Roman" w:hAnsi="Times New Roman" w:cs="Times New Roman"/>
        </w:rPr>
        <w:t xml:space="preserve"> </w:t>
      </w:r>
      <w:r w:rsidR="00EE4761">
        <w:rPr>
          <w:rFonts w:ascii="Times New Roman" w:hAnsi="Times New Roman" w:cs="Times New Roman"/>
        </w:rPr>
        <w:t xml:space="preserve">and the findings in a scientific article. </w:t>
      </w:r>
      <w:r w:rsidR="00A42C8E">
        <w:rPr>
          <w:rFonts w:ascii="Times New Roman" w:hAnsi="Times New Roman" w:cs="Times New Roman"/>
        </w:rPr>
        <w:t>The compilation of these papers is being published as a special issue of the "Journal of Nuclear Materials Management" and should become available in the course of summer 2014 on the INMM web-site.</w:t>
      </w:r>
    </w:p>
    <w:p w14:paraId="2B125F6A" w14:textId="77777777" w:rsidR="007B409A" w:rsidRDefault="007B409A" w:rsidP="00841CC1">
      <w:pPr>
        <w:jc w:val="both"/>
        <w:rPr>
          <w:rFonts w:ascii="Times New Roman" w:hAnsi="Times New Roman" w:cs="Times New Roman"/>
        </w:rPr>
      </w:pPr>
    </w:p>
    <w:p w14:paraId="7AE31EC0" w14:textId="77777777" w:rsidR="00B267DC" w:rsidRPr="007E651F" w:rsidRDefault="007E651F" w:rsidP="00841CC1">
      <w:pPr>
        <w:jc w:val="both"/>
        <w:rPr>
          <w:rFonts w:ascii="Times New Roman" w:hAnsi="Times New Roman" w:cs="Times New Roman"/>
          <w:b/>
        </w:rPr>
      </w:pPr>
      <w:r w:rsidRPr="007E651F">
        <w:rPr>
          <w:rFonts w:ascii="Times New Roman" w:hAnsi="Times New Roman" w:cs="Times New Roman"/>
          <w:b/>
        </w:rPr>
        <w:t>3. ITWG Annual Meetings</w:t>
      </w:r>
    </w:p>
    <w:p w14:paraId="761FA342" w14:textId="77777777" w:rsidR="007E651F" w:rsidRDefault="007E651F" w:rsidP="00841CC1">
      <w:pPr>
        <w:jc w:val="both"/>
        <w:rPr>
          <w:rFonts w:ascii="Times New Roman" w:hAnsi="Times New Roman" w:cs="Times New Roman"/>
        </w:rPr>
      </w:pPr>
    </w:p>
    <w:p w14:paraId="36C71064" w14:textId="77777777" w:rsidR="007B409A" w:rsidRDefault="00386AC4" w:rsidP="00841CC1">
      <w:pPr>
        <w:jc w:val="both"/>
        <w:rPr>
          <w:rFonts w:ascii="Times New Roman" w:hAnsi="Times New Roman" w:cs="Times New Roman"/>
        </w:rPr>
      </w:pPr>
      <w:r>
        <w:rPr>
          <w:rFonts w:ascii="Times New Roman" w:hAnsi="Times New Roman" w:cs="Times New Roman"/>
        </w:rPr>
        <w:t xml:space="preserve">From its beginnings in 1995, the participants in ITWG recognized the value of getting together annually on an informal </w:t>
      </w:r>
      <w:r w:rsidR="007B409A">
        <w:rPr>
          <w:rFonts w:ascii="Times New Roman" w:hAnsi="Times New Roman" w:cs="Times New Roman"/>
        </w:rPr>
        <w:t xml:space="preserve">and annual </w:t>
      </w:r>
      <w:r>
        <w:rPr>
          <w:rFonts w:ascii="Times New Roman" w:hAnsi="Times New Roman" w:cs="Times New Roman"/>
        </w:rPr>
        <w:t xml:space="preserve">basis to share best practices, report results from relevant case </w:t>
      </w:r>
      <w:r>
        <w:rPr>
          <w:rFonts w:ascii="Times New Roman" w:hAnsi="Times New Roman" w:cs="Times New Roman"/>
        </w:rPr>
        <w:lastRenderedPageBreak/>
        <w:t xml:space="preserve">studies in the field of nuclear forensics, and consider the needs for the nuclear forensics community. </w:t>
      </w:r>
      <w:r w:rsidR="007B409A">
        <w:rPr>
          <w:rFonts w:ascii="Times New Roman" w:hAnsi="Times New Roman" w:cs="Times New Roman"/>
        </w:rPr>
        <w:t>The hosts and locations for the meetings held to date are given in Table II.</w:t>
      </w:r>
    </w:p>
    <w:tbl>
      <w:tblPr>
        <w:tblStyle w:val="TableGrid"/>
        <w:tblW w:w="9324" w:type="dxa"/>
        <w:tblLook w:val="04A0" w:firstRow="1" w:lastRow="0" w:firstColumn="1" w:lastColumn="0" w:noHBand="0" w:noVBand="1"/>
      </w:tblPr>
      <w:tblGrid>
        <w:gridCol w:w="1458"/>
        <w:gridCol w:w="4770"/>
        <w:gridCol w:w="3096"/>
      </w:tblGrid>
      <w:tr w:rsidR="0092790C" w14:paraId="7CF3299A" w14:textId="77777777" w:rsidTr="006453EE">
        <w:tc>
          <w:tcPr>
            <w:tcW w:w="9324" w:type="dxa"/>
            <w:gridSpan w:val="3"/>
            <w:tcBorders>
              <w:left w:val="nil"/>
              <w:right w:val="nil"/>
            </w:tcBorders>
          </w:tcPr>
          <w:p w14:paraId="0DCC9816" w14:textId="77777777" w:rsidR="0092790C" w:rsidRDefault="0092790C" w:rsidP="006D72B4">
            <w:pPr>
              <w:spacing w:before="120" w:after="120"/>
              <w:rPr>
                <w:rFonts w:ascii="Times New Roman" w:hAnsi="Times New Roman" w:cs="Times New Roman"/>
              </w:rPr>
            </w:pPr>
            <w:r>
              <w:rPr>
                <w:rFonts w:ascii="Times New Roman" w:hAnsi="Times New Roman" w:cs="Times New Roman"/>
              </w:rPr>
              <w:t>Table II. Meetings of the ITWG</w:t>
            </w:r>
          </w:p>
        </w:tc>
      </w:tr>
      <w:tr w:rsidR="0092790C" w14:paraId="0D40A64C" w14:textId="77777777" w:rsidTr="006453EE">
        <w:tc>
          <w:tcPr>
            <w:tcW w:w="1458" w:type="dxa"/>
            <w:tcBorders>
              <w:left w:val="nil"/>
              <w:bottom w:val="single" w:sz="4" w:space="0" w:color="auto"/>
              <w:right w:val="nil"/>
            </w:tcBorders>
          </w:tcPr>
          <w:p w14:paraId="17900032"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Year</w:t>
            </w:r>
          </w:p>
        </w:tc>
        <w:tc>
          <w:tcPr>
            <w:tcW w:w="4770" w:type="dxa"/>
            <w:tcBorders>
              <w:left w:val="nil"/>
              <w:bottom w:val="single" w:sz="4" w:space="0" w:color="auto"/>
              <w:right w:val="nil"/>
            </w:tcBorders>
          </w:tcPr>
          <w:p w14:paraId="0A642C66"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Host Organization</w:t>
            </w:r>
          </w:p>
        </w:tc>
        <w:tc>
          <w:tcPr>
            <w:tcW w:w="3096" w:type="dxa"/>
            <w:tcBorders>
              <w:left w:val="nil"/>
              <w:bottom w:val="single" w:sz="4" w:space="0" w:color="auto"/>
              <w:right w:val="nil"/>
            </w:tcBorders>
          </w:tcPr>
          <w:p w14:paraId="4007FB4E" w14:textId="77777777" w:rsidR="0092790C" w:rsidRDefault="0092790C" w:rsidP="006D72B4">
            <w:pPr>
              <w:spacing w:before="120" w:after="120"/>
              <w:jc w:val="center"/>
              <w:rPr>
                <w:rFonts w:ascii="Times New Roman" w:hAnsi="Times New Roman" w:cs="Times New Roman"/>
              </w:rPr>
            </w:pPr>
            <w:r>
              <w:rPr>
                <w:rFonts w:ascii="Times New Roman" w:hAnsi="Times New Roman" w:cs="Times New Roman"/>
              </w:rPr>
              <w:t>Location</w:t>
            </w:r>
          </w:p>
        </w:tc>
      </w:tr>
      <w:tr w:rsidR="0092790C" w14:paraId="6A789673" w14:textId="77777777" w:rsidTr="006453EE">
        <w:tc>
          <w:tcPr>
            <w:tcW w:w="1458" w:type="dxa"/>
            <w:tcBorders>
              <w:left w:val="nil"/>
              <w:bottom w:val="nil"/>
              <w:right w:val="nil"/>
            </w:tcBorders>
          </w:tcPr>
          <w:p w14:paraId="0438659D" w14:textId="77777777" w:rsidR="0092790C" w:rsidRDefault="0092790C" w:rsidP="006D72B4">
            <w:pPr>
              <w:spacing w:before="120"/>
              <w:jc w:val="center"/>
              <w:rPr>
                <w:rFonts w:ascii="Times New Roman" w:hAnsi="Times New Roman" w:cs="Times New Roman"/>
              </w:rPr>
            </w:pPr>
            <w:r>
              <w:rPr>
                <w:rFonts w:ascii="Times New Roman" w:hAnsi="Times New Roman" w:cs="Times New Roman"/>
              </w:rPr>
              <w:t>1995</w:t>
            </w:r>
          </w:p>
        </w:tc>
        <w:tc>
          <w:tcPr>
            <w:tcW w:w="4770" w:type="dxa"/>
            <w:tcBorders>
              <w:left w:val="nil"/>
              <w:bottom w:val="nil"/>
              <w:right w:val="nil"/>
            </w:tcBorders>
          </w:tcPr>
          <w:p w14:paraId="029EEDC3" w14:textId="77777777" w:rsidR="0092790C" w:rsidRDefault="0092790C" w:rsidP="006D72B4">
            <w:pPr>
              <w:spacing w:before="120"/>
              <w:rPr>
                <w:rFonts w:ascii="Times New Roman" w:hAnsi="Times New Roman" w:cs="Times New Roman"/>
              </w:rPr>
            </w:pPr>
            <w:r>
              <w:rPr>
                <w:rFonts w:ascii="Times New Roman" w:hAnsi="Times New Roman" w:cs="Times New Roman"/>
              </w:rPr>
              <w:t>LLNL</w:t>
            </w:r>
          </w:p>
        </w:tc>
        <w:tc>
          <w:tcPr>
            <w:tcW w:w="3096" w:type="dxa"/>
            <w:tcBorders>
              <w:left w:val="nil"/>
              <w:bottom w:val="nil"/>
              <w:right w:val="nil"/>
            </w:tcBorders>
          </w:tcPr>
          <w:p w14:paraId="26140E62" w14:textId="77777777" w:rsidR="0092790C" w:rsidRDefault="0092790C" w:rsidP="006D72B4">
            <w:pPr>
              <w:spacing w:before="120"/>
              <w:rPr>
                <w:rFonts w:ascii="Times New Roman" w:hAnsi="Times New Roman" w:cs="Times New Roman"/>
              </w:rPr>
            </w:pPr>
            <w:r>
              <w:rPr>
                <w:rFonts w:ascii="Times New Roman" w:hAnsi="Times New Roman" w:cs="Times New Roman"/>
              </w:rPr>
              <w:t>Livermore, California, USA</w:t>
            </w:r>
          </w:p>
        </w:tc>
      </w:tr>
      <w:tr w:rsidR="0092790C" w14:paraId="2CB42AFF" w14:textId="77777777" w:rsidTr="006453EE">
        <w:tc>
          <w:tcPr>
            <w:tcW w:w="1458" w:type="dxa"/>
            <w:tcBorders>
              <w:top w:val="nil"/>
              <w:left w:val="nil"/>
              <w:bottom w:val="nil"/>
              <w:right w:val="nil"/>
            </w:tcBorders>
          </w:tcPr>
          <w:p w14:paraId="2F30AA3F" w14:textId="77777777" w:rsidR="0092790C" w:rsidRDefault="0092790C" w:rsidP="006D72B4">
            <w:pPr>
              <w:jc w:val="center"/>
              <w:rPr>
                <w:rFonts w:ascii="Times New Roman" w:hAnsi="Times New Roman" w:cs="Times New Roman"/>
              </w:rPr>
            </w:pPr>
            <w:r>
              <w:rPr>
                <w:rFonts w:ascii="Times New Roman" w:hAnsi="Times New Roman" w:cs="Times New Roman"/>
              </w:rPr>
              <w:t>1996</w:t>
            </w:r>
          </w:p>
        </w:tc>
        <w:tc>
          <w:tcPr>
            <w:tcW w:w="4770" w:type="dxa"/>
            <w:tcBorders>
              <w:top w:val="nil"/>
              <w:left w:val="nil"/>
              <w:bottom w:val="nil"/>
              <w:right w:val="nil"/>
            </w:tcBorders>
          </w:tcPr>
          <w:p w14:paraId="78FFFF03" w14:textId="77777777" w:rsidR="0092790C" w:rsidRDefault="0092790C" w:rsidP="006D72B4">
            <w:pPr>
              <w:rPr>
                <w:rFonts w:ascii="Times New Roman" w:hAnsi="Times New Roman" w:cs="Times New Roman"/>
              </w:rPr>
            </w:pPr>
            <w:r>
              <w:rPr>
                <w:rFonts w:ascii="Times New Roman" w:hAnsi="Times New Roman" w:cs="Times New Roman"/>
              </w:rPr>
              <w:t>Joint Research Centre – Institute for Transuranium Elements (ITU)</w:t>
            </w:r>
          </w:p>
        </w:tc>
        <w:tc>
          <w:tcPr>
            <w:tcW w:w="3096" w:type="dxa"/>
            <w:tcBorders>
              <w:top w:val="nil"/>
              <w:left w:val="nil"/>
              <w:bottom w:val="nil"/>
              <w:right w:val="nil"/>
            </w:tcBorders>
          </w:tcPr>
          <w:p w14:paraId="0FE704E9" w14:textId="77777777" w:rsidR="0092790C" w:rsidRDefault="0092790C" w:rsidP="006D72B4">
            <w:pPr>
              <w:rPr>
                <w:rFonts w:ascii="Times New Roman" w:hAnsi="Times New Roman" w:cs="Times New Roman"/>
              </w:rPr>
            </w:pPr>
            <w:r>
              <w:rPr>
                <w:rFonts w:ascii="Times New Roman" w:hAnsi="Times New Roman" w:cs="Times New Roman"/>
              </w:rPr>
              <w:t>Karlsruhe, Germany</w:t>
            </w:r>
          </w:p>
        </w:tc>
      </w:tr>
      <w:tr w:rsidR="0092790C" w14:paraId="6698E183" w14:textId="77777777" w:rsidTr="006453EE">
        <w:tc>
          <w:tcPr>
            <w:tcW w:w="1458" w:type="dxa"/>
            <w:tcBorders>
              <w:top w:val="nil"/>
              <w:left w:val="nil"/>
              <w:bottom w:val="nil"/>
              <w:right w:val="nil"/>
            </w:tcBorders>
          </w:tcPr>
          <w:p w14:paraId="16E25600" w14:textId="77777777" w:rsidR="0092790C" w:rsidRDefault="0092790C" w:rsidP="006D72B4">
            <w:pPr>
              <w:jc w:val="center"/>
              <w:rPr>
                <w:rFonts w:ascii="Times New Roman" w:hAnsi="Times New Roman" w:cs="Times New Roman"/>
              </w:rPr>
            </w:pPr>
            <w:r>
              <w:rPr>
                <w:rFonts w:ascii="Times New Roman" w:hAnsi="Times New Roman" w:cs="Times New Roman"/>
              </w:rPr>
              <w:t>1996</w:t>
            </w:r>
          </w:p>
        </w:tc>
        <w:tc>
          <w:tcPr>
            <w:tcW w:w="4770" w:type="dxa"/>
            <w:tcBorders>
              <w:top w:val="nil"/>
              <w:left w:val="nil"/>
              <w:bottom w:val="nil"/>
              <w:right w:val="nil"/>
            </w:tcBorders>
          </w:tcPr>
          <w:p w14:paraId="0409FDEB" w14:textId="77777777" w:rsidR="0092790C" w:rsidRDefault="0092790C" w:rsidP="006D72B4">
            <w:pPr>
              <w:rPr>
                <w:rFonts w:ascii="Times New Roman" w:hAnsi="Times New Roman" w:cs="Times New Roman"/>
              </w:rPr>
            </w:pPr>
            <w:r>
              <w:rPr>
                <w:rFonts w:ascii="Times New Roman" w:hAnsi="Times New Roman" w:cs="Times New Roman"/>
              </w:rPr>
              <w:t>MINATOM</w:t>
            </w:r>
          </w:p>
        </w:tc>
        <w:tc>
          <w:tcPr>
            <w:tcW w:w="3096" w:type="dxa"/>
            <w:tcBorders>
              <w:top w:val="nil"/>
              <w:left w:val="nil"/>
              <w:bottom w:val="nil"/>
              <w:right w:val="nil"/>
            </w:tcBorders>
          </w:tcPr>
          <w:p w14:paraId="0E5ED187" w14:textId="77777777" w:rsidR="0092790C" w:rsidRDefault="0092790C" w:rsidP="006D72B4">
            <w:pPr>
              <w:rPr>
                <w:rFonts w:ascii="Times New Roman" w:hAnsi="Times New Roman" w:cs="Times New Roman"/>
              </w:rPr>
            </w:pPr>
            <w:r>
              <w:rPr>
                <w:rFonts w:ascii="Times New Roman" w:hAnsi="Times New Roman" w:cs="Times New Roman"/>
              </w:rPr>
              <w:t>Obninsk, Russia</w:t>
            </w:r>
          </w:p>
        </w:tc>
      </w:tr>
      <w:tr w:rsidR="0092790C" w14:paraId="20D556CD" w14:textId="77777777" w:rsidTr="006453EE">
        <w:tc>
          <w:tcPr>
            <w:tcW w:w="1458" w:type="dxa"/>
            <w:tcBorders>
              <w:top w:val="nil"/>
              <w:left w:val="nil"/>
              <w:bottom w:val="nil"/>
              <w:right w:val="nil"/>
            </w:tcBorders>
          </w:tcPr>
          <w:p w14:paraId="121044A5" w14:textId="77777777" w:rsidR="0092790C" w:rsidRDefault="0092790C" w:rsidP="006D72B4">
            <w:pPr>
              <w:jc w:val="center"/>
              <w:rPr>
                <w:rFonts w:ascii="Times New Roman" w:hAnsi="Times New Roman" w:cs="Times New Roman"/>
              </w:rPr>
            </w:pPr>
            <w:r>
              <w:rPr>
                <w:rFonts w:ascii="Times New Roman" w:hAnsi="Times New Roman" w:cs="Times New Roman"/>
              </w:rPr>
              <w:t>1997</w:t>
            </w:r>
          </w:p>
        </w:tc>
        <w:tc>
          <w:tcPr>
            <w:tcW w:w="4770" w:type="dxa"/>
            <w:tcBorders>
              <w:top w:val="nil"/>
              <w:left w:val="nil"/>
              <w:bottom w:val="nil"/>
              <w:right w:val="nil"/>
            </w:tcBorders>
          </w:tcPr>
          <w:p w14:paraId="1526308E" w14:textId="77777777" w:rsidR="0092790C" w:rsidRDefault="0092790C" w:rsidP="006D72B4">
            <w:pPr>
              <w:rPr>
                <w:rFonts w:ascii="Times New Roman" w:hAnsi="Times New Roman" w:cs="Times New Roman"/>
              </w:rPr>
            </w:pPr>
            <w:r>
              <w:rPr>
                <w:rFonts w:ascii="Times New Roman" w:hAnsi="Times New Roman" w:cs="Times New Roman"/>
              </w:rPr>
              <w:t>Landau Network</w:t>
            </w:r>
          </w:p>
        </w:tc>
        <w:tc>
          <w:tcPr>
            <w:tcW w:w="3096" w:type="dxa"/>
            <w:tcBorders>
              <w:top w:val="nil"/>
              <w:left w:val="nil"/>
              <w:bottom w:val="nil"/>
              <w:right w:val="nil"/>
            </w:tcBorders>
          </w:tcPr>
          <w:p w14:paraId="75217D6B" w14:textId="77777777" w:rsidR="0092790C" w:rsidRDefault="0092790C" w:rsidP="006D72B4">
            <w:pPr>
              <w:rPr>
                <w:rFonts w:ascii="Times New Roman" w:hAnsi="Times New Roman" w:cs="Times New Roman"/>
              </w:rPr>
            </w:pPr>
            <w:r>
              <w:rPr>
                <w:rFonts w:ascii="Times New Roman" w:hAnsi="Times New Roman" w:cs="Times New Roman"/>
              </w:rPr>
              <w:t>Como, Italy</w:t>
            </w:r>
          </w:p>
        </w:tc>
      </w:tr>
      <w:tr w:rsidR="0092790C" w14:paraId="79F62B18" w14:textId="77777777" w:rsidTr="006453EE">
        <w:tc>
          <w:tcPr>
            <w:tcW w:w="1458" w:type="dxa"/>
            <w:tcBorders>
              <w:top w:val="nil"/>
              <w:left w:val="nil"/>
              <w:bottom w:val="nil"/>
              <w:right w:val="nil"/>
            </w:tcBorders>
          </w:tcPr>
          <w:p w14:paraId="336FC3BA" w14:textId="77777777" w:rsidR="0092790C" w:rsidRDefault="0092790C" w:rsidP="006D72B4">
            <w:pPr>
              <w:jc w:val="center"/>
              <w:rPr>
                <w:rFonts w:ascii="Times New Roman" w:hAnsi="Times New Roman" w:cs="Times New Roman"/>
              </w:rPr>
            </w:pPr>
            <w:r>
              <w:rPr>
                <w:rFonts w:ascii="Times New Roman" w:hAnsi="Times New Roman" w:cs="Times New Roman"/>
              </w:rPr>
              <w:t>1998</w:t>
            </w:r>
          </w:p>
        </w:tc>
        <w:tc>
          <w:tcPr>
            <w:tcW w:w="4770" w:type="dxa"/>
            <w:tcBorders>
              <w:top w:val="nil"/>
              <w:left w:val="nil"/>
              <w:bottom w:val="nil"/>
              <w:right w:val="nil"/>
            </w:tcBorders>
          </w:tcPr>
          <w:p w14:paraId="61B47476" w14:textId="77777777" w:rsidR="0092790C" w:rsidRDefault="0092790C" w:rsidP="006D72B4">
            <w:pPr>
              <w:rPr>
                <w:rFonts w:ascii="Times New Roman" w:hAnsi="Times New Roman" w:cs="Times New Roman"/>
              </w:rPr>
            </w:pPr>
            <w:r>
              <w:rPr>
                <w:rFonts w:ascii="Times New Roman" w:hAnsi="Times New Roman" w:cs="Times New Roman"/>
              </w:rPr>
              <w:t>Metropolitan Police</w:t>
            </w:r>
          </w:p>
        </w:tc>
        <w:tc>
          <w:tcPr>
            <w:tcW w:w="3096" w:type="dxa"/>
            <w:tcBorders>
              <w:top w:val="nil"/>
              <w:left w:val="nil"/>
              <w:bottom w:val="nil"/>
              <w:right w:val="nil"/>
            </w:tcBorders>
          </w:tcPr>
          <w:p w14:paraId="62E4AE0E" w14:textId="77777777" w:rsidR="0092790C" w:rsidRDefault="0092790C" w:rsidP="006D72B4">
            <w:pPr>
              <w:rPr>
                <w:rFonts w:ascii="Times New Roman" w:hAnsi="Times New Roman" w:cs="Times New Roman"/>
              </w:rPr>
            </w:pPr>
            <w:r>
              <w:rPr>
                <w:rFonts w:ascii="Times New Roman" w:hAnsi="Times New Roman" w:cs="Times New Roman"/>
              </w:rPr>
              <w:t>London, England</w:t>
            </w:r>
          </w:p>
        </w:tc>
      </w:tr>
      <w:tr w:rsidR="0092790C" w14:paraId="3764C2B9" w14:textId="77777777" w:rsidTr="006453EE">
        <w:tc>
          <w:tcPr>
            <w:tcW w:w="1458" w:type="dxa"/>
            <w:tcBorders>
              <w:top w:val="nil"/>
              <w:left w:val="nil"/>
              <w:bottom w:val="nil"/>
              <w:right w:val="nil"/>
            </w:tcBorders>
          </w:tcPr>
          <w:p w14:paraId="73E03A04" w14:textId="77777777" w:rsidR="0092790C" w:rsidRDefault="0092790C" w:rsidP="006D72B4">
            <w:pPr>
              <w:jc w:val="center"/>
              <w:rPr>
                <w:rFonts w:ascii="Times New Roman" w:hAnsi="Times New Roman" w:cs="Times New Roman"/>
              </w:rPr>
            </w:pPr>
            <w:r>
              <w:rPr>
                <w:rFonts w:ascii="Times New Roman" w:hAnsi="Times New Roman" w:cs="Times New Roman"/>
              </w:rPr>
              <w:t>1999</w:t>
            </w:r>
          </w:p>
        </w:tc>
        <w:tc>
          <w:tcPr>
            <w:tcW w:w="4770" w:type="dxa"/>
            <w:tcBorders>
              <w:top w:val="nil"/>
              <w:left w:val="nil"/>
              <w:bottom w:val="nil"/>
              <w:right w:val="nil"/>
            </w:tcBorders>
          </w:tcPr>
          <w:p w14:paraId="7C1EA6DB" w14:textId="77777777" w:rsidR="0092790C" w:rsidRDefault="0092790C" w:rsidP="006D72B4">
            <w:pPr>
              <w:rPr>
                <w:rFonts w:ascii="Times New Roman" w:hAnsi="Times New Roman" w:cs="Times New Roman"/>
              </w:rPr>
            </w:pPr>
            <w:r w:rsidRPr="00503FB6">
              <w:rPr>
                <w:rFonts w:ascii="Times New Roman" w:hAnsi="Times New Roman" w:cs="Times New Roman"/>
                <w:szCs w:val="18"/>
              </w:rPr>
              <w:t>Säteilyturvakeskus</w:t>
            </w:r>
            <w:r>
              <w:rPr>
                <w:rFonts w:ascii="Times New Roman" w:hAnsi="Times New Roman" w:cs="Times New Roman"/>
              </w:rPr>
              <w:t xml:space="preserve"> (STUK)</w:t>
            </w:r>
          </w:p>
        </w:tc>
        <w:tc>
          <w:tcPr>
            <w:tcW w:w="3096" w:type="dxa"/>
            <w:tcBorders>
              <w:top w:val="nil"/>
              <w:left w:val="nil"/>
              <w:bottom w:val="nil"/>
              <w:right w:val="nil"/>
            </w:tcBorders>
          </w:tcPr>
          <w:p w14:paraId="3EF4260E" w14:textId="77777777" w:rsidR="0092790C" w:rsidRDefault="0092790C" w:rsidP="006D72B4">
            <w:pPr>
              <w:rPr>
                <w:rFonts w:ascii="Times New Roman" w:hAnsi="Times New Roman" w:cs="Times New Roman"/>
              </w:rPr>
            </w:pPr>
            <w:r>
              <w:rPr>
                <w:rFonts w:ascii="Times New Roman" w:hAnsi="Times New Roman" w:cs="Times New Roman"/>
              </w:rPr>
              <w:t>Helsinki, Finland</w:t>
            </w:r>
          </w:p>
        </w:tc>
      </w:tr>
      <w:tr w:rsidR="0092790C" w14:paraId="4E695C0B" w14:textId="77777777" w:rsidTr="006453EE">
        <w:tc>
          <w:tcPr>
            <w:tcW w:w="1458" w:type="dxa"/>
            <w:tcBorders>
              <w:top w:val="nil"/>
              <w:left w:val="nil"/>
              <w:bottom w:val="nil"/>
              <w:right w:val="nil"/>
            </w:tcBorders>
          </w:tcPr>
          <w:p w14:paraId="2F8F12AB" w14:textId="77777777" w:rsidR="0092790C" w:rsidRDefault="0092790C" w:rsidP="006D72B4">
            <w:pPr>
              <w:jc w:val="center"/>
              <w:rPr>
                <w:rFonts w:ascii="Times New Roman" w:hAnsi="Times New Roman" w:cs="Times New Roman"/>
              </w:rPr>
            </w:pPr>
            <w:r>
              <w:rPr>
                <w:rFonts w:ascii="Times New Roman" w:hAnsi="Times New Roman" w:cs="Times New Roman"/>
              </w:rPr>
              <w:t>2000</w:t>
            </w:r>
          </w:p>
        </w:tc>
        <w:tc>
          <w:tcPr>
            <w:tcW w:w="4770" w:type="dxa"/>
            <w:tcBorders>
              <w:top w:val="nil"/>
              <w:left w:val="nil"/>
              <w:bottom w:val="nil"/>
              <w:right w:val="nil"/>
            </w:tcBorders>
          </w:tcPr>
          <w:p w14:paraId="1ECBED56" w14:textId="77777777" w:rsidR="0092790C" w:rsidRDefault="0092790C" w:rsidP="006D72B4">
            <w:pPr>
              <w:rPr>
                <w:rFonts w:ascii="Times New Roman" w:hAnsi="Times New Roman" w:cs="Times New Roman"/>
              </w:rPr>
            </w:pPr>
            <w:r>
              <w:rPr>
                <w:rFonts w:ascii="Times New Roman" w:hAnsi="Times New Roman" w:cs="Times New Roman"/>
              </w:rPr>
              <w:t>IAEA</w:t>
            </w:r>
          </w:p>
        </w:tc>
        <w:tc>
          <w:tcPr>
            <w:tcW w:w="3096" w:type="dxa"/>
            <w:tcBorders>
              <w:top w:val="nil"/>
              <w:left w:val="nil"/>
              <w:bottom w:val="nil"/>
              <w:right w:val="nil"/>
            </w:tcBorders>
          </w:tcPr>
          <w:p w14:paraId="105CAD19" w14:textId="77777777" w:rsidR="0092790C" w:rsidRDefault="0092790C" w:rsidP="006D72B4">
            <w:pPr>
              <w:rPr>
                <w:rFonts w:ascii="Times New Roman" w:hAnsi="Times New Roman" w:cs="Times New Roman"/>
              </w:rPr>
            </w:pPr>
            <w:r>
              <w:rPr>
                <w:rFonts w:ascii="Times New Roman" w:hAnsi="Times New Roman" w:cs="Times New Roman"/>
              </w:rPr>
              <w:t>Vienna, Austria</w:t>
            </w:r>
          </w:p>
        </w:tc>
      </w:tr>
      <w:tr w:rsidR="0092790C" w14:paraId="554A9C9F" w14:textId="77777777" w:rsidTr="006453EE">
        <w:tc>
          <w:tcPr>
            <w:tcW w:w="1458" w:type="dxa"/>
            <w:tcBorders>
              <w:top w:val="nil"/>
              <w:left w:val="nil"/>
              <w:bottom w:val="nil"/>
              <w:right w:val="nil"/>
            </w:tcBorders>
          </w:tcPr>
          <w:p w14:paraId="3AFCE22C" w14:textId="77777777" w:rsidR="0092790C" w:rsidRDefault="0092790C" w:rsidP="006D72B4">
            <w:pPr>
              <w:jc w:val="center"/>
              <w:rPr>
                <w:rFonts w:ascii="Times New Roman" w:hAnsi="Times New Roman" w:cs="Times New Roman"/>
              </w:rPr>
            </w:pPr>
            <w:r>
              <w:rPr>
                <w:rFonts w:ascii="Times New Roman" w:hAnsi="Times New Roman" w:cs="Times New Roman"/>
              </w:rPr>
              <w:t>2002</w:t>
            </w:r>
          </w:p>
        </w:tc>
        <w:tc>
          <w:tcPr>
            <w:tcW w:w="4770" w:type="dxa"/>
            <w:tcBorders>
              <w:top w:val="nil"/>
              <w:left w:val="nil"/>
              <w:bottom w:val="nil"/>
              <w:right w:val="nil"/>
            </w:tcBorders>
          </w:tcPr>
          <w:p w14:paraId="127D731A" w14:textId="77777777" w:rsidR="0092790C" w:rsidRDefault="0092790C" w:rsidP="006D72B4">
            <w:pPr>
              <w:rPr>
                <w:rFonts w:ascii="Times New Roman" w:hAnsi="Times New Roman" w:cs="Times New Roman"/>
              </w:rPr>
            </w:pPr>
            <w:r>
              <w:rPr>
                <w:rFonts w:ascii="Times New Roman" w:hAnsi="Times New Roman" w:cs="Times New Roman"/>
              </w:rPr>
              <w:t>Euratom</w:t>
            </w:r>
          </w:p>
        </w:tc>
        <w:tc>
          <w:tcPr>
            <w:tcW w:w="3096" w:type="dxa"/>
            <w:tcBorders>
              <w:top w:val="nil"/>
              <w:left w:val="nil"/>
              <w:bottom w:val="nil"/>
              <w:right w:val="nil"/>
            </w:tcBorders>
          </w:tcPr>
          <w:p w14:paraId="71B55A00" w14:textId="77777777" w:rsidR="0092790C" w:rsidRDefault="0092790C" w:rsidP="006D72B4">
            <w:pPr>
              <w:rPr>
                <w:rFonts w:ascii="Times New Roman" w:hAnsi="Times New Roman" w:cs="Times New Roman"/>
              </w:rPr>
            </w:pPr>
            <w:r>
              <w:rPr>
                <w:rFonts w:ascii="Times New Roman" w:hAnsi="Times New Roman" w:cs="Times New Roman"/>
              </w:rPr>
              <w:t>Luxembourg</w:t>
            </w:r>
          </w:p>
        </w:tc>
      </w:tr>
      <w:tr w:rsidR="0092790C" w14:paraId="1EDCBD16" w14:textId="77777777" w:rsidTr="006453EE">
        <w:tc>
          <w:tcPr>
            <w:tcW w:w="1458" w:type="dxa"/>
            <w:tcBorders>
              <w:top w:val="nil"/>
              <w:left w:val="nil"/>
              <w:bottom w:val="nil"/>
              <w:right w:val="nil"/>
            </w:tcBorders>
          </w:tcPr>
          <w:p w14:paraId="2A676BE3" w14:textId="77777777" w:rsidR="0092790C" w:rsidRDefault="0092790C" w:rsidP="006D72B4">
            <w:pPr>
              <w:jc w:val="center"/>
              <w:rPr>
                <w:rFonts w:ascii="Times New Roman" w:hAnsi="Times New Roman" w:cs="Times New Roman"/>
              </w:rPr>
            </w:pPr>
            <w:r>
              <w:rPr>
                <w:rFonts w:ascii="Times New Roman" w:hAnsi="Times New Roman" w:cs="Times New Roman"/>
              </w:rPr>
              <w:t>2003</w:t>
            </w:r>
          </w:p>
        </w:tc>
        <w:tc>
          <w:tcPr>
            <w:tcW w:w="4770" w:type="dxa"/>
            <w:tcBorders>
              <w:top w:val="nil"/>
              <w:left w:val="nil"/>
              <w:bottom w:val="nil"/>
              <w:right w:val="nil"/>
            </w:tcBorders>
          </w:tcPr>
          <w:p w14:paraId="5CA29B0F" w14:textId="77777777" w:rsidR="0092790C" w:rsidRDefault="0092790C" w:rsidP="006D72B4">
            <w:pPr>
              <w:rPr>
                <w:rFonts w:ascii="Times New Roman" w:hAnsi="Times New Roman" w:cs="Times New Roman"/>
              </w:rPr>
            </w:pPr>
            <w:r>
              <w:rPr>
                <w:rFonts w:ascii="Times New Roman" w:hAnsi="Times New Roman" w:cs="Times New Roman"/>
              </w:rPr>
              <w:t>Hungarian Atomic Energy Agency (HAEA)</w:t>
            </w:r>
          </w:p>
        </w:tc>
        <w:tc>
          <w:tcPr>
            <w:tcW w:w="3096" w:type="dxa"/>
            <w:tcBorders>
              <w:top w:val="nil"/>
              <w:left w:val="nil"/>
              <w:bottom w:val="nil"/>
              <w:right w:val="nil"/>
            </w:tcBorders>
          </w:tcPr>
          <w:p w14:paraId="6523861C" w14:textId="77777777" w:rsidR="0092790C" w:rsidRDefault="0092790C" w:rsidP="006D72B4">
            <w:pPr>
              <w:rPr>
                <w:rFonts w:ascii="Times New Roman" w:hAnsi="Times New Roman" w:cs="Times New Roman"/>
              </w:rPr>
            </w:pPr>
            <w:r>
              <w:rPr>
                <w:rFonts w:ascii="Times New Roman" w:hAnsi="Times New Roman" w:cs="Times New Roman"/>
              </w:rPr>
              <w:t>Budapest, Hungary</w:t>
            </w:r>
          </w:p>
        </w:tc>
      </w:tr>
      <w:tr w:rsidR="0092790C" w14:paraId="3B01DE47" w14:textId="77777777" w:rsidTr="006453EE">
        <w:tc>
          <w:tcPr>
            <w:tcW w:w="1458" w:type="dxa"/>
            <w:tcBorders>
              <w:top w:val="nil"/>
              <w:left w:val="nil"/>
              <w:bottom w:val="nil"/>
              <w:right w:val="nil"/>
            </w:tcBorders>
          </w:tcPr>
          <w:p w14:paraId="154EB176" w14:textId="77777777" w:rsidR="0092790C" w:rsidRDefault="0092790C" w:rsidP="006D72B4">
            <w:pPr>
              <w:jc w:val="center"/>
              <w:rPr>
                <w:rFonts w:ascii="Times New Roman" w:hAnsi="Times New Roman" w:cs="Times New Roman"/>
              </w:rPr>
            </w:pPr>
            <w:r>
              <w:rPr>
                <w:rFonts w:ascii="Times New Roman" w:hAnsi="Times New Roman" w:cs="Times New Roman"/>
              </w:rPr>
              <w:t>2004</w:t>
            </w:r>
          </w:p>
        </w:tc>
        <w:tc>
          <w:tcPr>
            <w:tcW w:w="4770" w:type="dxa"/>
            <w:tcBorders>
              <w:top w:val="nil"/>
              <w:left w:val="nil"/>
              <w:bottom w:val="nil"/>
              <w:right w:val="nil"/>
            </w:tcBorders>
          </w:tcPr>
          <w:p w14:paraId="06FAC5C0" w14:textId="77777777" w:rsidR="0092790C" w:rsidRDefault="0092790C" w:rsidP="006D72B4">
            <w:pPr>
              <w:rPr>
                <w:rFonts w:ascii="Times New Roman" w:hAnsi="Times New Roman" w:cs="Times New Roman"/>
              </w:rPr>
            </w:pPr>
            <w:r>
              <w:rPr>
                <w:rFonts w:ascii="Times New Roman" w:hAnsi="Times New Roman" w:cs="Times New Roman"/>
              </w:rPr>
              <w:t>CEA</w:t>
            </w:r>
          </w:p>
        </w:tc>
        <w:tc>
          <w:tcPr>
            <w:tcW w:w="3096" w:type="dxa"/>
            <w:tcBorders>
              <w:top w:val="nil"/>
              <w:left w:val="nil"/>
              <w:bottom w:val="nil"/>
              <w:right w:val="nil"/>
            </w:tcBorders>
          </w:tcPr>
          <w:p w14:paraId="5D810DF8" w14:textId="77777777" w:rsidR="0092790C" w:rsidRDefault="0092790C" w:rsidP="006D72B4">
            <w:pPr>
              <w:rPr>
                <w:rFonts w:ascii="Times New Roman" w:hAnsi="Times New Roman" w:cs="Times New Roman"/>
              </w:rPr>
            </w:pPr>
            <w:r>
              <w:rPr>
                <w:rFonts w:ascii="Times New Roman" w:hAnsi="Times New Roman" w:cs="Times New Roman"/>
              </w:rPr>
              <w:t>Cadarache, France</w:t>
            </w:r>
          </w:p>
        </w:tc>
      </w:tr>
      <w:tr w:rsidR="0092790C" w14:paraId="02BA1607" w14:textId="77777777" w:rsidTr="006453EE">
        <w:tc>
          <w:tcPr>
            <w:tcW w:w="1458" w:type="dxa"/>
            <w:tcBorders>
              <w:top w:val="nil"/>
              <w:left w:val="nil"/>
              <w:bottom w:val="nil"/>
              <w:right w:val="nil"/>
            </w:tcBorders>
          </w:tcPr>
          <w:p w14:paraId="51B914F2" w14:textId="77777777" w:rsidR="0092790C" w:rsidRDefault="0092790C" w:rsidP="006D72B4">
            <w:pPr>
              <w:jc w:val="center"/>
              <w:rPr>
                <w:rFonts w:ascii="Times New Roman" w:hAnsi="Times New Roman" w:cs="Times New Roman"/>
              </w:rPr>
            </w:pPr>
            <w:r>
              <w:rPr>
                <w:rFonts w:ascii="Times New Roman" w:hAnsi="Times New Roman" w:cs="Times New Roman"/>
              </w:rPr>
              <w:t>2005</w:t>
            </w:r>
          </w:p>
        </w:tc>
        <w:tc>
          <w:tcPr>
            <w:tcW w:w="4770" w:type="dxa"/>
            <w:tcBorders>
              <w:top w:val="nil"/>
              <w:left w:val="nil"/>
              <w:bottom w:val="nil"/>
              <w:right w:val="nil"/>
            </w:tcBorders>
          </w:tcPr>
          <w:p w14:paraId="446568DF" w14:textId="77777777" w:rsidR="0092790C" w:rsidRDefault="0092790C" w:rsidP="006D72B4">
            <w:pPr>
              <w:rPr>
                <w:rFonts w:ascii="Times New Roman" w:hAnsi="Times New Roman" w:cs="Times New Roman"/>
              </w:rPr>
            </w:pPr>
            <w:r>
              <w:rPr>
                <w:rFonts w:ascii="Times New Roman" w:hAnsi="Times New Roman" w:cs="Times New Roman"/>
                <w:color w:val="000000"/>
                <w:szCs w:val="17"/>
              </w:rPr>
              <w:t>NRI</w:t>
            </w:r>
            <w:r w:rsidRPr="00503FB6">
              <w:rPr>
                <w:rFonts w:ascii="Times New Roman" w:hAnsi="Times New Roman" w:cs="Times New Roman"/>
                <w:color w:val="000000"/>
                <w:szCs w:val="17"/>
              </w:rPr>
              <w:t xml:space="preserve"> Řež</w:t>
            </w:r>
          </w:p>
        </w:tc>
        <w:tc>
          <w:tcPr>
            <w:tcW w:w="3096" w:type="dxa"/>
            <w:tcBorders>
              <w:top w:val="nil"/>
              <w:left w:val="nil"/>
              <w:bottom w:val="nil"/>
              <w:right w:val="nil"/>
            </w:tcBorders>
          </w:tcPr>
          <w:p w14:paraId="01750E81" w14:textId="77777777" w:rsidR="0092790C" w:rsidRDefault="0092790C" w:rsidP="006D72B4">
            <w:pPr>
              <w:rPr>
                <w:rFonts w:ascii="Times New Roman" w:hAnsi="Times New Roman" w:cs="Times New Roman"/>
              </w:rPr>
            </w:pPr>
            <w:r>
              <w:rPr>
                <w:rFonts w:ascii="Times New Roman" w:hAnsi="Times New Roman" w:cs="Times New Roman"/>
              </w:rPr>
              <w:t>Prague, Czech Republic</w:t>
            </w:r>
          </w:p>
        </w:tc>
      </w:tr>
      <w:tr w:rsidR="0092790C" w14:paraId="16E628A0" w14:textId="77777777" w:rsidTr="006453EE">
        <w:tc>
          <w:tcPr>
            <w:tcW w:w="1458" w:type="dxa"/>
            <w:tcBorders>
              <w:top w:val="nil"/>
              <w:left w:val="nil"/>
              <w:bottom w:val="nil"/>
              <w:right w:val="nil"/>
            </w:tcBorders>
          </w:tcPr>
          <w:p w14:paraId="37EBAFA2" w14:textId="77777777" w:rsidR="0092790C" w:rsidRDefault="0092790C" w:rsidP="006D72B4">
            <w:pPr>
              <w:jc w:val="center"/>
              <w:rPr>
                <w:rFonts w:ascii="Times New Roman" w:hAnsi="Times New Roman" w:cs="Times New Roman"/>
              </w:rPr>
            </w:pPr>
            <w:r>
              <w:rPr>
                <w:rFonts w:ascii="Times New Roman" w:hAnsi="Times New Roman" w:cs="Times New Roman"/>
              </w:rPr>
              <w:t>2006</w:t>
            </w:r>
          </w:p>
        </w:tc>
        <w:tc>
          <w:tcPr>
            <w:tcW w:w="4770" w:type="dxa"/>
            <w:tcBorders>
              <w:top w:val="nil"/>
              <w:left w:val="nil"/>
              <w:bottom w:val="nil"/>
              <w:right w:val="nil"/>
            </w:tcBorders>
          </w:tcPr>
          <w:p w14:paraId="67BDBBD1" w14:textId="77777777" w:rsidR="0092790C" w:rsidRDefault="0092790C" w:rsidP="006D72B4">
            <w:pPr>
              <w:rPr>
                <w:rFonts w:ascii="Times New Roman" w:hAnsi="Times New Roman" w:cs="Times New Roman"/>
              </w:rPr>
            </w:pPr>
            <w:r>
              <w:rPr>
                <w:rFonts w:ascii="Times New Roman" w:hAnsi="Times New Roman" w:cs="Times New Roman"/>
              </w:rPr>
              <w:t>ITU</w:t>
            </w:r>
          </w:p>
        </w:tc>
        <w:tc>
          <w:tcPr>
            <w:tcW w:w="3096" w:type="dxa"/>
            <w:tcBorders>
              <w:top w:val="nil"/>
              <w:left w:val="nil"/>
              <w:bottom w:val="nil"/>
              <w:right w:val="nil"/>
            </w:tcBorders>
          </w:tcPr>
          <w:p w14:paraId="74DB29F9" w14:textId="77777777" w:rsidR="0092790C" w:rsidRDefault="0092790C" w:rsidP="006D72B4">
            <w:pPr>
              <w:rPr>
                <w:rFonts w:ascii="Times New Roman" w:hAnsi="Times New Roman" w:cs="Times New Roman"/>
              </w:rPr>
            </w:pPr>
            <w:r>
              <w:rPr>
                <w:rFonts w:ascii="Times New Roman" w:hAnsi="Times New Roman" w:cs="Times New Roman"/>
              </w:rPr>
              <w:t>Speyer, Germany</w:t>
            </w:r>
          </w:p>
        </w:tc>
      </w:tr>
      <w:tr w:rsidR="0092790C" w14:paraId="55770AAB" w14:textId="77777777" w:rsidTr="006453EE">
        <w:tc>
          <w:tcPr>
            <w:tcW w:w="1458" w:type="dxa"/>
            <w:tcBorders>
              <w:top w:val="nil"/>
              <w:left w:val="nil"/>
              <w:bottom w:val="nil"/>
              <w:right w:val="nil"/>
            </w:tcBorders>
          </w:tcPr>
          <w:p w14:paraId="16B13CA6" w14:textId="77777777" w:rsidR="0092790C" w:rsidRDefault="0092790C" w:rsidP="006D72B4">
            <w:pPr>
              <w:jc w:val="center"/>
              <w:rPr>
                <w:rFonts w:ascii="Times New Roman" w:hAnsi="Times New Roman" w:cs="Times New Roman"/>
              </w:rPr>
            </w:pPr>
            <w:r>
              <w:rPr>
                <w:rFonts w:ascii="Times New Roman" w:hAnsi="Times New Roman" w:cs="Times New Roman"/>
              </w:rPr>
              <w:t>2007</w:t>
            </w:r>
          </w:p>
        </w:tc>
        <w:tc>
          <w:tcPr>
            <w:tcW w:w="4770" w:type="dxa"/>
            <w:tcBorders>
              <w:top w:val="nil"/>
              <w:left w:val="nil"/>
              <w:bottom w:val="nil"/>
              <w:right w:val="nil"/>
            </w:tcBorders>
          </w:tcPr>
          <w:p w14:paraId="28705A76" w14:textId="77777777" w:rsidR="0092790C" w:rsidRDefault="0092790C" w:rsidP="006D72B4">
            <w:pPr>
              <w:rPr>
                <w:rFonts w:ascii="Times New Roman" w:hAnsi="Times New Roman" w:cs="Times New Roman"/>
              </w:rPr>
            </w:pPr>
            <w:r w:rsidRPr="00034AAA">
              <w:rPr>
                <w:rFonts w:ascii="Times New Roman" w:hAnsi="Times New Roman" w:cs="Times New Roman"/>
                <w:iCs/>
              </w:rPr>
              <w:t>Totalförsvarets forskningsinstitut</w:t>
            </w:r>
            <w:r>
              <w:t xml:space="preserve"> </w:t>
            </w:r>
            <w:r>
              <w:rPr>
                <w:rFonts w:ascii="Times New Roman" w:hAnsi="Times New Roman" w:cs="Times New Roman"/>
              </w:rPr>
              <w:t>(FOI)</w:t>
            </w:r>
          </w:p>
        </w:tc>
        <w:tc>
          <w:tcPr>
            <w:tcW w:w="3096" w:type="dxa"/>
            <w:tcBorders>
              <w:top w:val="nil"/>
              <w:left w:val="nil"/>
              <w:bottom w:val="nil"/>
              <w:right w:val="nil"/>
            </w:tcBorders>
          </w:tcPr>
          <w:p w14:paraId="794B3682" w14:textId="77777777" w:rsidR="0092790C" w:rsidRDefault="0092790C" w:rsidP="006D72B4">
            <w:pPr>
              <w:rPr>
                <w:rFonts w:ascii="Times New Roman" w:hAnsi="Times New Roman" w:cs="Times New Roman"/>
              </w:rPr>
            </w:pPr>
            <w:r>
              <w:rPr>
                <w:rFonts w:ascii="Times New Roman" w:hAnsi="Times New Roman" w:cs="Times New Roman"/>
              </w:rPr>
              <w:t>Umeå, Sweden</w:t>
            </w:r>
          </w:p>
        </w:tc>
      </w:tr>
      <w:tr w:rsidR="0092790C" w14:paraId="6CC597CF" w14:textId="77777777" w:rsidTr="006453EE">
        <w:tc>
          <w:tcPr>
            <w:tcW w:w="1458" w:type="dxa"/>
            <w:tcBorders>
              <w:top w:val="nil"/>
              <w:left w:val="nil"/>
              <w:bottom w:val="nil"/>
              <w:right w:val="nil"/>
            </w:tcBorders>
          </w:tcPr>
          <w:p w14:paraId="52E11C1C" w14:textId="77777777" w:rsidR="0092790C" w:rsidRDefault="0092790C" w:rsidP="006D72B4">
            <w:pPr>
              <w:jc w:val="center"/>
              <w:rPr>
                <w:rFonts w:ascii="Times New Roman" w:hAnsi="Times New Roman" w:cs="Times New Roman"/>
              </w:rPr>
            </w:pPr>
            <w:r>
              <w:rPr>
                <w:rFonts w:ascii="Times New Roman" w:hAnsi="Times New Roman" w:cs="Times New Roman"/>
              </w:rPr>
              <w:t>2008</w:t>
            </w:r>
          </w:p>
        </w:tc>
        <w:tc>
          <w:tcPr>
            <w:tcW w:w="4770" w:type="dxa"/>
            <w:tcBorders>
              <w:top w:val="nil"/>
              <w:left w:val="nil"/>
              <w:bottom w:val="nil"/>
              <w:right w:val="nil"/>
            </w:tcBorders>
          </w:tcPr>
          <w:p w14:paraId="21003DC8" w14:textId="77777777" w:rsidR="0092790C" w:rsidRDefault="0092790C" w:rsidP="006D72B4">
            <w:pPr>
              <w:rPr>
                <w:rFonts w:ascii="Times New Roman" w:hAnsi="Times New Roman" w:cs="Times New Roman"/>
              </w:rPr>
            </w:pPr>
            <w:r>
              <w:rPr>
                <w:rFonts w:ascii="Times New Roman" w:hAnsi="Times New Roman" w:cs="Times New Roman"/>
              </w:rPr>
              <w:t>Institute for Nuclear Research and Nuclear Energy (INRNE)</w:t>
            </w:r>
          </w:p>
        </w:tc>
        <w:tc>
          <w:tcPr>
            <w:tcW w:w="3096" w:type="dxa"/>
            <w:tcBorders>
              <w:top w:val="nil"/>
              <w:left w:val="nil"/>
              <w:bottom w:val="nil"/>
              <w:right w:val="nil"/>
            </w:tcBorders>
          </w:tcPr>
          <w:p w14:paraId="214EF2CE" w14:textId="77777777" w:rsidR="0092790C" w:rsidRDefault="0092790C" w:rsidP="006D72B4">
            <w:pPr>
              <w:rPr>
                <w:rFonts w:ascii="Times New Roman" w:hAnsi="Times New Roman" w:cs="Times New Roman"/>
              </w:rPr>
            </w:pPr>
            <w:r>
              <w:rPr>
                <w:rFonts w:ascii="Times New Roman" w:hAnsi="Times New Roman" w:cs="Times New Roman"/>
              </w:rPr>
              <w:t>Sofia, Bulgaria</w:t>
            </w:r>
          </w:p>
        </w:tc>
      </w:tr>
      <w:tr w:rsidR="0092790C" w14:paraId="03710646" w14:textId="77777777" w:rsidTr="006453EE">
        <w:tc>
          <w:tcPr>
            <w:tcW w:w="1458" w:type="dxa"/>
            <w:tcBorders>
              <w:top w:val="nil"/>
              <w:left w:val="nil"/>
              <w:bottom w:val="nil"/>
              <w:right w:val="nil"/>
            </w:tcBorders>
          </w:tcPr>
          <w:p w14:paraId="735DCB45" w14:textId="77777777" w:rsidR="0092790C" w:rsidRDefault="0092790C" w:rsidP="006D72B4">
            <w:pPr>
              <w:jc w:val="center"/>
              <w:rPr>
                <w:rFonts w:ascii="Times New Roman" w:hAnsi="Times New Roman" w:cs="Times New Roman"/>
              </w:rPr>
            </w:pPr>
            <w:r>
              <w:rPr>
                <w:rFonts w:ascii="Times New Roman" w:hAnsi="Times New Roman" w:cs="Times New Roman"/>
              </w:rPr>
              <w:t>2009</w:t>
            </w:r>
          </w:p>
        </w:tc>
        <w:tc>
          <w:tcPr>
            <w:tcW w:w="4770" w:type="dxa"/>
            <w:tcBorders>
              <w:top w:val="nil"/>
              <w:left w:val="nil"/>
              <w:bottom w:val="nil"/>
              <w:right w:val="nil"/>
            </w:tcBorders>
          </w:tcPr>
          <w:p w14:paraId="704C05A2" w14:textId="77777777" w:rsidR="0092790C" w:rsidRDefault="0092790C" w:rsidP="006D72B4">
            <w:pPr>
              <w:rPr>
                <w:rFonts w:ascii="Times New Roman" w:hAnsi="Times New Roman" w:cs="Times New Roman"/>
              </w:rPr>
            </w:pPr>
            <w:r>
              <w:rPr>
                <w:rFonts w:ascii="Times New Roman" w:hAnsi="Times New Roman" w:cs="Times New Roman"/>
              </w:rPr>
              <w:t>IAEA</w:t>
            </w:r>
          </w:p>
        </w:tc>
        <w:tc>
          <w:tcPr>
            <w:tcW w:w="3096" w:type="dxa"/>
            <w:tcBorders>
              <w:top w:val="nil"/>
              <w:left w:val="nil"/>
              <w:bottom w:val="nil"/>
              <w:right w:val="nil"/>
            </w:tcBorders>
          </w:tcPr>
          <w:p w14:paraId="2F810386" w14:textId="77777777" w:rsidR="0092790C" w:rsidRDefault="0092790C" w:rsidP="006D72B4">
            <w:pPr>
              <w:rPr>
                <w:rFonts w:ascii="Times New Roman" w:hAnsi="Times New Roman" w:cs="Times New Roman"/>
              </w:rPr>
            </w:pPr>
            <w:r>
              <w:rPr>
                <w:rFonts w:ascii="Times New Roman" w:hAnsi="Times New Roman" w:cs="Times New Roman"/>
              </w:rPr>
              <w:t>Vienna, Austria</w:t>
            </w:r>
          </w:p>
        </w:tc>
      </w:tr>
      <w:tr w:rsidR="0092790C" w14:paraId="163ABCF9" w14:textId="77777777" w:rsidTr="006453EE">
        <w:tc>
          <w:tcPr>
            <w:tcW w:w="1458" w:type="dxa"/>
            <w:tcBorders>
              <w:top w:val="nil"/>
              <w:left w:val="nil"/>
              <w:bottom w:val="nil"/>
              <w:right w:val="nil"/>
            </w:tcBorders>
          </w:tcPr>
          <w:p w14:paraId="220A4FB2" w14:textId="77777777" w:rsidR="0092790C" w:rsidRDefault="0092790C" w:rsidP="006D72B4">
            <w:pPr>
              <w:jc w:val="center"/>
              <w:rPr>
                <w:rFonts w:ascii="Times New Roman" w:hAnsi="Times New Roman" w:cs="Times New Roman"/>
              </w:rPr>
            </w:pPr>
            <w:r>
              <w:rPr>
                <w:rFonts w:ascii="Times New Roman" w:hAnsi="Times New Roman" w:cs="Times New Roman"/>
              </w:rPr>
              <w:t>2010</w:t>
            </w:r>
          </w:p>
        </w:tc>
        <w:tc>
          <w:tcPr>
            <w:tcW w:w="4770" w:type="dxa"/>
            <w:tcBorders>
              <w:top w:val="nil"/>
              <w:left w:val="nil"/>
              <w:bottom w:val="nil"/>
              <w:right w:val="nil"/>
            </w:tcBorders>
          </w:tcPr>
          <w:p w14:paraId="00A03636" w14:textId="77777777" w:rsidR="0092790C" w:rsidRDefault="0092790C" w:rsidP="006D72B4">
            <w:pPr>
              <w:rPr>
                <w:rFonts w:ascii="Times New Roman" w:hAnsi="Times New Roman" w:cs="Times New Roman"/>
              </w:rPr>
            </w:pPr>
            <w:r>
              <w:rPr>
                <w:rFonts w:ascii="Times New Roman" w:hAnsi="Times New Roman" w:cs="Times New Roman"/>
              </w:rPr>
              <w:t>AWE</w:t>
            </w:r>
          </w:p>
        </w:tc>
        <w:tc>
          <w:tcPr>
            <w:tcW w:w="3096" w:type="dxa"/>
            <w:tcBorders>
              <w:top w:val="nil"/>
              <w:left w:val="nil"/>
              <w:bottom w:val="nil"/>
              <w:right w:val="nil"/>
            </w:tcBorders>
          </w:tcPr>
          <w:p w14:paraId="1D4C613A" w14:textId="77777777" w:rsidR="0092790C" w:rsidRDefault="0092790C" w:rsidP="006D72B4">
            <w:pPr>
              <w:rPr>
                <w:rFonts w:ascii="Times New Roman" w:hAnsi="Times New Roman" w:cs="Times New Roman"/>
              </w:rPr>
            </w:pPr>
            <w:r>
              <w:rPr>
                <w:rFonts w:ascii="Times New Roman" w:hAnsi="Times New Roman" w:cs="Times New Roman"/>
              </w:rPr>
              <w:t>Oxford, England</w:t>
            </w:r>
          </w:p>
        </w:tc>
      </w:tr>
      <w:tr w:rsidR="0092790C" w14:paraId="28E8F61C" w14:textId="77777777" w:rsidTr="006453EE">
        <w:tc>
          <w:tcPr>
            <w:tcW w:w="1458" w:type="dxa"/>
            <w:tcBorders>
              <w:top w:val="nil"/>
              <w:left w:val="nil"/>
              <w:bottom w:val="nil"/>
              <w:right w:val="nil"/>
            </w:tcBorders>
          </w:tcPr>
          <w:p w14:paraId="667065B3" w14:textId="77777777" w:rsidR="0092790C" w:rsidRDefault="0092790C" w:rsidP="006D72B4">
            <w:pPr>
              <w:jc w:val="center"/>
              <w:rPr>
                <w:rFonts w:ascii="Times New Roman" w:hAnsi="Times New Roman" w:cs="Times New Roman"/>
              </w:rPr>
            </w:pPr>
            <w:r>
              <w:rPr>
                <w:rFonts w:ascii="Times New Roman" w:hAnsi="Times New Roman" w:cs="Times New Roman"/>
              </w:rPr>
              <w:t>2011</w:t>
            </w:r>
          </w:p>
        </w:tc>
        <w:tc>
          <w:tcPr>
            <w:tcW w:w="4770" w:type="dxa"/>
            <w:tcBorders>
              <w:top w:val="nil"/>
              <w:left w:val="nil"/>
              <w:bottom w:val="nil"/>
              <w:right w:val="nil"/>
            </w:tcBorders>
          </w:tcPr>
          <w:p w14:paraId="00FA5FEE" w14:textId="77777777" w:rsidR="0092790C" w:rsidRDefault="0092790C" w:rsidP="006D72B4">
            <w:pPr>
              <w:rPr>
                <w:rFonts w:ascii="Times New Roman" w:hAnsi="Times New Roman" w:cs="Times New Roman"/>
              </w:rPr>
            </w:pPr>
            <w:r>
              <w:rPr>
                <w:rFonts w:ascii="Times New Roman" w:hAnsi="Times New Roman" w:cs="Times New Roman"/>
              </w:rPr>
              <w:t>Kiev Institute for Nuclear Research (KINR)</w:t>
            </w:r>
          </w:p>
        </w:tc>
        <w:tc>
          <w:tcPr>
            <w:tcW w:w="3096" w:type="dxa"/>
            <w:tcBorders>
              <w:top w:val="nil"/>
              <w:left w:val="nil"/>
              <w:bottom w:val="nil"/>
              <w:right w:val="nil"/>
            </w:tcBorders>
          </w:tcPr>
          <w:p w14:paraId="203EEBCE" w14:textId="77777777" w:rsidR="0092790C" w:rsidRDefault="0092790C" w:rsidP="006D72B4">
            <w:pPr>
              <w:rPr>
                <w:rFonts w:ascii="Times New Roman" w:hAnsi="Times New Roman" w:cs="Times New Roman"/>
              </w:rPr>
            </w:pPr>
            <w:r>
              <w:rPr>
                <w:rFonts w:ascii="Times New Roman" w:hAnsi="Times New Roman" w:cs="Times New Roman"/>
              </w:rPr>
              <w:t>Kyiv, Ukraine</w:t>
            </w:r>
          </w:p>
        </w:tc>
      </w:tr>
      <w:tr w:rsidR="0092790C" w14:paraId="578350B3" w14:textId="77777777" w:rsidTr="006453EE">
        <w:tc>
          <w:tcPr>
            <w:tcW w:w="1458" w:type="dxa"/>
            <w:tcBorders>
              <w:top w:val="nil"/>
              <w:left w:val="nil"/>
              <w:right w:val="nil"/>
            </w:tcBorders>
          </w:tcPr>
          <w:p w14:paraId="0C365EF6" w14:textId="77777777" w:rsidR="0092790C" w:rsidRDefault="0092790C" w:rsidP="006D72B4">
            <w:pPr>
              <w:spacing w:after="120"/>
              <w:jc w:val="center"/>
              <w:rPr>
                <w:rFonts w:ascii="Times New Roman" w:hAnsi="Times New Roman" w:cs="Times New Roman"/>
              </w:rPr>
            </w:pPr>
            <w:r>
              <w:rPr>
                <w:rFonts w:ascii="Times New Roman" w:hAnsi="Times New Roman" w:cs="Times New Roman"/>
              </w:rPr>
              <w:t>2012</w:t>
            </w:r>
          </w:p>
          <w:p w14:paraId="1CE5C9D7" w14:textId="77777777" w:rsidR="00A42C8E" w:rsidRDefault="00A42C8E" w:rsidP="006D72B4">
            <w:pPr>
              <w:spacing w:after="120"/>
              <w:jc w:val="center"/>
              <w:rPr>
                <w:rFonts w:ascii="Times New Roman" w:hAnsi="Times New Roman" w:cs="Times New Roman"/>
              </w:rPr>
            </w:pPr>
            <w:r>
              <w:rPr>
                <w:rFonts w:ascii="Times New Roman" w:hAnsi="Times New Roman" w:cs="Times New Roman"/>
              </w:rPr>
              <w:t>2013</w:t>
            </w:r>
          </w:p>
        </w:tc>
        <w:tc>
          <w:tcPr>
            <w:tcW w:w="4770" w:type="dxa"/>
            <w:tcBorders>
              <w:top w:val="nil"/>
              <w:left w:val="nil"/>
              <w:right w:val="nil"/>
            </w:tcBorders>
          </w:tcPr>
          <w:p w14:paraId="367CFD5B" w14:textId="77777777" w:rsidR="0092790C" w:rsidRDefault="0092790C" w:rsidP="006D72B4">
            <w:pPr>
              <w:spacing w:after="120"/>
              <w:rPr>
                <w:rFonts w:ascii="Times New Roman" w:hAnsi="Times New Roman" w:cs="Times New Roman"/>
              </w:rPr>
            </w:pPr>
            <w:r>
              <w:rPr>
                <w:rFonts w:ascii="Times New Roman" w:hAnsi="Times New Roman" w:cs="Times New Roman"/>
              </w:rPr>
              <w:t>Netherlands Forensics Institute (NFI)</w:t>
            </w:r>
          </w:p>
          <w:p w14:paraId="74106FBF" w14:textId="77777777" w:rsidR="00A42C8E" w:rsidRDefault="00A42C8E" w:rsidP="006D72B4">
            <w:pPr>
              <w:spacing w:after="120"/>
              <w:rPr>
                <w:rFonts w:ascii="Times New Roman" w:hAnsi="Times New Roman" w:cs="Times New Roman"/>
              </w:rPr>
            </w:pPr>
            <w:r>
              <w:rPr>
                <w:rFonts w:ascii="Times New Roman" w:hAnsi="Times New Roman" w:cs="Times New Roman"/>
              </w:rPr>
              <w:t>Rosatom</w:t>
            </w:r>
          </w:p>
        </w:tc>
        <w:tc>
          <w:tcPr>
            <w:tcW w:w="3096" w:type="dxa"/>
            <w:tcBorders>
              <w:top w:val="nil"/>
              <w:left w:val="nil"/>
              <w:right w:val="nil"/>
            </w:tcBorders>
          </w:tcPr>
          <w:p w14:paraId="359BF942" w14:textId="77777777" w:rsidR="0092790C" w:rsidRDefault="0092790C" w:rsidP="006D72B4">
            <w:pPr>
              <w:spacing w:after="120"/>
              <w:rPr>
                <w:rFonts w:ascii="Times New Roman" w:hAnsi="Times New Roman" w:cs="Times New Roman"/>
              </w:rPr>
            </w:pPr>
            <w:r>
              <w:rPr>
                <w:rFonts w:ascii="Times New Roman" w:hAnsi="Times New Roman" w:cs="Times New Roman"/>
              </w:rPr>
              <w:t>The Hague, The Netherlands</w:t>
            </w:r>
          </w:p>
          <w:p w14:paraId="3BB63105" w14:textId="77777777" w:rsidR="00A42C8E" w:rsidRDefault="00A42C8E" w:rsidP="006D72B4">
            <w:pPr>
              <w:spacing w:after="120"/>
              <w:rPr>
                <w:rFonts w:ascii="Times New Roman" w:hAnsi="Times New Roman" w:cs="Times New Roman"/>
              </w:rPr>
            </w:pPr>
            <w:r>
              <w:rPr>
                <w:rFonts w:ascii="Times New Roman" w:hAnsi="Times New Roman" w:cs="Times New Roman"/>
              </w:rPr>
              <w:t>St. Petersburg, Russia</w:t>
            </w:r>
          </w:p>
        </w:tc>
      </w:tr>
    </w:tbl>
    <w:p w14:paraId="63BBD298" w14:textId="77777777" w:rsidR="0092790C" w:rsidRDefault="0092790C" w:rsidP="0092790C">
      <w:pPr>
        <w:rPr>
          <w:rFonts w:ascii="Times New Roman" w:hAnsi="Times New Roman" w:cs="Times New Roman"/>
        </w:rPr>
      </w:pPr>
    </w:p>
    <w:p w14:paraId="378AFCD1" w14:textId="77777777" w:rsidR="006453EE" w:rsidRDefault="007B409A" w:rsidP="006453EE">
      <w:pPr>
        <w:jc w:val="both"/>
        <w:rPr>
          <w:rFonts w:ascii="Times New Roman" w:hAnsi="Times New Roman" w:cs="Times New Roman"/>
        </w:rPr>
      </w:pPr>
      <w:r>
        <w:rPr>
          <w:rFonts w:ascii="Times New Roman" w:hAnsi="Times New Roman" w:cs="Times New Roman"/>
        </w:rPr>
        <w:t>The organizers of the ITWG also recognized that meeting on an informal basis afforded an opportunity for more candid discussions than might have been possible for events associated with governments, industries or international organizations.</w:t>
      </w:r>
    </w:p>
    <w:p w14:paraId="6A11B178" w14:textId="77777777" w:rsidR="007B409A" w:rsidRDefault="007B409A" w:rsidP="006453EE">
      <w:pPr>
        <w:jc w:val="both"/>
        <w:rPr>
          <w:rFonts w:ascii="Times New Roman" w:hAnsi="Times New Roman" w:cs="Times New Roman"/>
        </w:rPr>
      </w:pPr>
    </w:p>
    <w:p w14:paraId="43D236BD" w14:textId="77777777" w:rsidR="006453EE" w:rsidRDefault="006453EE" w:rsidP="006453EE">
      <w:pPr>
        <w:jc w:val="both"/>
        <w:rPr>
          <w:rFonts w:ascii="Times New Roman" w:hAnsi="Times New Roman" w:cs="Times New Roman"/>
        </w:rPr>
      </w:pPr>
      <w:r>
        <w:rPr>
          <w:rFonts w:ascii="Times New Roman" w:hAnsi="Times New Roman" w:cs="Times New Roman"/>
        </w:rPr>
        <w:t xml:space="preserve">ITWG annual meetings have followed a similar format. Each meeting has a host organization that is involved in some aspect of nuclear forensics, and the ITWG is deeply appreciative of the support given by these host organizations. </w:t>
      </w:r>
      <w:r w:rsidR="00A42C8E">
        <w:rPr>
          <w:rFonts w:ascii="Times New Roman" w:hAnsi="Times New Roman" w:cs="Times New Roman"/>
        </w:rPr>
        <w:t>The 2014 annual meeting will be held immediately following the IAEA Nuclear Forensics Conference in July 2014 in Vienna.</w:t>
      </w:r>
    </w:p>
    <w:p w14:paraId="728ACAF2" w14:textId="77777777" w:rsidR="006453EE" w:rsidRDefault="006453EE" w:rsidP="0092790C">
      <w:pPr>
        <w:jc w:val="both"/>
        <w:rPr>
          <w:rFonts w:ascii="Times New Roman" w:hAnsi="Times New Roman" w:cs="Times New Roman"/>
        </w:rPr>
      </w:pPr>
    </w:p>
    <w:p w14:paraId="5198A165" w14:textId="77777777" w:rsidR="0092790C" w:rsidRDefault="0092790C" w:rsidP="0092790C">
      <w:pPr>
        <w:jc w:val="both"/>
        <w:rPr>
          <w:rFonts w:ascii="Times New Roman" w:hAnsi="Times New Roman" w:cs="Times New Roman"/>
        </w:rPr>
      </w:pPr>
      <w:r>
        <w:rPr>
          <w:rFonts w:ascii="Times New Roman" w:hAnsi="Times New Roman" w:cs="Times New Roman"/>
        </w:rPr>
        <w:t>The meeting itself is conducted over a period of 3 to 3.5 days. The format of the meeting has involved a mixture of plenary sessions, task group meetings, and other break-out sessions on special topics. The plenary sessions are a mixture of reports from groups and organizations involved in nuclear forensics, such as the IAEA, INTERPOL, the Nuclear Security Summit, and the Nuclear Forensics Working Group of the Global Initiative to Combat Nuclear Terrorism (GICNT), and technical papers.</w:t>
      </w:r>
    </w:p>
    <w:p w14:paraId="677486B7" w14:textId="77777777" w:rsidR="0092790C" w:rsidRDefault="0092790C" w:rsidP="00841CC1">
      <w:pPr>
        <w:jc w:val="both"/>
        <w:rPr>
          <w:rFonts w:ascii="Times New Roman" w:hAnsi="Times New Roman" w:cs="Times New Roman"/>
        </w:rPr>
      </w:pPr>
    </w:p>
    <w:p w14:paraId="7C611150" w14:textId="77777777" w:rsidR="00766F8F" w:rsidRDefault="009E25F8" w:rsidP="00841CC1">
      <w:pPr>
        <w:jc w:val="both"/>
        <w:rPr>
          <w:rFonts w:ascii="Times New Roman" w:hAnsi="Times New Roman" w:cs="Times New Roman"/>
        </w:rPr>
      </w:pPr>
      <w:r>
        <w:rPr>
          <w:rFonts w:ascii="Times New Roman" w:hAnsi="Times New Roman" w:cs="Times New Roman"/>
        </w:rPr>
        <w:t xml:space="preserve">Interest in the ITWG annual meetings has been gratifying. For example, the annual meetings in 2010, 2011 and 2012 were </w:t>
      </w:r>
      <w:r w:rsidR="00766F8F">
        <w:rPr>
          <w:rFonts w:ascii="Times New Roman" w:hAnsi="Times New Roman" w:cs="Times New Roman"/>
        </w:rPr>
        <w:t xml:space="preserve">each </w:t>
      </w:r>
      <w:r>
        <w:rPr>
          <w:rFonts w:ascii="Times New Roman" w:hAnsi="Times New Roman" w:cs="Times New Roman"/>
        </w:rPr>
        <w:t xml:space="preserve">attended by </w:t>
      </w:r>
      <w:r w:rsidR="00766F8F">
        <w:rPr>
          <w:rFonts w:ascii="Times New Roman" w:hAnsi="Times New Roman" w:cs="Times New Roman"/>
        </w:rPr>
        <w:t xml:space="preserve">representatives from more than 30 nations and 5 international intergovernmental organizations. In total, these three meetings reached an audience of nearly 280, demonstrating the extent to which interest in nuclear forensics has grown since the founding of ITWG in 1995. </w:t>
      </w:r>
    </w:p>
    <w:p w14:paraId="32E22D6A" w14:textId="77777777" w:rsidR="00386AC4" w:rsidRDefault="00386AC4" w:rsidP="00841CC1">
      <w:pPr>
        <w:jc w:val="both"/>
        <w:rPr>
          <w:rFonts w:ascii="Times New Roman" w:hAnsi="Times New Roman" w:cs="Times New Roman"/>
        </w:rPr>
      </w:pPr>
    </w:p>
    <w:p w14:paraId="29F4FF05" w14:textId="77777777" w:rsidR="000D2F57" w:rsidRPr="000D2F57" w:rsidRDefault="000D2F57" w:rsidP="00841CC1">
      <w:pPr>
        <w:jc w:val="both"/>
        <w:rPr>
          <w:rFonts w:ascii="Times New Roman" w:hAnsi="Times New Roman" w:cs="Times New Roman"/>
          <w:b/>
        </w:rPr>
      </w:pPr>
      <w:r w:rsidRPr="000D2F57">
        <w:rPr>
          <w:rFonts w:ascii="Times New Roman" w:hAnsi="Times New Roman" w:cs="Times New Roman"/>
          <w:b/>
        </w:rPr>
        <w:t>4. Summary</w:t>
      </w:r>
    </w:p>
    <w:p w14:paraId="36E82F8B" w14:textId="77777777" w:rsidR="00766F8F" w:rsidRDefault="00766F8F">
      <w:pPr>
        <w:rPr>
          <w:rFonts w:ascii="Times New Roman" w:hAnsi="Times New Roman" w:cs="Times New Roman"/>
        </w:rPr>
      </w:pPr>
    </w:p>
    <w:p w14:paraId="0474C157" w14:textId="77777777" w:rsidR="00766F8F" w:rsidRDefault="00F56653" w:rsidP="00F56653">
      <w:pPr>
        <w:jc w:val="both"/>
        <w:rPr>
          <w:rFonts w:ascii="Times New Roman" w:hAnsi="Times New Roman" w:cs="Times New Roman"/>
        </w:rPr>
      </w:pPr>
      <w:r>
        <w:rPr>
          <w:rFonts w:ascii="Times New Roman" w:hAnsi="Times New Roman" w:cs="Times New Roman"/>
        </w:rPr>
        <w:t xml:space="preserve">The ITWG offers the international community an informal means of sharing information and ideas regarding best practices for the conduct of nuclear forensics, spanning the scope of activities from evidence collection through reporting of results. </w:t>
      </w:r>
      <w:r w:rsidR="00F67F7B">
        <w:rPr>
          <w:rFonts w:ascii="Times New Roman" w:hAnsi="Times New Roman" w:cs="Times New Roman"/>
        </w:rPr>
        <w:t xml:space="preserve">It also provides a means for collaborating to identify </w:t>
      </w:r>
      <w:r w:rsidR="00F67F7B">
        <w:rPr>
          <w:rFonts w:ascii="Times New Roman" w:hAnsi="Times New Roman" w:cs="Times New Roman"/>
        </w:rPr>
        <w:lastRenderedPageBreak/>
        <w:t>these same best practices and to conduct exercises that demonstrate where such practices satisfy expectations and where improvements are needed. The ITWG welcomes broadened participation in its activities on the part of competent and qualified practitioners of nuclear forensics.</w:t>
      </w:r>
    </w:p>
    <w:p w14:paraId="0E29D1EB" w14:textId="77777777" w:rsidR="006453EE" w:rsidRDefault="006453EE" w:rsidP="00F56653">
      <w:pPr>
        <w:jc w:val="both"/>
        <w:rPr>
          <w:rFonts w:ascii="Times New Roman" w:hAnsi="Times New Roman" w:cs="Times New Roman"/>
        </w:rPr>
      </w:pPr>
    </w:p>
    <w:p w14:paraId="7566D765" w14:textId="77777777" w:rsidR="00766F8F" w:rsidRDefault="00766F8F" w:rsidP="00766F8F">
      <w:pPr>
        <w:jc w:val="center"/>
        <w:rPr>
          <w:rFonts w:ascii="Times New Roman" w:hAnsi="Times New Roman" w:cs="Times New Roman"/>
        </w:rPr>
      </w:pPr>
      <w:r>
        <w:rPr>
          <w:rFonts w:ascii="Times New Roman" w:hAnsi="Times New Roman" w:cs="Times New Roman"/>
          <w:b/>
        </w:rPr>
        <w:t>REFERENCES</w:t>
      </w:r>
    </w:p>
    <w:p w14:paraId="05623249" w14:textId="77777777" w:rsidR="00766F8F" w:rsidRDefault="00766F8F" w:rsidP="00766F8F">
      <w:pPr>
        <w:jc w:val="center"/>
        <w:rPr>
          <w:rFonts w:ascii="Times New Roman" w:hAnsi="Times New Roman" w:cs="Times New Roman"/>
        </w:rPr>
      </w:pPr>
    </w:p>
    <w:p w14:paraId="232FBFE9" w14:textId="77777777" w:rsidR="00766F8F" w:rsidRPr="00796AE1" w:rsidRDefault="00766F8F" w:rsidP="00766F8F">
      <w:pPr>
        <w:ind w:left="562" w:hanging="562"/>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NUCLEAR FORENSICS INTERNATIONAL TECHNICAL WORKING GROUP, Guidelines for Evidence Collection in a Radiological or Nuclear Contaminated Crime Scene, 06 June 2011.</w:t>
      </w:r>
    </w:p>
    <w:p w14:paraId="79E2199E" w14:textId="77777777" w:rsidR="00766F8F" w:rsidRDefault="00766F8F" w:rsidP="00766F8F">
      <w:pPr>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NUCLEAR FORENSICS INTERNATIONAL TECHNICAL WORKING GROUP, Round Robin 3 Exercise After Action and Lessons Learned Report, PNNL-20079, Pacific Northwest National Laboratories, Richland, Washington, 25 April, 2011.</w:t>
      </w:r>
    </w:p>
    <w:p w14:paraId="71FDC9A4" w14:textId="77777777" w:rsidR="00766F8F" w:rsidRDefault="00766F8F" w:rsidP="00766F8F">
      <w:pPr>
        <w:ind w:left="562" w:hanging="562"/>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NUCLEAR FORENSICS INTERNATIONAL TECHNICAL WORKING GROUP, Proposed Framework for National Nuclear Forensics Libraries and International Directories, PNNL-SA-70589, Pacific Northwest National Laboratories, Richland, Washington, 08 June 2011.</w:t>
      </w:r>
    </w:p>
    <w:p w14:paraId="302D9389" w14:textId="77777777" w:rsidR="00766F8F" w:rsidRDefault="00766F8F" w:rsidP="00766F8F">
      <w:pPr>
        <w:ind w:left="562" w:hanging="562"/>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796AE1">
        <w:rPr>
          <w:rFonts w:ascii="Times New Roman" w:hAnsi="Times New Roman" w:cs="Times New Roman"/>
        </w:rPr>
        <w:t xml:space="preserve">UNITED NATIONS OFFICE ON DRUGS AND CRIME, </w:t>
      </w:r>
      <w:r w:rsidRPr="00796AE1">
        <w:rPr>
          <w:rFonts w:ascii="Times New Roman" w:hAnsi="Times New Roman" w:cs="Times New Roman"/>
          <w:iCs/>
        </w:rPr>
        <w:t xml:space="preserve">Policing. Forensic </w:t>
      </w:r>
      <w:r>
        <w:rPr>
          <w:rFonts w:ascii="Times New Roman" w:hAnsi="Times New Roman" w:cs="Times New Roman"/>
          <w:iCs/>
        </w:rPr>
        <w:t>S</w:t>
      </w:r>
      <w:r w:rsidRPr="00796AE1">
        <w:rPr>
          <w:rFonts w:ascii="Times New Roman" w:hAnsi="Times New Roman" w:cs="Times New Roman"/>
          <w:iCs/>
        </w:rPr>
        <w:t xml:space="preserve">ervices and </w:t>
      </w:r>
      <w:r>
        <w:rPr>
          <w:rFonts w:ascii="Times New Roman" w:hAnsi="Times New Roman" w:cs="Times New Roman"/>
          <w:iCs/>
        </w:rPr>
        <w:t>Infrastructure. Criminal J</w:t>
      </w:r>
      <w:r w:rsidRPr="00796AE1">
        <w:rPr>
          <w:rFonts w:ascii="Times New Roman" w:hAnsi="Times New Roman" w:cs="Times New Roman"/>
          <w:iCs/>
        </w:rPr>
        <w:t xml:space="preserve">ustice </w:t>
      </w:r>
      <w:r>
        <w:rPr>
          <w:rFonts w:ascii="Times New Roman" w:hAnsi="Times New Roman" w:cs="Times New Roman"/>
          <w:iCs/>
        </w:rPr>
        <w:t>A</w:t>
      </w:r>
      <w:r w:rsidRPr="00796AE1">
        <w:rPr>
          <w:rFonts w:ascii="Times New Roman" w:hAnsi="Times New Roman" w:cs="Times New Roman"/>
          <w:iCs/>
        </w:rPr>
        <w:t xml:space="preserve">ssessment </w:t>
      </w:r>
      <w:r>
        <w:rPr>
          <w:rFonts w:ascii="Times New Roman" w:hAnsi="Times New Roman" w:cs="Times New Roman"/>
          <w:iCs/>
        </w:rPr>
        <w:t>T</w:t>
      </w:r>
      <w:r w:rsidRPr="00796AE1">
        <w:rPr>
          <w:rFonts w:ascii="Times New Roman" w:hAnsi="Times New Roman" w:cs="Times New Roman"/>
          <w:iCs/>
        </w:rPr>
        <w:t>oolkit</w:t>
      </w:r>
      <w:r>
        <w:rPr>
          <w:rFonts w:ascii="Times New Roman" w:hAnsi="Times New Roman" w:cs="Times New Roman"/>
          <w:iCs/>
        </w:rPr>
        <w:t xml:space="preserve">, </w:t>
      </w:r>
      <w:r w:rsidRPr="00796AE1">
        <w:rPr>
          <w:rFonts w:ascii="Times New Roman" w:hAnsi="Times New Roman" w:cs="Times New Roman"/>
        </w:rPr>
        <w:t>United Nations</w:t>
      </w:r>
      <w:r>
        <w:rPr>
          <w:rFonts w:ascii="Times New Roman" w:hAnsi="Times New Roman" w:cs="Times New Roman"/>
        </w:rPr>
        <w:t>, New York, 2010</w:t>
      </w:r>
      <w:r w:rsidRPr="00796AE1">
        <w:rPr>
          <w:rFonts w:ascii="Times New Roman" w:hAnsi="Times New Roman" w:cs="Times New Roman"/>
        </w:rPr>
        <w:t>.</w:t>
      </w:r>
    </w:p>
    <w:p w14:paraId="5F81CB74" w14:textId="77777777" w:rsidR="00766F8F" w:rsidRDefault="00766F8F" w:rsidP="00766F8F">
      <w:pPr>
        <w:ind w:left="562" w:hanging="562"/>
        <w:jc w:val="both"/>
        <w:rPr>
          <w:rFonts w:ascii="Times New Roman" w:hAnsi="Times New Roman" w:cs="Times New Roman"/>
        </w:rPr>
      </w:pPr>
    </w:p>
    <w:p w14:paraId="1167156F" w14:textId="77777777" w:rsidR="000C62BB" w:rsidRDefault="000C62BB" w:rsidP="000C62BB">
      <w:pPr>
        <w:rPr>
          <w:rFonts w:ascii="Times New Roman" w:hAnsi="Times New Roman" w:cs="Times New Roman"/>
        </w:rPr>
      </w:pPr>
    </w:p>
    <w:p w14:paraId="3AADF334" w14:textId="77777777" w:rsidR="00841CC1" w:rsidRDefault="00841CC1" w:rsidP="00841CC1">
      <w:pPr>
        <w:jc w:val="both"/>
        <w:rPr>
          <w:rFonts w:ascii="Times New Roman" w:hAnsi="Times New Roman" w:cs="Times New Roman"/>
        </w:rPr>
      </w:pPr>
    </w:p>
    <w:p w14:paraId="3E57EE5A" w14:textId="77777777" w:rsidR="00766F8F" w:rsidRPr="00796AE1" w:rsidRDefault="00766F8F" w:rsidP="00766F8F">
      <w:pPr>
        <w:rPr>
          <w:rFonts w:ascii="Times New Roman" w:hAnsi="Times New Roman" w:cs="Times New Roman"/>
        </w:rPr>
      </w:pPr>
    </w:p>
    <w:sectPr w:rsidR="00766F8F" w:rsidRPr="00796AE1" w:rsidSect="00645FF7">
      <w:footerReference w:type="even" r:id="rId13"/>
      <w:footerReference w:type="default" r:id="rId14"/>
      <w:pgSz w:w="11907" w:h="16839" w:code="9"/>
      <w:pgMar w:top="1134" w:right="1418" w:bottom="153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9DD0E" w14:textId="77777777" w:rsidR="00B30BE5" w:rsidRDefault="00B30BE5" w:rsidP="00645FF7">
      <w:r>
        <w:separator/>
      </w:r>
    </w:p>
  </w:endnote>
  <w:endnote w:type="continuationSeparator" w:id="0">
    <w:p w14:paraId="4A5982A0" w14:textId="77777777" w:rsidR="00B30BE5" w:rsidRDefault="00B30BE5" w:rsidP="0064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5737"/>
      <w:docPartObj>
        <w:docPartGallery w:val="Page Numbers (Bottom of Page)"/>
        <w:docPartUnique/>
      </w:docPartObj>
    </w:sdtPr>
    <w:sdtEndPr/>
    <w:sdtContent>
      <w:p w14:paraId="64B4F0EA" w14:textId="77777777" w:rsidR="006D72B4" w:rsidRDefault="00623D65">
        <w:pPr>
          <w:pStyle w:val="Footer"/>
        </w:pPr>
        <w:r w:rsidRPr="00B267DC">
          <w:rPr>
            <w:rFonts w:ascii="Times New Roman" w:hAnsi="Times New Roman" w:cs="Times New Roman"/>
          </w:rPr>
          <w:fldChar w:fldCharType="begin"/>
        </w:r>
        <w:r w:rsidR="006D72B4" w:rsidRPr="00B267DC">
          <w:rPr>
            <w:rFonts w:ascii="Times New Roman" w:hAnsi="Times New Roman" w:cs="Times New Roman"/>
          </w:rPr>
          <w:instrText xml:space="preserve"> PAGE   \* MERGEFORMAT </w:instrText>
        </w:r>
        <w:r w:rsidRPr="00B267DC">
          <w:rPr>
            <w:rFonts w:ascii="Times New Roman" w:hAnsi="Times New Roman" w:cs="Times New Roman"/>
          </w:rPr>
          <w:fldChar w:fldCharType="separate"/>
        </w:r>
        <w:r w:rsidR="00387F1F">
          <w:rPr>
            <w:rFonts w:ascii="Times New Roman" w:hAnsi="Times New Roman" w:cs="Times New Roman"/>
            <w:noProof/>
          </w:rPr>
          <w:t>2</w:t>
        </w:r>
        <w:r w:rsidRPr="00B267DC">
          <w:rPr>
            <w:rFonts w:ascii="Times New Roman" w:hAnsi="Times New Roman" w:cs="Times New Roman"/>
          </w:rPr>
          <w:fldChar w:fldCharType="end"/>
        </w:r>
      </w:p>
    </w:sdtContent>
  </w:sdt>
  <w:p w14:paraId="0C8B2DE2" w14:textId="77777777" w:rsidR="006D72B4" w:rsidRDefault="006D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5735"/>
      <w:docPartObj>
        <w:docPartGallery w:val="Page Numbers (Bottom of Page)"/>
        <w:docPartUnique/>
      </w:docPartObj>
    </w:sdtPr>
    <w:sdtEndPr/>
    <w:sdtContent>
      <w:p w14:paraId="10A2E67C" w14:textId="77777777" w:rsidR="006D72B4" w:rsidRDefault="00623D65" w:rsidP="00841CC1">
        <w:pPr>
          <w:pStyle w:val="Footer"/>
          <w:jc w:val="right"/>
        </w:pPr>
        <w:r w:rsidRPr="00645FF7">
          <w:rPr>
            <w:rFonts w:ascii="Times New Roman" w:hAnsi="Times New Roman" w:cs="Times New Roman"/>
          </w:rPr>
          <w:fldChar w:fldCharType="begin"/>
        </w:r>
        <w:r w:rsidR="006D72B4" w:rsidRPr="00645FF7">
          <w:rPr>
            <w:rFonts w:ascii="Times New Roman" w:hAnsi="Times New Roman" w:cs="Times New Roman"/>
          </w:rPr>
          <w:instrText xml:space="preserve"> PAGE   \* MERGEFORMAT </w:instrText>
        </w:r>
        <w:r w:rsidRPr="00645FF7">
          <w:rPr>
            <w:rFonts w:ascii="Times New Roman" w:hAnsi="Times New Roman" w:cs="Times New Roman"/>
          </w:rPr>
          <w:fldChar w:fldCharType="separate"/>
        </w:r>
        <w:r w:rsidR="00387F1F">
          <w:rPr>
            <w:rFonts w:ascii="Times New Roman" w:hAnsi="Times New Roman" w:cs="Times New Roman"/>
            <w:noProof/>
          </w:rPr>
          <w:t>1</w:t>
        </w:r>
        <w:r w:rsidRPr="00645FF7">
          <w:rPr>
            <w:rFonts w:ascii="Times New Roman" w:hAnsi="Times New Roman" w:cs="Times New Roman"/>
          </w:rPr>
          <w:fldChar w:fldCharType="end"/>
        </w:r>
      </w:p>
    </w:sdtContent>
  </w:sdt>
  <w:p w14:paraId="5470DD57" w14:textId="77777777" w:rsidR="006D72B4" w:rsidRDefault="006D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EE559" w14:textId="77777777" w:rsidR="00B30BE5" w:rsidRDefault="00B30BE5" w:rsidP="00645FF7">
      <w:r>
        <w:separator/>
      </w:r>
    </w:p>
  </w:footnote>
  <w:footnote w:type="continuationSeparator" w:id="0">
    <w:p w14:paraId="3FF3AADA" w14:textId="77777777" w:rsidR="00B30BE5" w:rsidRDefault="00B30BE5" w:rsidP="0064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6E69"/>
    <w:multiLevelType w:val="hybridMultilevel"/>
    <w:tmpl w:val="C286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846B7"/>
    <w:multiLevelType w:val="hybridMultilevel"/>
    <w:tmpl w:val="15801AE6"/>
    <w:lvl w:ilvl="0" w:tplc="EF38F322">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2A27"/>
    <w:multiLevelType w:val="hybridMultilevel"/>
    <w:tmpl w:val="5FF23EB6"/>
    <w:lvl w:ilvl="0" w:tplc="1DFE0148">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E4E57"/>
    <w:multiLevelType w:val="hybridMultilevel"/>
    <w:tmpl w:val="6F2A0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B266E"/>
    <w:multiLevelType w:val="hybridMultilevel"/>
    <w:tmpl w:val="F7BED448"/>
    <w:lvl w:ilvl="0" w:tplc="5BF2C82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44295"/>
    <w:multiLevelType w:val="hybridMultilevel"/>
    <w:tmpl w:val="82405D78"/>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EC22BF"/>
    <w:multiLevelType w:val="hybridMultilevel"/>
    <w:tmpl w:val="EA56AA14"/>
    <w:lvl w:ilvl="0" w:tplc="35E62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60B50"/>
    <w:multiLevelType w:val="hybridMultilevel"/>
    <w:tmpl w:val="7690F9F2"/>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F504C"/>
    <w:multiLevelType w:val="hybridMultilevel"/>
    <w:tmpl w:val="5292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AE4601"/>
    <w:multiLevelType w:val="hybridMultilevel"/>
    <w:tmpl w:val="A29247E4"/>
    <w:lvl w:ilvl="0" w:tplc="1DFE0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B665F3"/>
    <w:multiLevelType w:val="hybridMultilevel"/>
    <w:tmpl w:val="5978E24A"/>
    <w:lvl w:ilvl="0" w:tplc="18D02E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E4749"/>
    <w:multiLevelType w:val="hybridMultilevel"/>
    <w:tmpl w:val="004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C5875"/>
    <w:multiLevelType w:val="hybridMultilevel"/>
    <w:tmpl w:val="7806F8C6"/>
    <w:lvl w:ilvl="0" w:tplc="1DFE0148">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0"/>
  </w:num>
  <w:num w:numId="2">
    <w:abstractNumId w:val="3"/>
  </w:num>
  <w:num w:numId="3">
    <w:abstractNumId w:val="8"/>
  </w:num>
  <w:num w:numId="4">
    <w:abstractNumId w:val="5"/>
  </w:num>
  <w:num w:numId="5">
    <w:abstractNumId w:val="11"/>
  </w:num>
  <w:num w:numId="6">
    <w:abstractNumId w:val="4"/>
  </w:num>
  <w:num w:numId="7">
    <w:abstractNumId w:val="9"/>
  </w:num>
  <w:num w:numId="8">
    <w:abstractNumId w:val="7"/>
  </w:num>
  <w:num w:numId="9">
    <w:abstractNumId w:val="2"/>
  </w:num>
  <w:num w:numId="10">
    <w:abstractNumId w:val="6"/>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5FF7"/>
    <w:rsid w:val="00010891"/>
    <w:rsid w:val="000855F3"/>
    <w:rsid w:val="000C6212"/>
    <w:rsid w:val="000C62BB"/>
    <w:rsid w:val="000D2F57"/>
    <w:rsid w:val="0011412C"/>
    <w:rsid w:val="00166256"/>
    <w:rsid w:val="00184383"/>
    <w:rsid w:val="001900EE"/>
    <w:rsid w:val="001D06CB"/>
    <w:rsid w:val="001F3E2D"/>
    <w:rsid w:val="002157BC"/>
    <w:rsid w:val="002726AC"/>
    <w:rsid w:val="00272F64"/>
    <w:rsid w:val="00316C47"/>
    <w:rsid w:val="00386AC4"/>
    <w:rsid w:val="00387F1F"/>
    <w:rsid w:val="004178A0"/>
    <w:rsid w:val="004217C4"/>
    <w:rsid w:val="004419F7"/>
    <w:rsid w:val="004A35EA"/>
    <w:rsid w:val="004C4E52"/>
    <w:rsid w:val="004C5A53"/>
    <w:rsid w:val="005170A8"/>
    <w:rsid w:val="00517608"/>
    <w:rsid w:val="00581BC8"/>
    <w:rsid w:val="00590CA8"/>
    <w:rsid w:val="005A2B69"/>
    <w:rsid w:val="005C62DF"/>
    <w:rsid w:val="00623D65"/>
    <w:rsid w:val="006453EE"/>
    <w:rsid w:val="00645FF7"/>
    <w:rsid w:val="00665FC3"/>
    <w:rsid w:val="0068073E"/>
    <w:rsid w:val="00681D2A"/>
    <w:rsid w:val="00690AA9"/>
    <w:rsid w:val="006D72B4"/>
    <w:rsid w:val="00766F8F"/>
    <w:rsid w:val="00767BAA"/>
    <w:rsid w:val="007712CB"/>
    <w:rsid w:val="00796AE1"/>
    <w:rsid w:val="007B409A"/>
    <w:rsid w:val="007E651F"/>
    <w:rsid w:val="00813EBE"/>
    <w:rsid w:val="00841CC1"/>
    <w:rsid w:val="008832AD"/>
    <w:rsid w:val="008839EC"/>
    <w:rsid w:val="008B3F8E"/>
    <w:rsid w:val="008D6469"/>
    <w:rsid w:val="00921214"/>
    <w:rsid w:val="0092790C"/>
    <w:rsid w:val="00940DBB"/>
    <w:rsid w:val="00996E4D"/>
    <w:rsid w:val="009B4221"/>
    <w:rsid w:val="009E25F8"/>
    <w:rsid w:val="00A14738"/>
    <w:rsid w:val="00A42C8E"/>
    <w:rsid w:val="00A706CD"/>
    <w:rsid w:val="00AD0450"/>
    <w:rsid w:val="00AE3906"/>
    <w:rsid w:val="00AF59CB"/>
    <w:rsid w:val="00B267DC"/>
    <w:rsid w:val="00B30BE5"/>
    <w:rsid w:val="00B3121F"/>
    <w:rsid w:val="00B521D6"/>
    <w:rsid w:val="00B576F1"/>
    <w:rsid w:val="00B84018"/>
    <w:rsid w:val="00B90A5C"/>
    <w:rsid w:val="00BC4278"/>
    <w:rsid w:val="00BD6747"/>
    <w:rsid w:val="00BF48C8"/>
    <w:rsid w:val="00C42758"/>
    <w:rsid w:val="00D339B7"/>
    <w:rsid w:val="00D81B60"/>
    <w:rsid w:val="00D92B75"/>
    <w:rsid w:val="00E33E48"/>
    <w:rsid w:val="00E4615A"/>
    <w:rsid w:val="00E67776"/>
    <w:rsid w:val="00EB2FA9"/>
    <w:rsid w:val="00EE4761"/>
    <w:rsid w:val="00EF61C5"/>
    <w:rsid w:val="00F4735F"/>
    <w:rsid w:val="00F56653"/>
    <w:rsid w:val="00F67F7B"/>
    <w:rsid w:val="00F77D0A"/>
    <w:rsid w:val="00F92F84"/>
    <w:rsid w:val="00F943AB"/>
    <w:rsid w:val="00F948D8"/>
    <w:rsid w:val="00FC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FF7"/>
    <w:pPr>
      <w:tabs>
        <w:tab w:val="center" w:pos="4680"/>
        <w:tab w:val="right" w:pos="9360"/>
      </w:tabs>
    </w:pPr>
  </w:style>
  <w:style w:type="character" w:customStyle="1" w:styleId="HeaderChar">
    <w:name w:val="Header Char"/>
    <w:basedOn w:val="DefaultParagraphFont"/>
    <w:link w:val="Header"/>
    <w:uiPriority w:val="99"/>
    <w:semiHidden/>
    <w:rsid w:val="00645FF7"/>
  </w:style>
  <w:style w:type="paragraph" w:styleId="Footer">
    <w:name w:val="footer"/>
    <w:basedOn w:val="Normal"/>
    <w:link w:val="FooterChar"/>
    <w:uiPriority w:val="99"/>
    <w:unhideWhenUsed/>
    <w:rsid w:val="00645FF7"/>
    <w:pPr>
      <w:tabs>
        <w:tab w:val="center" w:pos="4680"/>
        <w:tab w:val="right" w:pos="9360"/>
      </w:tabs>
    </w:pPr>
  </w:style>
  <w:style w:type="character" w:customStyle="1" w:styleId="FooterChar">
    <w:name w:val="Footer Char"/>
    <w:basedOn w:val="DefaultParagraphFont"/>
    <w:link w:val="Footer"/>
    <w:uiPriority w:val="99"/>
    <w:rsid w:val="00645FF7"/>
  </w:style>
  <w:style w:type="character" w:customStyle="1" w:styleId="apple-converted-space">
    <w:name w:val="apple-converted-space"/>
    <w:rsid w:val="00BD6747"/>
  </w:style>
  <w:style w:type="character" w:customStyle="1" w:styleId="xgrame">
    <w:name w:val="x_grame"/>
    <w:rsid w:val="00BD6747"/>
  </w:style>
  <w:style w:type="paragraph" w:styleId="ListParagraph">
    <w:name w:val="List Paragraph"/>
    <w:basedOn w:val="Normal"/>
    <w:uiPriority w:val="34"/>
    <w:qFormat/>
    <w:rsid w:val="00841CC1"/>
    <w:pPr>
      <w:ind w:left="720"/>
      <w:contextualSpacing/>
    </w:pPr>
  </w:style>
  <w:style w:type="table" w:styleId="TableGrid">
    <w:name w:val="Table Grid"/>
    <w:basedOn w:val="TableNormal"/>
    <w:uiPriority w:val="59"/>
    <w:rsid w:val="000C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AC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72F64"/>
    <w:pPr>
      <w:spacing w:before="100" w:beforeAutospacing="1" w:after="27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CA8"/>
    <w:rPr>
      <w:color w:val="0000FF" w:themeColor="hyperlink"/>
      <w:u w:val="single"/>
    </w:rPr>
  </w:style>
  <w:style w:type="paragraph" w:styleId="BalloonText">
    <w:name w:val="Balloon Text"/>
    <w:basedOn w:val="Normal"/>
    <w:link w:val="BalloonTextChar"/>
    <w:uiPriority w:val="99"/>
    <w:semiHidden/>
    <w:unhideWhenUsed/>
    <w:rsid w:val="004178A0"/>
    <w:rPr>
      <w:rFonts w:ascii="Tahoma" w:hAnsi="Tahoma" w:cs="Tahoma"/>
      <w:sz w:val="16"/>
      <w:szCs w:val="16"/>
    </w:rPr>
  </w:style>
  <w:style w:type="character" w:customStyle="1" w:styleId="BalloonTextChar">
    <w:name w:val="Balloon Text Char"/>
    <w:basedOn w:val="DefaultParagraphFont"/>
    <w:link w:val="BalloonText"/>
    <w:uiPriority w:val="99"/>
    <w:semiHidden/>
    <w:rsid w:val="00417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FF7"/>
    <w:pPr>
      <w:tabs>
        <w:tab w:val="center" w:pos="4680"/>
        <w:tab w:val="right" w:pos="9360"/>
      </w:tabs>
    </w:pPr>
  </w:style>
  <w:style w:type="character" w:customStyle="1" w:styleId="HeaderChar">
    <w:name w:val="Header Char"/>
    <w:basedOn w:val="DefaultParagraphFont"/>
    <w:link w:val="Header"/>
    <w:uiPriority w:val="99"/>
    <w:semiHidden/>
    <w:rsid w:val="00645FF7"/>
  </w:style>
  <w:style w:type="paragraph" w:styleId="Footer">
    <w:name w:val="footer"/>
    <w:basedOn w:val="Normal"/>
    <w:link w:val="FooterChar"/>
    <w:uiPriority w:val="99"/>
    <w:unhideWhenUsed/>
    <w:rsid w:val="00645FF7"/>
    <w:pPr>
      <w:tabs>
        <w:tab w:val="center" w:pos="4680"/>
        <w:tab w:val="right" w:pos="9360"/>
      </w:tabs>
    </w:pPr>
  </w:style>
  <w:style w:type="character" w:customStyle="1" w:styleId="FooterChar">
    <w:name w:val="Footer Char"/>
    <w:basedOn w:val="DefaultParagraphFont"/>
    <w:link w:val="Footer"/>
    <w:uiPriority w:val="99"/>
    <w:rsid w:val="00645FF7"/>
  </w:style>
  <w:style w:type="character" w:customStyle="1" w:styleId="apple-converted-space">
    <w:name w:val="apple-converted-space"/>
    <w:rsid w:val="00BD6747"/>
  </w:style>
  <w:style w:type="character" w:customStyle="1" w:styleId="xgrame">
    <w:name w:val="x_grame"/>
    <w:rsid w:val="00BD6747"/>
  </w:style>
  <w:style w:type="paragraph" w:styleId="ListParagraph">
    <w:name w:val="List Paragraph"/>
    <w:basedOn w:val="Normal"/>
    <w:uiPriority w:val="34"/>
    <w:qFormat/>
    <w:rsid w:val="00841CC1"/>
    <w:pPr>
      <w:ind w:left="720"/>
      <w:contextualSpacing/>
    </w:pPr>
  </w:style>
  <w:style w:type="table" w:styleId="TableGrid">
    <w:name w:val="Table Grid"/>
    <w:basedOn w:val="TableNormal"/>
    <w:uiPriority w:val="59"/>
    <w:rsid w:val="000C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AC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72F64"/>
    <w:pPr>
      <w:spacing w:before="100" w:beforeAutospacing="1" w:after="27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0CA8"/>
    <w:rPr>
      <w:color w:val="0000FF" w:themeColor="hyperlink"/>
      <w:u w:val="single"/>
    </w:rPr>
  </w:style>
  <w:style w:type="paragraph" w:styleId="BalloonText">
    <w:name w:val="Balloon Text"/>
    <w:basedOn w:val="Normal"/>
    <w:link w:val="BalloonTextChar"/>
    <w:uiPriority w:val="99"/>
    <w:semiHidden/>
    <w:unhideWhenUsed/>
    <w:rsid w:val="004178A0"/>
    <w:rPr>
      <w:rFonts w:ascii="Tahoma" w:hAnsi="Tahoma" w:cs="Tahoma"/>
      <w:sz w:val="16"/>
      <w:szCs w:val="16"/>
    </w:rPr>
  </w:style>
  <w:style w:type="character" w:customStyle="1" w:styleId="BalloonTextChar">
    <w:name w:val="Balloon Text Char"/>
    <w:basedOn w:val="DefaultParagraphFont"/>
    <w:link w:val="BalloonText"/>
    <w:uiPriority w:val="99"/>
    <w:semiHidden/>
    <w:rsid w:val="00417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938">
      <w:bodyDiv w:val="1"/>
      <w:marLeft w:val="0"/>
      <w:marRight w:val="0"/>
      <w:marTop w:val="0"/>
      <w:marBottom w:val="0"/>
      <w:divBdr>
        <w:top w:val="none" w:sz="0" w:space="0" w:color="auto"/>
        <w:left w:val="none" w:sz="0" w:space="0" w:color="auto"/>
        <w:bottom w:val="none" w:sz="0" w:space="0" w:color="auto"/>
        <w:right w:val="none" w:sz="0" w:space="0" w:color="auto"/>
      </w:divBdr>
      <w:divsChild>
        <w:div w:id="997534930">
          <w:marLeft w:val="0"/>
          <w:marRight w:val="0"/>
          <w:marTop w:val="0"/>
          <w:marBottom w:val="0"/>
          <w:divBdr>
            <w:top w:val="none" w:sz="0" w:space="0" w:color="auto"/>
            <w:left w:val="none" w:sz="0" w:space="0" w:color="auto"/>
            <w:bottom w:val="none" w:sz="0" w:space="0" w:color="auto"/>
            <w:right w:val="none" w:sz="0" w:space="0" w:color="auto"/>
          </w:divBdr>
          <w:divsChild>
            <w:div w:id="112792409">
              <w:marLeft w:val="1"/>
              <w:marRight w:val="1"/>
              <w:marTop w:val="1"/>
              <w:marBottom w:val="1"/>
              <w:divBdr>
                <w:top w:val="none" w:sz="0" w:space="0" w:color="auto"/>
                <w:left w:val="none" w:sz="0" w:space="0" w:color="auto"/>
                <w:bottom w:val="none" w:sz="0" w:space="0" w:color="auto"/>
                <w:right w:val="none" w:sz="0" w:space="0" w:color="auto"/>
              </w:divBdr>
              <w:divsChild>
                <w:div w:id="1618180248">
                  <w:marLeft w:val="0"/>
                  <w:marRight w:val="0"/>
                  <w:marTop w:val="0"/>
                  <w:marBottom w:val="0"/>
                  <w:divBdr>
                    <w:top w:val="none" w:sz="0" w:space="0" w:color="auto"/>
                    <w:left w:val="none" w:sz="0" w:space="0" w:color="auto"/>
                    <w:bottom w:val="none" w:sz="0" w:space="0" w:color="auto"/>
                    <w:right w:val="none" w:sz="0" w:space="0" w:color="auto"/>
                  </w:divBdr>
                  <w:divsChild>
                    <w:div w:id="1401515912">
                      <w:marLeft w:val="0"/>
                      <w:marRight w:val="0"/>
                      <w:marTop w:val="150"/>
                      <w:marBottom w:val="2"/>
                      <w:divBdr>
                        <w:top w:val="none" w:sz="0" w:space="0" w:color="auto"/>
                        <w:left w:val="none" w:sz="0" w:space="0" w:color="auto"/>
                        <w:bottom w:val="none" w:sz="0" w:space="0" w:color="auto"/>
                        <w:right w:val="none" w:sz="0" w:space="0" w:color="auto"/>
                      </w:divBdr>
                      <w:divsChild>
                        <w:div w:id="1721712063">
                          <w:marLeft w:val="0"/>
                          <w:marRight w:val="0"/>
                          <w:marTop w:val="0"/>
                          <w:marBottom w:val="0"/>
                          <w:divBdr>
                            <w:top w:val="none" w:sz="0" w:space="0" w:color="auto"/>
                            <w:left w:val="none" w:sz="0" w:space="0" w:color="auto"/>
                            <w:bottom w:val="none" w:sz="0" w:space="0" w:color="auto"/>
                            <w:right w:val="none" w:sz="0" w:space="0" w:color="auto"/>
                          </w:divBdr>
                          <w:divsChild>
                            <w:div w:id="2107916095">
                              <w:marLeft w:val="0"/>
                              <w:marRight w:val="0"/>
                              <w:marTop w:val="0"/>
                              <w:marBottom w:val="360"/>
                              <w:divBdr>
                                <w:top w:val="none" w:sz="0" w:space="0" w:color="auto"/>
                                <w:left w:val="none" w:sz="0" w:space="0" w:color="auto"/>
                                <w:bottom w:val="none" w:sz="0" w:space="0" w:color="auto"/>
                                <w:right w:val="none" w:sz="0" w:space="0" w:color="auto"/>
                              </w:divBdr>
                              <w:divsChild>
                                <w:div w:id="609817234">
                                  <w:marLeft w:val="0"/>
                                  <w:marRight w:val="0"/>
                                  <w:marTop w:val="0"/>
                                  <w:marBottom w:val="0"/>
                                  <w:divBdr>
                                    <w:top w:val="none" w:sz="0" w:space="0" w:color="auto"/>
                                    <w:left w:val="none" w:sz="0" w:space="0" w:color="auto"/>
                                    <w:bottom w:val="none" w:sz="0" w:space="0" w:color="auto"/>
                                    <w:right w:val="none" w:sz="0" w:space="0" w:color="auto"/>
                                  </w:divBdr>
                                  <w:divsChild>
                                    <w:div w:id="1487431354">
                                      <w:marLeft w:val="0"/>
                                      <w:marRight w:val="0"/>
                                      <w:marTop w:val="0"/>
                                      <w:marBottom w:val="0"/>
                                      <w:divBdr>
                                        <w:top w:val="none" w:sz="0" w:space="0" w:color="auto"/>
                                        <w:left w:val="none" w:sz="0" w:space="0" w:color="auto"/>
                                        <w:bottom w:val="none" w:sz="0" w:space="0" w:color="auto"/>
                                        <w:right w:val="none" w:sz="0" w:space="0" w:color="auto"/>
                                      </w:divBdr>
                                      <w:divsChild>
                                        <w:div w:id="174543189">
                                          <w:marLeft w:val="0"/>
                                          <w:marRight w:val="0"/>
                                          <w:marTop w:val="0"/>
                                          <w:marBottom w:val="0"/>
                                          <w:divBdr>
                                            <w:top w:val="none" w:sz="0" w:space="0" w:color="auto"/>
                                            <w:left w:val="none" w:sz="0" w:space="0" w:color="auto"/>
                                            <w:bottom w:val="none" w:sz="0" w:space="0" w:color="auto"/>
                                            <w:right w:val="none" w:sz="0" w:space="0" w:color="auto"/>
                                          </w:divBdr>
                                          <w:divsChild>
                                            <w:div w:id="1222670558">
                                              <w:marLeft w:val="0"/>
                                              <w:marRight w:val="0"/>
                                              <w:marTop w:val="0"/>
                                              <w:marBottom w:val="0"/>
                                              <w:divBdr>
                                                <w:top w:val="none" w:sz="0" w:space="0" w:color="auto"/>
                                                <w:left w:val="none" w:sz="0" w:space="0" w:color="auto"/>
                                                <w:bottom w:val="none" w:sz="0" w:space="0" w:color="auto"/>
                                                <w:right w:val="none" w:sz="0" w:space="0" w:color="auto"/>
                                              </w:divBdr>
                                              <w:divsChild>
                                                <w:div w:id="11485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460B-C63A-4D86-8F2C-9DBA7877C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6B8B8-8C6E-4F28-8461-8C0B7DC94622}">
  <ds:schemaRefs>
    <ds:schemaRef ds:uri="http://schemas.microsoft.com/sharepoint/v3/contenttype/forms"/>
  </ds:schemaRefs>
</ds:datastoreItem>
</file>

<file path=customXml/itemProps3.xml><?xml version="1.0" encoding="utf-8"?>
<ds:datastoreItem xmlns:ds="http://schemas.openxmlformats.org/officeDocument/2006/customXml" ds:itemID="{A1CCB9AF-7D48-4DE2-AB2E-69C19EC50508}">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BF7656AB-A240-45D4-B3AF-38EE52DB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3632</Words>
  <Characters>20708</Characters>
  <Application>Microsoft Office Word</Application>
  <DocSecurity>4</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FBI</Company>
  <LinksUpToDate>false</LinksUpToDate>
  <CharactersWithSpaces>24292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bcgarrett</dc:creator>
  <cp:lastModifiedBy>BULL, Tegan Claire</cp:lastModifiedBy>
  <cp:revision>2</cp:revision>
  <cp:lastPrinted>2013-05-06T16:28:00Z</cp:lastPrinted>
  <dcterms:created xsi:type="dcterms:W3CDTF">2014-07-14T12:45:00Z</dcterms:created>
  <dcterms:modified xsi:type="dcterms:W3CDTF">2014-07-14T12:45:00Z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