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7F" w:rsidRPr="00011E99" w:rsidRDefault="00F15952" w:rsidP="00403D7B">
      <w:pPr>
        <w:keepNext/>
        <w:widowControl w:val="0"/>
        <w:overflowPunct w:val="0"/>
        <w:autoSpaceDE w:val="0"/>
        <w:autoSpaceDN w:val="0"/>
        <w:adjustRightInd w:val="0"/>
        <w:jc w:val="both"/>
        <w:textAlignment w:val="baseline"/>
        <w:outlineLvl w:val="0"/>
        <w:rPr>
          <w:rFonts w:ascii="Times New Roman" w:eastAsia="Times New Roman" w:hAnsi="Times New Roman" w:cs="Times New Roman"/>
          <w:b/>
          <w:bCs/>
          <w:noProof/>
          <w:kern w:val="28"/>
          <w:sz w:val="24"/>
          <w:szCs w:val="24"/>
        </w:rPr>
      </w:pPr>
      <w:r>
        <w:rPr>
          <w:rFonts w:ascii="Times New Roman" w:eastAsia="Times New Roman" w:hAnsi="Times New Roman" w:cs="Times New Roman"/>
          <w:b/>
          <w:bCs/>
          <w:noProof/>
          <w:kern w:val="28"/>
          <w:sz w:val="24"/>
          <w:szCs w:val="24"/>
        </w:rPr>
        <w:t xml:space="preserve">Proof of Principle for the </w:t>
      </w:r>
      <w:r w:rsidR="0001397F" w:rsidRPr="00B854B0">
        <w:rPr>
          <w:rFonts w:ascii="Times New Roman" w:eastAsia="Times New Roman" w:hAnsi="Times New Roman" w:cs="Times New Roman"/>
          <w:b/>
          <w:bCs/>
          <w:noProof/>
          <w:kern w:val="28"/>
          <w:sz w:val="24"/>
          <w:szCs w:val="24"/>
        </w:rPr>
        <w:t>Preparation and validation of an uranium age dating reference material</w:t>
      </w:r>
      <w:r w:rsidR="0001397F" w:rsidRPr="00011E99">
        <w:rPr>
          <w:rFonts w:ascii="Times New Roman" w:eastAsia="Times New Roman" w:hAnsi="Times New Roman" w:cs="Times New Roman"/>
          <w:b/>
          <w:bCs/>
          <w:noProof/>
          <w:kern w:val="28"/>
          <w:sz w:val="24"/>
          <w:szCs w:val="24"/>
        </w:rPr>
        <w:t xml:space="preserve"> </w:t>
      </w:r>
    </w:p>
    <w:p w:rsidR="0001397F" w:rsidRPr="00011E99" w:rsidRDefault="0001397F" w:rsidP="00403D7B">
      <w:pPr>
        <w:keepNext/>
        <w:overflowPunct w:val="0"/>
        <w:autoSpaceDE w:val="0"/>
        <w:autoSpaceDN w:val="0"/>
        <w:adjustRightInd w:val="0"/>
        <w:jc w:val="both"/>
        <w:textAlignment w:val="baseline"/>
        <w:outlineLvl w:val="0"/>
        <w:rPr>
          <w:rFonts w:ascii="Times New Roman" w:eastAsia="Times New Roman" w:hAnsi="Times New Roman" w:cs="Times New Roman"/>
          <w:b/>
          <w:bCs/>
          <w:noProof/>
          <w:kern w:val="28"/>
          <w:sz w:val="24"/>
          <w:szCs w:val="24"/>
        </w:rPr>
      </w:pPr>
    </w:p>
    <w:p w:rsidR="0001397F" w:rsidRPr="00B854B0" w:rsidRDefault="0001397F" w:rsidP="00B854B0">
      <w:pPr>
        <w:overflowPunct w:val="0"/>
        <w:autoSpaceDE w:val="0"/>
        <w:autoSpaceDN w:val="0"/>
        <w:adjustRightInd w:val="0"/>
        <w:jc w:val="both"/>
        <w:textAlignment w:val="baseline"/>
        <w:rPr>
          <w:rFonts w:ascii="Times New Roman" w:eastAsia="Times New Roman" w:hAnsi="Times New Roman" w:cs="Times New Roman"/>
          <w:b/>
          <w:noProof/>
          <w:vertAlign w:val="superscript"/>
        </w:rPr>
      </w:pPr>
      <w:r w:rsidRPr="00B854B0">
        <w:rPr>
          <w:rFonts w:ascii="Times New Roman" w:eastAsia="Times New Roman" w:hAnsi="Times New Roman" w:cs="Times New Roman"/>
          <w:b/>
          <w:noProof/>
        </w:rPr>
        <w:t>Z. Varga</w:t>
      </w:r>
      <w:r>
        <w:rPr>
          <w:rFonts w:ascii="Times New Roman" w:eastAsia="Times New Roman" w:hAnsi="Times New Roman" w:cs="Times New Roman"/>
          <w:b/>
          <w:noProof/>
          <w:vertAlign w:val="superscript"/>
        </w:rPr>
        <w:t>a</w:t>
      </w:r>
      <w:r w:rsidRPr="00B854B0">
        <w:rPr>
          <w:rFonts w:ascii="Times New Roman" w:eastAsia="Times New Roman" w:hAnsi="Times New Roman" w:cs="Times New Roman"/>
          <w:b/>
          <w:noProof/>
        </w:rPr>
        <w:t>, K. Mayer</w:t>
      </w:r>
      <w:r>
        <w:rPr>
          <w:rFonts w:ascii="Times New Roman" w:eastAsia="Times New Roman" w:hAnsi="Times New Roman" w:cs="Times New Roman"/>
          <w:b/>
          <w:noProof/>
          <w:vertAlign w:val="superscript"/>
        </w:rPr>
        <w:t>a</w:t>
      </w:r>
      <w:r w:rsidRPr="00B854B0">
        <w:rPr>
          <w:rFonts w:ascii="Times New Roman" w:eastAsia="Times New Roman" w:hAnsi="Times New Roman" w:cs="Times New Roman"/>
          <w:b/>
          <w:noProof/>
        </w:rPr>
        <w:t>, A. Hubert</w:t>
      </w:r>
      <w:r>
        <w:rPr>
          <w:rFonts w:ascii="Times New Roman" w:eastAsia="Times New Roman" w:hAnsi="Times New Roman" w:cs="Times New Roman"/>
          <w:b/>
          <w:noProof/>
          <w:vertAlign w:val="superscript"/>
        </w:rPr>
        <w:t>b</w:t>
      </w:r>
      <w:r w:rsidRPr="00B854B0">
        <w:rPr>
          <w:rFonts w:ascii="Times New Roman" w:eastAsia="Times New Roman" w:hAnsi="Times New Roman" w:cs="Times New Roman"/>
          <w:b/>
          <w:noProof/>
        </w:rPr>
        <w:t>, I. Hutcheon</w:t>
      </w:r>
      <w:r>
        <w:rPr>
          <w:rFonts w:ascii="Times New Roman" w:eastAsia="Times New Roman" w:hAnsi="Times New Roman" w:cs="Times New Roman"/>
          <w:b/>
          <w:noProof/>
          <w:vertAlign w:val="superscript"/>
        </w:rPr>
        <w:t>c</w:t>
      </w:r>
      <w:r w:rsidRPr="00B854B0">
        <w:rPr>
          <w:rFonts w:ascii="Times New Roman" w:eastAsia="Times New Roman" w:hAnsi="Times New Roman" w:cs="Times New Roman"/>
          <w:b/>
          <w:noProof/>
        </w:rPr>
        <w:t>, W. Kinman</w:t>
      </w:r>
      <w:r>
        <w:rPr>
          <w:rFonts w:ascii="Times New Roman" w:eastAsia="Times New Roman" w:hAnsi="Times New Roman" w:cs="Times New Roman"/>
          <w:b/>
          <w:noProof/>
          <w:vertAlign w:val="superscript"/>
        </w:rPr>
        <w:t>d</w:t>
      </w:r>
      <w:r w:rsidRPr="00B854B0">
        <w:rPr>
          <w:rFonts w:ascii="Times New Roman" w:eastAsia="Times New Roman" w:hAnsi="Times New Roman" w:cs="Times New Roman"/>
          <w:b/>
          <w:noProof/>
        </w:rPr>
        <w:t>, M. Kristo</w:t>
      </w:r>
      <w:r>
        <w:rPr>
          <w:rFonts w:ascii="Times New Roman" w:eastAsia="Times New Roman" w:hAnsi="Times New Roman" w:cs="Times New Roman"/>
          <w:b/>
          <w:noProof/>
          <w:vertAlign w:val="superscript"/>
        </w:rPr>
        <w:t>c</w:t>
      </w:r>
      <w:r w:rsidRPr="00B854B0">
        <w:rPr>
          <w:rFonts w:ascii="Times New Roman" w:eastAsia="Times New Roman" w:hAnsi="Times New Roman" w:cs="Times New Roman"/>
          <w:b/>
          <w:noProof/>
        </w:rPr>
        <w:t>, F. Pointurier</w:t>
      </w:r>
      <w:r>
        <w:rPr>
          <w:rFonts w:ascii="Times New Roman" w:eastAsia="Times New Roman" w:hAnsi="Times New Roman" w:cs="Times New Roman"/>
          <w:b/>
          <w:noProof/>
          <w:vertAlign w:val="superscript"/>
        </w:rPr>
        <w:t>b</w:t>
      </w:r>
      <w:r w:rsidRPr="00B854B0">
        <w:rPr>
          <w:rFonts w:ascii="Times New Roman" w:eastAsia="Times New Roman" w:hAnsi="Times New Roman" w:cs="Times New Roman"/>
          <w:b/>
          <w:noProof/>
        </w:rPr>
        <w:t>, K. Spencer</w:t>
      </w:r>
      <w:r>
        <w:rPr>
          <w:rFonts w:ascii="Times New Roman" w:eastAsia="Times New Roman" w:hAnsi="Times New Roman" w:cs="Times New Roman"/>
          <w:b/>
          <w:noProof/>
          <w:vertAlign w:val="superscript"/>
        </w:rPr>
        <w:t>d</w:t>
      </w:r>
      <w:r w:rsidRPr="00B854B0">
        <w:rPr>
          <w:rFonts w:ascii="Times New Roman" w:eastAsia="Times New Roman" w:hAnsi="Times New Roman" w:cs="Times New Roman"/>
          <w:b/>
          <w:noProof/>
        </w:rPr>
        <w:t>, F. Stanley</w:t>
      </w:r>
      <w:r>
        <w:rPr>
          <w:rFonts w:ascii="Times New Roman" w:eastAsia="Times New Roman" w:hAnsi="Times New Roman" w:cs="Times New Roman"/>
          <w:b/>
          <w:noProof/>
          <w:vertAlign w:val="superscript"/>
        </w:rPr>
        <w:t>d</w:t>
      </w:r>
      <w:r w:rsidRPr="00B854B0">
        <w:rPr>
          <w:rFonts w:ascii="Times New Roman" w:eastAsia="Times New Roman" w:hAnsi="Times New Roman" w:cs="Times New Roman"/>
          <w:b/>
          <w:noProof/>
        </w:rPr>
        <w:t>, R. Steiner</w:t>
      </w:r>
      <w:r>
        <w:rPr>
          <w:rFonts w:ascii="Times New Roman" w:eastAsia="Times New Roman" w:hAnsi="Times New Roman" w:cs="Times New Roman"/>
          <w:b/>
          <w:noProof/>
          <w:vertAlign w:val="superscript"/>
        </w:rPr>
        <w:t>d</w:t>
      </w:r>
      <w:r w:rsidRPr="00B854B0">
        <w:rPr>
          <w:rFonts w:ascii="Times New Roman" w:eastAsia="Times New Roman" w:hAnsi="Times New Roman" w:cs="Times New Roman"/>
          <w:b/>
          <w:noProof/>
        </w:rPr>
        <w:t>, L. Tandon</w:t>
      </w:r>
      <w:r>
        <w:rPr>
          <w:rFonts w:ascii="Times New Roman" w:eastAsia="Times New Roman" w:hAnsi="Times New Roman" w:cs="Times New Roman"/>
          <w:b/>
          <w:noProof/>
          <w:vertAlign w:val="superscript"/>
        </w:rPr>
        <w:t>d</w:t>
      </w:r>
      <w:r w:rsidRPr="00B854B0">
        <w:rPr>
          <w:rFonts w:ascii="Times New Roman" w:eastAsia="Times New Roman" w:hAnsi="Times New Roman" w:cs="Times New Roman"/>
          <w:b/>
          <w:noProof/>
        </w:rPr>
        <w:t>, R. Williams</w:t>
      </w:r>
      <w:r>
        <w:rPr>
          <w:rFonts w:ascii="Times New Roman" w:eastAsia="Times New Roman" w:hAnsi="Times New Roman" w:cs="Times New Roman"/>
          <w:b/>
          <w:noProof/>
          <w:vertAlign w:val="superscript"/>
        </w:rPr>
        <w:t>c</w:t>
      </w:r>
    </w:p>
    <w:p w:rsidR="0001397F" w:rsidRPr="00011E99" w:rsidRDefault="0001397F" w:rsidP="00403D7B">
      <w:pPr>
        <w:overflowPunct w:val="0"/>
        <w:autoSpaceDE w:val="0"/>
        <w:autoSpaceDN w:val="0"/>
        <w:adjustRightInd w:val="0"/>
        <w:jc w:val="both"/>
        <w:textAlignment w:val="baseline"/>
        <w:rPr>
          <w:rFonts w:ascii="Times New Roman" w:eastAsia="Times New Roman" w:hAnsi="Times New Roman" w:cs="Times New Roman"/>
          <w:noProof/>
          <w:sz w:val="24"/>
          <w:szCs w:val="24"/>
        </w:rPr>
      </w:pPr>
    </w:p>
    <w:p w:rsidR="0001397F" w:rsidRDefault="0001397F" w:rsidP="00B854B0">
      <w:pPr>
        <w:jc w:val="both"/>
        <w:rPr>
          <w:rFonts w:ascii="Times New Roman" w:eastAsia="Times New Roman" w:hAnsi="Times New Roman" w:cs="Times New Roman"/>
        </w:rPr>
      </w:pPr>
      <w:proofErr w:type="gramStart"/>
      <w:r w:rsidRPr="00B854B0">
        <w:rPr>
          <w:rFonts w:ascii="Times New Roman" w:eastAsia="Times New Roman" w:hAnsi="Times New Roman" w:cs="Times New Roman"/>
          <w:vertAlign w:val="superscript"/>
        </w:rPr>
        <w:t>a</w:t>
      </w:r>
      <w:proofErr w:type="gramEnd"/>
      <w:r>
        <w:rPr>
          <w:rFonts w:ascii="Times New Roman" w:eastAsia="Times New Roman" w:hAnsi="Times New Roman" w:cs="Times New Roman"/>
        </w:rPr>
        <w:t xml:space="preserve"> European Commission,</w:t>
      </w:r>
    </w:p>
    <w:p w:rsidR="0001397F" w:rsidRDefault="0001397F" w:rsidP="00B854B0">
      <w:pPr>
        <w:jc w:val="both"/>
        <w:rPr>
          <w:rFonts w:ascii="Times New Roman" w:eastAsia="Times New Roman" w:hAnsi="Times New Roman" w:cs="Times New Roman"/>
        </w:rPr>
      </w:pPr>
      <w:r w:rsidRPr="00B854B0">
        <w:rPr>
          <w:rFonts w:ascii="Times New Roman" w:eastAsia="Times New Roman" w:hAnsi="Times New Roman" w:cs="Times New Roman"/>
        </w:rPr>
        <w:t>Joint Research Centre</w:t>
      </w:r>
      <w:r>
        <w:rPr>
          <w:rFonts w:ascii="Times New Roman" w:eastAsia="Times New Roman" w:hAnsi="Times New Roman" w:cs="Times New Roman"/>
        </w:rPr>
        <w:t>,</w:t>
      </w:r>
    </w:p>
    <w:p w:rsidR="0001397F" w:rsidRDefault="0001397F" w:rsidP="00B854B0">
      <w:pPr>
        <w:jc w:val="both"/>
        <w:rPr>
          <w:rFonts w:ascii="Times New Roman" w:eastAsia="Times New Roman" w:hAnsi="Times New Roman" w:cs="Times New Roman"/>
        </w:rPr>
      </w:pPr>
      <w:r w:rsidRPr="00B854B0">
        <w:rPr>
          <w:rFonts w:ascii="Times New Roman" w:eastAsia="Times New Roman" w:hAnsi="Times New Roman" w:cs="Times New Roman"/>
        </w:rPr>
        <w:t>Inst</w:t>
      </w:r>
      <w:r>
        <w:rPr>
          <w:rFonts w:ascii="Times New Roman" w:eastAsia="Times New Roman" w:hAnsi="Times New Roman" w:cs="Times New Roman"/>
        </w:rPr>
        <w:t>itute for Transuranium Elements</w:t>
      </w:r>
    </w:p>
    <w:p w:rsidR="0001397F" w:rsidRDefault="0001397F" w:rsidP="00B854B0">
      <w:pPr>
        <w:jc w:val="both"/>
        <w:rPr>
          <w:rFonts w:ascii="Times New Roman" w:eastAsia="Times New Roman" w:hAnsi="Times New Roman" w:cs="Times New Roman"/>
        </w:rPr>
      </w:pPr>
      <w:r>
        <w:rPr>
          <w:rFonts w:ascii="Times New Roman" w:eastAsia="Times New Roman" w:hAnsi="Times New Roman" w:cs="Times New Roman"/>
        </w:rPr>
        <w:t xml:space="preserve">P.O. Box 2340 </w:t>
      </w:r>
      <w:r w:rsidRPr="00B854B0">
        <w:rPr>
          <w:rFonts w:ascii="Times New Roman" w:eastAsia="Times New Roman" w:hAnsi="Times New Roman" w:cs="Times New Roman"/>
        </w:rPr>
        <w:t>76125</w:t>
      </w:r>
    </w:p>
    <w:p w:rsidR="0001397F" w:rsidRDefault="0001397F" w:rsidP="00B854B0">
      <w:pPr>
        <w:jc w:val="both"/>
        <w:rPr>
          <w:rFonts w:ascii="Times New Roman" w:eastAsia="Times New Roman" w:hAnsi="Times New Roman" w:cs="Times New Roman"/>
        </w:rPr>
      </w:pPr>
      <w:r w:rsidRPr="00B854B0">
        <w:rPr>
          <w:rFonts w:ascii="Times New Roman" w:eastAsia="Times New Roman" w:hAnsi="Times New Roman" w:cs="Times New Roman"/>
        </w:rPr>
        <w:t>Karlsruhe, Germany</w:t>
      </w:r>
    </w:p>
    <w:p w:rsidR="0001397F" w:rsidRPr="00B854B0" w:rsidRDefault="0001397F" w:rsidP="00B854B0">
      <w:pPr>
        <w:jc w:val="both"/>
        <w:rPr>
          <w:rFonts w:ascii="Times New Roman" w:eastAsia="Times New Roman" w:hAnsi="Times New Roman" w:cs="Times New Roman"/>
        </w:rPr>
      </w:pPr>
    </w:p>
    <w:p w:rsidR="0001397F" w:rsidRDefault="0001397F" w:rsidP="00B854B0">
      <w:pPr>
        <w:jc w:val="both"/>
        <w:rPr>
          <w:rFonts w:ascii="Times New Roman" w:eastAsia="Times New Roman" w:hAnsi="Times New Roman" w:cs="Times New Roman"/>
          <w:lang w:val="fr-FR"/>
        </w:rPr>
      </w:pPr>
      <w:proofErr w:type="gramStart"/>
      <w:r w:rsidRPr="00B854B0">
        <w:rPr>
          <w:rFonts w:ascii="Times New Roman" w:eastAsia="Times New Roman" w:hAnsi="Times New Roman" w:cs="Times New Roman"/>
          <w:vertAlign w:val="superscript"/>
          <w:lang w:val="fr-FR"/>
        </w:rPr>
        <w:t>b</w:t>
      </w:r>
      <w:proofErr w:type="gramEnd"/>
      <w:r w:rsidRPr="00B854B0">
        <w:rPr>
          <w:rFonts w:ascii="Times New Roman" w:eastAsia="Times New Roman" w:hAnsi="Times New Roman" w:cs="Times New Roman"/>
          <w:lang w:val="fr-FR"/>
        </w:rPr>
        <w:t xml:space="preserve"> CEA, DAM, DIF,</w:t>
      </w:r>
    </w:p>
    <w:p w:rsidR="0001397F" w:rsidRDefault="0001397F" w:rsidP="00B854B0">
      <w:pPr>
        <w:jc w:val="both"/>
        <w:rPr>
          <w:rFonts w:ascii="Times New Roman" w:eastAsia="Times New Roman" w:hAnsi="Times New Roman" w:cs="Times New Roman"/>
          <w:lang w:val="fr-FR"/>
        </w:rPr>
      </w:pPr>
      <w:r w:rsidRPr="00B854B0">
        <w:rPr>
          <w:rFonts w:ascii="Times New Roman" w:eastAsia="Times New Roman" w:hAnsi="Times New Roman" w:cs="Times New Roman"/>
          <w:lang w:val="fr-FR"/>
        </w:rPr>
        <w:t xml:space="preserve">F91297 Arpajon, </w:t>
      </w:r>
      <w:r>
        <w:rPr>
          <w:rFonts w:ascii="Times New Roman" w:eastAsia="Times New Roman" w:hAnsi="Times New Roman" w:cs="Times New Roman"/>
          <w:lang w:val="fr-FR"/>
        </w:rPr>
        <w:t>France</w:t>
      </w:r>
    </w:p>
    <w:p w:rsidR="0001397F" w:rsidRPr="00B854B0" w:rsidRDefault="0001397F" w:rsidP="00B854B0">
      <w:pPr>
        <w:jc w:val="both"/>
        <w:rPr>
          <w:rFonts w:ascii="Times New Roman" w:eastAsia="Times New Roman" w:hAnsi="Times New Roman" w:cs="Times New Roman"/>
          <w:lang w:val="fr-FR"/>
        </w:rPr>
      </w:pPr>
    </w:p>
    <w:p w:rsidR="0001397F" w:rsidRDefault="0001397F" w:rsidP="00B854B0">
      <w:pPr>
        <w:jc w:val="both"/>
        <w:rPr>
          <w:rFonts w:ascii="Times New Roman" w:eastAsia="Times New Roman" w:hAnsi="Times New Roman" w:cs="Times New Roman"/>
        </w:rPr>
      </w:pPr>
      <w:proofErr w:type="gramStart"/>
      <w:r w:rsidRPr="00B854B0">
        <w:rPr>
          <w:rFonts w:ascii="Times New Roman" w:eastAsia="Times New Roman" w:hAnsi="Times New Roman" w:cs="Times New Roman"/>
          <w:vertAlign w:val="superscript"/>
        </w:rPr>
        <w:t>c</w:t>
      </w:r>
      <w:proofErr w:type="gramEnd"/>
      <w:r w:rsidRPr="00B854B0">
        <w:rPr>
          <w:rFonts w:ascii="Times New Roman" w:eastAsia="Times New Roman" w:hAnsi="Times New Roman" w:cs="Times New Roman"/>
        </w:rPr>
        <w:t xml:space="preserve"> Lawrence</w:t>
      </w:r>
      <w:r>
        <w:rPr>
          <w:rFonts w:ascii="Times New Roman" w:eastAsia="Times New Roman" w:hAnsi="Times New Roman" w:cs="Times New Roman"/>
        </w:rPr>
        <w:t xml:space="preserve"> Livermore National Laboratory,</w:t>
      </w:r>
    </w:p>
    <w:p w:rsidR="0001397F" w:rsidRDefault="0001397F" w:rsidP="00B854B0">
      <w:pPr>
        <w:jc w:val="both"/>
        <w:rPr>
          <w:rFonts w:ascii="Times New Roman" w:eastAsia="Times New Roman" w:hAnsi="Times New Roman" w:cs="Times New Roman"/>
        </w:rPr>
      </w:pPr>
      <w:r>
        <w:rPr>
          <w:rFonts w:ascii="Times New Roman" w:eastAsia="Times New Roman" w:hAnsi="Times New Roman" w:cs="Times New Roman"/>
        </w:rPr>
        <w:t>7000 East Avenue,</w:t>
      </w:r>
    </w:p>
    <w:p w:rsidR="0001397F" w:rsidRDefault="0001397F" w:rsidP="00B854B0">
      <w:pPr>
        <w:jc w:val="both"/>
        <w:rPr>
          <w:rFonts w:ascii="Times New Roman" w:eastAsia="Times New Roman" w:hAnsi="Times New Roman" w:cs="Times New Roman"/>
        </w:rPr>
      </w:pPr>
      <w:r w:rsidRPr="00B854B0">
        <w:rPr>
          <w:rFonts w:ascii="Times New Roman" w:eastAsia="Times New Roman" w:hAnsi="Times New Roman" w:cs="Times New Roman"/>
        </w:rPr>
        <w:t>Livermore, CA, USA 94550</w:t>
      </w:r>
    </w:p>
    <w:p w:rsidR="0001397F" w:rsidRPr="00B854B0" w:rsidRDefault="0001397F" w:rsidP="00B854B0">
      <w:pPr>
        <w:jc w:val="both"/>
        <w:rPr>
          <w:rFonts w:ascii="Times New Roman" w:eastAsia="Times New Roman" w:hAnsi="Times New Roman" w:cs="Times New Roman"/>
        </w:rPr>
      </w:pPr>
    </w:p>
    <w:p w:rsidR="0001397F" w:rsidRPr="00F15952" w:rsidRDefault="0001397F" w:rsidP="00B854B0">
      <w:pPr>
        <w:jc w:val="both"/>
        <w:rPr>
          <w:rFonts w:ascii="Times New Roman" w:eastAsia="Times New Roman" w:hAnsi="Times New Roman" w:cs="Times New Roman"/>
          <w:lang w:val="es-ES"/>
        </w:rPr>
      </w:pPr>
      <w:proofErr w:type="gramStart"/>
      <w:r w:rsidRPr="00F15952">
        <w:rPr>
          <w:rFonts w:ascii="Times New Roman" w:eastAsia="Times New Roman" w:hAnsi="Times New Roman" w:cs="Times New Roman"/>
          <w:vertAlign w:val="superscript"/>
          <w:lang w:val="es-ES"/>
        </w:rPr>
        <w:t>d</w:t>
      </w:r>
      <w:proofErr w:type="gramEnd"/>
      <w:r w:rsidRPr="00F15952">
        <w:rPr>
          <w:rFonts w:ascii="Times New Roman" w:eastAsia="Times New Roman" w:hAnsi="Times New Roman" w:cs="Times New Roman"/>
          <w:lang w:val="es-ES"/>
        </w:rPr>
        <w:t xml:space="preserve"> Los </w:t>
      </w:r>
      <w:proofErr w:type="spellStart"/>
      <w:r w:rsidRPr="00F15952">
        <w:rPr>
          <w:rFonts w:ascii="Times New Roman" w:eastAsia="Times New Roman" w:hAnsi="Times New Roman" w:cs="Times New Roman"/>
          <w:lang w:val="es-ES"/>
        </w:rPr>
        <w:t>Alamos</w:t>
      </w:r>
      <w:proofErr w:type="spellEnd"/>
      <w:r w:rsidRPr="00F15952">
        <w:rPr>
          <w:rFonts w:ascii="Times New Roman" w:eastAsia="Times New Roman" w:hAnsi="Times New Roman" w:cs="Times New Roman"/>
          <w:lang w:val="es-ES"/>
        </w:rPr>
        <w:t xml:space="preserve"> </w:t>
      </w:r>
      <w:proofErr w:type="spellStart"/>
      <w:r w:rsidRPr="00F15952">
        <w:rPr>
          <w:rFonts w:ascii="Times New Roman" w:eastAsia="Times New Roman" w:hAnsi="Times New Roman" w:cs="Times New Roman"/>
          <w:lang w:val="es-ES"/>
        </w:rPr>
        <w:t>National</w:t>
      </w:r>
      <w:proofErr w:type="spellEnd"/>
      <w:r w:rsidRPr="00F15952">
        <w:rPr>
          <w:rFonts w:ascii="Times New Roman" w:eastAsia="Times New Roman" w:hAnsi="Times New Roman" w:cs="Times New Roman"/>
          <w:lang w:val="es-ES"/>
        </w:rPr>
        <w:t xml:space="preserve"> </w:t>
      </w:r>
      <w:proofErr w:type="spellStart"/>
      <w:r w:rsidRPr="00F15952">
        <w:rPr>
          <w:rFonts w:ascii="Times New Roman" w:eastAsia="Times New Roman" w:hAnsi="Times New Roman" w:cs="Times New Roman"/>
          <w:lang w:val="es-ES"/>
        </w:rPr>
        <w:t>Laboratory</w:t>
      </w:r>
      <w:proofErr w:type="spellEnd"/>
      <w:r w:rsidRPr="00F15952">
        <w:rPr>
          <w:rFonts w:ascii="Times New Roman" w:eastAsia="Times New Roman" w:hAnsi="Times New Roman" w:cs="Times New Roman"/>
          <w:lang w:val="es-ES"/>
        </w:rPr>
        <w:t>,</w:t>
      </w:r>
    </w:p>
    <w:p w:rsidR="0001397F" w:rsidRPr="009654A4" w:rsidRDefault="0001397F" w:rsidP="00B854B0">
      <w:pPr>
        <w:jc w:val="both"/>
        <w:rPr>
          <w:rFonts w:ascii="Times New Roman" w:eastAsia="Times New Roman" w:hAnsi="Times New Roman" w:cs="Times New Roman"/>
          <w:lang w:val="es-ES"/>
        </w:rPr>
      </w:pPr>
      <w:r w:rsidRPr="009654A4">
        <w:rPr>
          <w:rFonts w:ascii="Times New Roman" w:eastAsia="Times New Roman" w:hAnsi="Times New Roman" w:cs="Times New Roman"/>
          <w:lang w:val="es-ES"/>
        </w:rPr>
        <w:t>P.O. Box 1663,</w:t>
      </w:r>
    </w:p>
    <w:p w:rsidR="0001397F" w:rsidRPr="009654A4" w:rsidRDefault="0001397F" w:rsidP="00B854B0">
      <w:pPr>
        <w:jc w:val="both"/>
        <w:rPr>
          <w:rFonts w:ascii="Times New Roman" w:eastAsia="Times New Roman" w:hAnsi="Times New Roman" w:cs="Times New Roman"/>
          <w:lang w:val="es-ES"/>
        </w:rPr>
      </w:pPr>
      <w:r w:rsidRPr="009654A4">
        <w:rPr>
          <w:rFonts w:ascii="Times New Roman" w:eastAsia="Times New Roman" w:hAnsi="Times New Roman" w:cs="Times New Roman"/>
          <w:lang w:val="es-ES"/>
        </w:rPr>
        <w:t xml:space="preserve">Los </w:t>
      </w:r>
      <w:proofErr w:type="spellStart"/>
      <w:r w:rsidRPr="009654A4">
        <w:rPr>
          <w:rFonts w:ascii="Times New Roman" w:eastAsia="Times New Roman" w:hAnsi="Times New Roman" w:cs="Times New Roman"/>
          <w:lang w:val="es-ES"/>
        </w:rPr>
        <w:t>Alamos</w:t>
      </w:r>
      <w:proofErr w:type="spellEnd"/>
      <w:r w:rsidRPr="009654A4">
        <w:rPr>
          <w:rFonts w:ascii="Times New Roman" w:eastAsia="Times New Roman" w:hAnsi="Times New Roman" w:cs="Times New Roman"/>
          <w:lang w:val="es-ES"/>
        </w:rPr>
        <w:t>, NM, USA 87545</w:t>
      </w:r>
    </w:p>
    <w:p w:rsidR="0001397F" w:rsidRPr="009654A4" w:rsidRDefault="0001397F" w:rsidP="00403D7B">
      <w:pPr>
        <w:jc w:val="both"/>
        <w:rPr>
          <w:rFonts w:ascii="Times New Roman" w:eastAsia="Calibri" w:hAnsi="Times New Roman" w:cs="Times New Roman"/>
          <w:sz w:val="20"/>
          <w:szCs w:val="20"/>
          <w:lang w:val="es-ES"/>
        </w:rPr>
      </w:pPr>
    </w:p>
    <w:p w:rsidR="0001397F" w:rsidRPr="009654A4" w:rsidRDefault="0001397F" w:rsidP="00403D7B">
      <w:pPr>
        <w:jc w:val="both"/>
        <w:rPr>
          <w:rFonts w:ascii="Times New Roman" w:eastAsia="Calibri" w:hAnsi="Times New Roman" w:cs="Times New Roman"/>
          <w:sz w:val="20"/>
          <w:szCs w:val="20"/>
          <w:lang w:val="es-ES"/>
        </w:rPr>
      </w:pPr>
    </w:p>
    <w:p w:rsidR="0001397F" w:rsidRDefault="0001397F" w:rsidP="00403D7B">
      <w:pPr>
        <w:jc w:val="both"/>
        <w:rPr>
          <w:rFonts w:ascii="Times New Roman" w:hAnsi="Times New Roman" w:cs="Times New Roman"/>
          <w:sz w:val="20"/>
          <w:szCs w:val="20"/>
        </w:rPr>
      </w:pPr>
      <w:r w:rsidRPr="00A97B16">
        <w:rPr>
          <w:rFonts w:ascii="Times New Roman" w:hAnsi="Times New Roman" w:cs="Times New Roman"/>
          <w:b/>
          <w:sz w:val="20"/>
          <w:szCs w:val="20"/>
        </w:rPr>
        <w:t xml:space="preserve">Abstract. </w:t>
      </w:r>
      <w:r w:rsidRPr="00CA1210">
        <w:rPr>
          <w:rFonts w:ascii="Times New Roman" w:hAnsi="Times New Roman" w:cs="Times New Roman"/>
          <w:sz w:val="20"/>
          <w:szCs w:val="20"/>
        </w:rPr>
        <w:t xml:space="preserve">The </w:t>
      </w:r>
      <w:r>
        <w:rPr>
          <w:rFonts w:ascii="Times New Roman" w:hAnsi="Times New Roman" w:cs="Times New Roman"/>
          <w:sz w:val="20"/>
          <w:szCs w:val="20"/>
        </w:rPr>
        <w:t>present paper discusses the outcome of a joint</w:t>
      </w:r>
      <w:r w:rsidRPr="00CA1210">
        <w:rPr>
          <w:rFonts w:ascii="Times New Roman" w:hAnsi="Times New Roman" w:cs="Times New Roman"/>
          <w:sz w:val="20"/>
          <w:szCs w:val="20"/>
        </w:rPr>
        <w:t xml:space="preserve"> </w:t>
      </w:r>
      <w:r w:rsidR="00F15952">
        <w:rPr>
          <w:rFonts w:ascii="Times New Roman" w:hAnsi="Times New Roman" w:cs="Times New Roman"/>
          <w:sz w:val="20"/>
          <w:szCs w:val="20"/>
        </w:rPr>
        <w:t>effort</w:t>
      </w:r>
      <w:r w:rsidR="00F15952" w:rsidRPr="00CA1210">
        <w:rPr>
          <w:rFonts w:ascii="Times New Roman" w:hAnsi="Times New Roman" w:cs="Times New Roman"/>
          <w:sz w:val="20"/>
          <w:szCs w:val="20"/>
        </w:rPr>
        <w:t xml:space="preserve"> </w:t>
      </w:r>
      <w:r>
        <w:rPr>
          <w:rFonts w:ascii="Times New Roman" w:hAnsi="Times New Roman" w:cs="Times New Roman"/>
          <w:sz w:val="20"/>
          <w:szCs w:val="20"/>
        </w:rPr>
        <w:t xml:space="preserve">of expert nuclear forensic laboratories </w:t>
      </w:r>
      <w:r w:rsidR="00F15952">
        <w:rPr>
          <w:rFonts w:ascii="Times New Roman" w:hAnsi="Times New Roman" w:cs="Times New Roman"/>
          <w:sz w:val="20"/>
          <w:szCs w:val="20"/>
        </w:rPr>
        <w:t xml:space="preserve">in </w:t>
      </w:r>
      <w:r>
        <w:rPr>
          <w:rFonts w:ascii="Times New Roman" w:hAnsi="Times New Roman" w:cs="Times New Roman"/>
          <w:sz w:val="20"/>
          <w:szCs w:val="20"/>
        </w:rPr>
        <w:t xml:space="preserve">the </w:t>
      </w:r>
      <w:r w:rsidR="00F15952">
        <w:rPr>
          <w:rFonts w:ascii="Times New Roman" w:hAnsi="Times New Roman" w:cs="Times New Roman"/>
          <w:sz w:val="20"/>
          <w:szCs w:val="20"/>
        </w:rPr>
        <w:t xml:space="preserve">area of </w:t>
      </w:r>
      <w:r>
        <w:rPr>
          <w:rFonts w:ascii="Times New Roman" w:hAnsi="Times New Roman" w:cs="Times New Roman"/>
          <w:sz w:val="20"/>
          <w:szCs w:val="20"/>
        </w:rPr>
        <w:t>age dating of uranium. Completely separated uranium materials of known production date were distributed among the laboratories, and the samples were dated according to the routine laboratory procedures. The measurement results were in fairly good agreement with one another and also with the known production date</w:t>
      </w:r>
      <w:r w:rsidR="00F15952">
        <w:rPr>
          <w:rFonts w:ascii="Times New Roman" w:hAnsi="Times New Roman" w:cs="Times New Roman"/>
          <w:sz w:val="20"/>
          <w:szCs w:val="20"/>
        </w:rPr>
        <w:t>, thus strongly underlining</w:t>
      </w:r>
      <w:r>
        <w:rPr>
          <w:rFonts w:ascii="Times New Roman" w:hAnsi="Times New Roman" w:cs="Times New Roman"/>
          <w:sz w:val="20"/>
          <w:szCs w:val="20"/>
        </w:rPr>
        <w:t xml:space="preserve"> that the</w:t>
      </w:r>
      <w:r w:rsidRPr="00CA1210">
        <w:rPr>
          <w:rFonts w:ascii="Times New Roman" w:hAnsi="Times New Roman" w:cs="Times New Roman"/>
          <w:sz w:val="20"/>
          <w:szCs w:val="20"/>
        </w:rPr>
        <w:t xml:space="preserve"> concept </w:t>
      </w:r>
      <w:r w:rsidR="00F15952">
        <w:rPr>
          <w:rFonts w:ascii="Times New Roman" w:hAnsi="Times New Roman" w:cs="Times New Roman"/>
          <w:sz w:val="20"/>
          <w:szCs w:val="20"/>
        </w:rPr>
        <w:t>for</w:t>
      </w:r>
      <w:r w:rsidR="00F15952" w:rsidRPr="00CA1210">
        <w:rPr>
          <w:rFonts w:ascii="Times New Roman" w:hAnsi="Times New Roman" w:cs="Times New Roman"/>
          <w:sz w:val="20"/>
          <w:szCs w:val="20"/>
        </w:rPr>
        <w:t xml:space="preserve"> </w:t>
      </w:r>
      <w:r w:rsidRPr="00CA1210">
        <w:rPr>
          <w:rFonts w:ascii="Times New Roman" w:hAnsi="Times New Roman" w:cs="Times New Roman"/>
          <w:sz w:val="20"/>
          <w:szCs w:val="20"/>
        </w:rPr>
        <w:t xml:space="preserve">preparing such age dating </w:t>
      </w:r>
      <w:r w:rsidR="00F15952">
        <w:rPr>
          <w:rFonts w:ascii="Times New Roman" w:hAnsi="Times New Roman" w:cs="Times New Roman"/>
          <w:sz w:val="20"/>
          <w:szCs w:val="20"/>
        </w:rPr>
        <w:t xml:space="preserve">reference </w:t>
      </w:r>
      <w:r w:rsidRPr="00CA1210">
        <w:rPr>
          <w:rFonts w:ascii="Times New Roman" w:hAnsi="Times New Roman" w:cs="Times New Roman"/>
          <w:sz w:val="20"/>
          <w:szCs w:val="20"/>
        </w:rPr>
        <w:t xml:space="preserve">material is </w:t>
      </w:r>
      <w:r w:rsidR="00F15952">
        <w:rPr>
          <w:rFonts w:ascii="Times New Roman" w:hAnsi="Times New Roman" w:cs="Times New Roman"/>
          <w:sz w:val="20"/>
          <w:szCs w:val="20"/>
        </w:rPr>
        <w:t xml:space="preserve">valid </w:t>
      </w:r>
      <w:r>
        <w:rPr>
          <w:rFonts w:ascii="Times New Roman" w:hAnsi="Times New Roman" w:cs="Times New Roman"/>
          <w:sz w:val="20"/>
          <w:szCs w:val="20"/>
        </w:rPr>
        <w:t xml:space="preserve">and a </w:t>
      </w:r>
      <w:r w:rsidR="00F15952">
        <w:rPr>
          <w:rFonts w:ascii="Times New Roman" w:hAnsi="Times New Roman" w:cs="Times New Roman"/>
          <w:sz w:val="20"/>
          <w:szCs w:val="20"/>
        </w:rPr>
        <w:t xml:space="preserve">useful </w:t>
      </w:r>
      <w:r>
        <w:rPr>
          <w:rFonts w:ascii="Times New Roman" w:hAnsi="Times New Roman" w:cs="Times New Roman"/>
          <w:sz w:val="20"/>
          <w:szCs w:val="20"/>
        </w:rPr>
        <w:t xml:space="preserve">and appropriate </w:t>
      </w:r>
      <w:r w:rsidR="00F15952">
        <w:rPr>
          <w:rFonts w:ascii="Times New Roman" w:hAnsi="Times New Roman" w:cs="Times New Roman"/>
          <w:sz w:val="20"/>
          <w:szCs w:val="20"/>
        </w:rPr>
        <w:t xml:space="preserve">certified </w:t>
      </w:r>
      <w:r>
        <w:rPr>
          <w:rFonts w:ascii="Times New Roman" w:hAnsi="Times New Roman" w:cs="Times New Roman"/>
          <w:sz w:val="20"/>
          <w:szCs w:val="20"/>
        </w:rPr>
        <w:t xml:space="preserve">reference material can be produced </w:t>
      </w:r>
      <w:r w:rsidR="00F15952">
        <w:rPr>
          <w:rFonts w:ascii="Times New Roman" w:hAnsi="Times New Roman" w:cs="Times New Roman"/>
          <w:sz w:val="20"/>
          <w:szCs w:val="20"/>
        </w:rPr>
        <w:t>applying this methodology</w:t>
      </w:r>
      <w:r>
        <w:rPr>
          <w:rFonts w:ascii="Times New Roman" w:hAnsi="Times New Roman" w:cs="Times New Roman"/>
          <w:sz w:val="20"/>
          <w:szCs w:val="20"/>
        </w:rPr>
        <w:t xml:space="preserve">. </w:t>
      </w:r>
      <w:r w:rsidR="00F15952">
        <w:rPr>
          <w:rFonts w:ascii="Times New Roman" w:hAnsi="Times New Roman" w:cs="Times New Roman"/>
          <w:sz w:val="20"/>
          <w:szCs w:val="20"/>
        </w:rPr>
        <w:t xml:space="preserve">The detailed knowledge of </w:t>
      </w:r>
      <w:r>
        <w:rPr>
          <w:rFonts w:ascii="Times New Roman" w:hAnsi="Times New Roman" w:cs="Times New Roman"/>
          <w:sz w:val="20"/>
          <w:szCs w:val="20"/>
        </w:rPr>
        <w:t>the laboratory procedures</w:t>
      </w:r>
      <w:r w:rsidR="00F15952">
        <w:rPr>
          <w:rFonts w:ascii="Times New Roman" w:hAnsi="Times New Roman" w:cs="Times New Roman"/>
          <w:sz w:val="20"/>
          <w:szCs w:val="20"/>
        </w:rPr>
        <w:t xml:space="preserve"> used for measuring the age of the sample</w:t>
      </w:r>
      <w:r>
        <w:rPr>
          <w:rFonts w:ascii="Times New Roman" w:hAnsi="Times New Roman" w:cs="Times New Roman"/>
          <w:sz w:val="20"/>
          <w:szCs w:val="20"/>
        </w:rPr>
        <w:t xml:space="preserve"> </w:t>
      </w:r>
      <w:r w:rsidR="00F15952">
        <w:rPr>
          <w:rFonts w:ascii="Times New Roman" w:hAnsi="Times New Roman" w:cs="Times New Roman"/>
          <w:sz w:val="20"/>
          <w:szCs w:val="20"/>
        </w:rPr>
        <w:t>allows</w:t>
      </w:r>
      <w:r>
        <w:rPr>
          <w:rFonts w:ascii="Times New Roman" w:hAnsi="Times New Roman" w:cs="Times New Roman"/>
          <w:sz w:val="20"/>
          <w:szCs w:val="20"/>
        </w:rPr>
        <w:t xml:space="preserve"> to identify possible </w:t>
      </w:r>
      <w:r w:rsidR="00EC6E9B">
        <w:rPr>
          <w:rFonts w:ascii="Times New Roman" w:hAnsi="Times New Roman" w:cs="Times New Roman"/>
          <w:sz w:val="20"/>
          <w:szCs w:val="20"/>
        </w:rPr>
        <w:t xml:space="preserve">improvements </w:t>
      </w:r>
      <w:r>
        <w:rPr>
          <w:rFonts w:ascii="Times New Roman" w:hAnsi="Times New Roman" w:cs="Times New Roman"/>
          <w:sz w:val="20"/>
          <w:szCs w:val="20"/>
        </w:rPr>
        <w:t xml:space="preserve">in the current protocols and to develop </w:t>
      </w:r>
      <w:r w:rsidRPr="00CA1210">
        <w:rPr>
          <w:rFonts w:ascii="Times New Roman" w:hAnsi="Times New Roman" w:cs="Times New Roman"/>
          <w:sz w:val="20"/>
          <w:szCs w:val="20"/>
        </w:rPr>
        <w:t xml:space="preserve">the best </w:t>
      </w:r>
      <w:r w:rsidR="00EC6E9B">
        <w:rPr>
          <w:rFonts w:ascii="Times New Roman" w:hAnsi="Times New Roman" w:cs="Times New Roman"/>
          <w:sz w:val="20"/>
          <w:szCs w:val="20"/>
        </w:rPr>
        <w:t>practice</w:t>
      </w:r>
      <w:r w:rsidRPr="00CA1210">
        <w:rPr>
          <w:rFonts w:ascii="Times New Roman" w:hAnsi="Times New Roman" w:cs="Times New Roman"/>
          <w:sz w:val="20"/>
          <w:szCs w:val="20"/>
        </w:rPr>
        <w:t xml:space="preserve"> for </w:t>
      </w:r>
      <w:r>
        <w:rPr>
          <w:rFonts w:ascii="Times New Roman" w:hAnsi="Times New Roman" w:cs="Times New Roman"/>
          <w:sz w:val="20"/>
          <w:szCs w:val="20"/>
        </w:rPr>
        <w:t xml:space="preserve">uranium </w:t>
      </w:r>
      <w:r w:rsidRPr="00CA1210">
        <w:rPr>
          <w:rFonts w:ascii="Times New Roman" w:hAnsi="Times New Roman" w:cs="Times New Roman"/>
          <w:sz w:val="20"/>
          <w:szCs w:val="20"/>
        </w:rPr>
        <w:t>age dating</w:t>
      </w:r>
      <w:r>
        <w:rPr>
          <w:rFonts w:ascii="Times New Roman" w:hAnsi="Times New Roman" w:cs="Times New Roman"/>
          <w:sz w:val="20"/>
          <w:szCs w:val="20"/>
        </w:rPr>
        <w:t xml:space="preserve"> in the future. </w:t>
      </w:r>
      <w:r w:rsidRPr="00CA1210">
        <w:rPr>
          <w:rFonts w:ascii="Times New Roman" w:hAnsi="Times New Roman" w:cs="Times New Roman"/>
          <w:sz w:val="20"/>
          <w:szCs w:val="20"/>
        </w:rPr>
        <w:t xml:space="preserve">The availability of age dating reference materials </w:t>
      </w:r>
      <w:r>
        <w:rPr>
          <w:rFonts w:ascii="Times New Roman" w:hAnsi="Times New Roman" w:cs="Times New Roman"/>
          <w:sz w:val="20"/>
          <w:szCs w:val="20"/>
        </w:rPr>
        <w:t xml:space="preserve">as well as the evolvement of the </w:t>
      </w:r>
      <w:r w:rsidRPr="00CA1210">
        <w:rPr>
          <w:rFonts w:ascii="Times New Roman" w:hAnsi="Times New Roman" w:cs="Times New Roman"/>
          <w:sz w:val="20"/>
          <w:szCs w:val="20"/>
        </w:rPr>
        <w:t xml:space="preserve">age dating </w:t>
      </w:r>
      <w:r>
        <w:rPr>
          <w:rFonts w:ascii="Times New Roman" w:hAnsi="Times New Roman" w:cs="Times New Roman"/>
          <w:sz w:val="20"/>
          <w:szCs w:val="20"/>
        </w:rPr>
        <w:t xml:space="preserve">best-practice </w:t>
      </w:r>
      <w:r w:rsidRPr="00CA1210">
        <w:rPr>
          <w:rFonts w:ascii="Times New Roman" w:hAnsi="Times New Roman" w:cs="Times New Roman"/>
          <w:sz w:val="20"/>
          <w:szCs w:val="20"/>
        </w:rPr>
        <w:t>protocol</w:t>
      </w:r>
      <w:r>
        <w:rPr>
          <w:rFonts w:ascii="Times New Roman" w:hAnsi="Times New Roman" w:cs="Times New Roman"/>
          <w:sz w:val="20"/>
          <w:szCs w:val="20"/>
        </w:rPr>
        <w:t xml:space="preserve"> will increase the</w:t>
      </w:r>
      <w:r w:rsidRPr="00CA1210">
        <w:rPr>
          <w:rFonts w:ascii="Times New Roman" w:hAnsi="Times New Roman" w:cs="Times New Roman"/>
          <w:sz w:val="20"/>
          <w:szCs w:val="20"/>
        </w:rPr>
        <w:t xml:space="preserve"> relevance and applicability </w:t>
      </w:r>
      <w:r>
        <w:rPr>
          <w:rFonts w:ascii="Times New Roman" w:hAnsi="Times New Roman" w:cs="Times New Roman"/>
          <w:sz w:val="20"/>
          <w:szCs w:val="20"/>
        </w:rPr>
        <w:t xml:space="preserve">of age dating </w:t>
      </w:r>
      <w:r w:rsidRPr="00CA1210">
        <w:rPr>
          <w:rFonts w:ascii="Times New Roman" w:hAnsi="Times New Roman" w:cs="Times New Roman"/>
          <w:sz w:val="20"/>
          <w:szCs w:val="20"/>
        </w:rPr>
        <w:t>as part of the tool-kit available for nuclear forensic investigations</w:t>
      </w:r>
      <w:r>
        <w:rPr>
          <w:rFonts w:ascii="Times New Roman" w:hAnsi="Times New Roman" w:cs="Times New Roman"/>
          <w:sz w:val="20"/>
          <w:szCs w:val="20"/>
        </w:rPr>
        <w:t>.</w:t>
      </w:r>
      <w:r w:rsidRPr="00CA1210">
        <w:rPr>
          <w:rFonts w:ascii="Times New Roman" w:hAnsi="Times New Roman" w:cs="Times New Roman"/>
          <w:sz w:val="20"/>
          <w:szCs w:val="20"/>
        </w:rPr>
        <w:t xml:space="preserve"> </w:t>
      </w:r>
    </w:p>
    <w:p w:rsidR="0001397F" w:rsidRDefault="0001397F" w:rsidP="00403D7B">
      <w:pPr>
        <w:jc w:val="both"/>
        <w:rPr>
          <w:rFonts w:ascii="Times New Roman" w:hAnsi="Times New Roman" w:cs="Times New Roman"/>
          <w:b/>
        </w:rPr>
      </w:pPr>
    </w:p>
    <w:p w:rsidR="0001397F" w:rsidRPr="00403C8A" w:rsidRDefault="0001397F" w:rsidP="00403D7B">
      <w:pPr>
        <w:jc w:val="both"/>
        <w:rPr>
          <w:rFonts w:ascii="Times New Roman" w:hAnsi="Times New Roman" w:cs="Times New Roman"/>
          <w:b/>
        </w:rPr>
      </w:pPr>
      <w:r>
        <w:rPr>
          <w:rFonts w:ascii="Times New Roman" w:hAnsi="Times New Roman" w:cs="Times New Roman"/>
          <w:b/>
        </w:rPr>
        <w:t xml:space="preserve">1. </w:t>
      </w:r>
      <w:r w:rsidRPr="00403C8A">
        <w:rPr>
          <w:rFonts w:ascii="Times New Roman" w:hAnsi="Times New Roman" w:cs="Times New Roman"/>
          <w:b/>
        </w:rPr>
        <w:t>Introduction</w:t>
      </w:r>
    </w:p>
    <w:p w:rsidR="0001397F" w:rsidRPr="00403C8A" w:rsidRDefault="0001397F" w:rsidP="00403D7B">
      <w:pPr>
        <w:pStyle w:val="BodyText"/>
        <w:spacing w:after="0" w:line="240" w:lineRule="auto"/>
        <w:rPr>
          <w:szCs w:val="22"/>
        </w:rPr>
      </w:pPr>
    </w:p>
    <w:p w:rsidR="0001397F" w:rsidRPr="004A5084" w:rsidRDefault="0001397F" w:rsidP="004A5084">
      <w:pPr>
        <w:pStyle w:val="08ArticleText"/>
        <w:spacing w:line="240" w:lineRule="auto"/>
        <w:rPr>
          <w:sz w:val="22"/>
          <w:szCs w:val="22"/>
        </w:rPr>
      </w:pPr>
      <w:r w:rsidRPr="004A5084">
        <w:rPr>
          <w:sz w:val="22"/>
          <w:szCs w:val="22"/>
        </w:rPr>
        <w:t xml:space="preserve">If nuclear materials are diverted and afterwards interdicted, detailed investigation is required to identify the possible origin, intended use and hazard related to the material. Such analysis, which is now commonly referred to as </w:t>
      </w:r>
      <w:r w:rsidRPr="004A5084">
        <w:rPr>
          <w:i/>
          <w:sz w:val="22"/>
          <w:szCs w:val="22"/>
        </w:rPr>
        <w:t>nuclear forensics</w:t>
      </w:r>
      <w:r w:rsidRPr="004A5084">
        <w:rPr>
          <w:sz w:val="22"/>
          <w:szCs w:val="22"/>
        </w:rPr>
        <w:t>, involve the comprehensive physical, chemical and isotopic measurements (</w:t>
      </w:r>
      <w:r w:rsidRPr="004A5084">
        <w:rPr>
          <w:i/>
          <w:sz w:val="22"/>
          <w:szCs w:val="22"/>
        </w:rPr>
        <w:t>e.g.</w:t>
      </w:r>
      <w:r w:rsidRPr="004A5084">
        <w:rPr>
          <w:sz w:val="22"/>
          <w:szCs w:val="22"/>
        </w:rPr>
        <w:t xml:space="preserve"> physical dimensions, crystal structure, radioactive and stable chemical impurities, classical forensic analysis) as well as the interpretation of these measured parameters</w:t>
      </w:r>
      <w:r>
        <w:rPr>
          <w:sz w:val="22"/>
          <w:szCs w:val="22"/>
        </w:rPr>
        <w:t xml:space="preserve"> </w:t>
      </w:r>
      <w:r>
        <w:rPr>
          <w:noProof/>
          <w:sz w:val="22"/>
          <w:szCs w:val="22"/>
        </w:rPr>
        <w:t>[1-3]</w:t>
      </w:r>
      <w:r w:rsidRPr="004A5084">
        <w:rPr>
          <w:sz w:val="22"/>
          <w:szCs w:val="22"/>
        </w:rPr>
        <w:t>. Based on this complex information, the assumed origin of the material can be verified or for an unknown material the provenance can be identified with high reliability.</w:t>
      </w:r>
    </w:p>
    <w:p w:rsidR="0001397F" w:rsidRDefault="0001397F" w:rsidP="004A5084">
      <w:pPr>
        <w:pStyle w:val="08ArticleText"/>
        <w:spacing w:line="240" w:lineRule="auto"/>
        <w:rPr>
          <w:sz w:val="22"/>
          <w:szCs w:val="22"/>
        </w:rPr>
      </w:pPr>
    </w:p>
    <w:p w:rsidR="0001397F" w:rsidRPr="004A5084" w:rsidRDefault="0001397F" w:rsidP="004A5084">
      <w:pPr>
        <w:pStyle w:val="08ArticleText"/>
        <w:spacing w:line="240" w:lineRule="auto"/>
        <w:rPr>
          <w:sz w:val="22"/>
          <w:szCs w:val="22"/>
        </w:rPr>
      </w:pPr>
      <w:r w:rsidRPr="004A5084">
        <w:rPr>
          <w:sz w:val="22"/>
          <w:szCs w:val="22"/>
        </w:rPr>
        <w:t xml:space="preserve">Numerous characteristics (so-called </w:t>
      </w:r>
      <w:r w:rsidRPr="004A5084">
        <w:rPr>
          <w:i/>
          <w:sz w:val="22"/>
          <w:szCs w:val="22"/>
        </w:rPr>
        <w:t>signatures</w:t>
      </w:r>
      <w:r w:rsidRPr="004A5084">
        <w:rPr>
          <w:sz w:val="22"/>
          <w:szCs w:val="22"/>
        </w:rPr>
        <w:t xml:space="preserve">) of the material can be used for such purpose, such as the isotopic composition of U, </w:t>
      </w:r>
      <w:proofErr w:type="spellStart"/>
      <w:r w:rsidRPr="004A5084">
        <w:rPr>
          <w:sz w:val="22"/>
          <w:szCs w:val="22"/>
        </w:rPr>
        <w:t>Pb</w:t>
      </w:r>
      <w:proofErr w:type="spellEnd"/>
      <w:r w:rsidRPr="004A5084">
        <w:rPr>
          <w:sz w:val="22"/>
          <w:szCs w:val="22"/>
        </w:rPr>
        <w:t xml:space="preserve"> or </w:t>
      </w:r>
      <w:proofErr w:type="spellStart"/>
      <w:r w:rsidRPr="004A5084">
        <w:rPr>
          <w:sz w:val="22"/>
          <w:szCs w:val="22"/>
        </w:rPr>
        <w:t>Sr</w:t>
      </w:r>
      <w:proofErr w:type="spellEnd"/>
      <w:r w:rsidRPr="004A5084">
        <w:rPr>
          <w:sz w:val="22"/>
          <w:szCs w:val="22"/>
        </w:rPr>
        <w:t xml:space="preserve">, elemental impurities, trace-level radionuclide content, crystal structure or anionic residues. Besides these parameters the elapsed time (commonly referred to as the "age" of the material) since the last chemical purification of the material can also be measured for radioactive (nuclear) materials. This unique possibility is based on exploiting the presence and decay of the long-lived radionuclide (usually uranium or plutonium as major component in case of nuclear materials): in the course of the production the radionuclide is chemically purified from the impurities, including also its radioactive decay products. After production, the radioactive progenies start to grow-in again in the material. Assuming that the parent-daughter separation was complete, the elapsed time since the last separation, thus the production date, can be calculated according to the decay equations </w:t>
      </w:r>
      <w:r w:rsidRPr="004A5084">
        <w:rPr>
          <w:sz w:val="22"/>
          <w:szCs w:val="22"/>
        </w:rPr>
        <w:lastRenderedPageBreak/>
        <w:t>after the measurement of the parent-daughter ratio in the sample. This age value enables either to identify the origin of the unknown sample or to verify the source of the feed material. In contrast to most other characteristics used in nuclear forensics, the production date of the material is a predictive signature, thus it does not require comparison samples for origin assessment. This feature makes the production date one of the most prominent signatures for attribution.</w:t>
      </w:r>
    </w:p>
    <w:p w:rsidR="0001397F" w:rsidRDefault="0001397F" w:rsidP="004A5084">
      <w:pPr>
        <w:pStyle w:val="08ArticleText"/>
        <w:spacing w:line="240" w:lineRule="auto"/>
        <w:rPr>
          <w:sz w:val="22"/>
          <w:szCs w:val="22"/>
        </w:rPr>
      </w:pPr>
    </w:p>
    <w:p w:rsidR="0001397F" w:rsidRPr="004A5084" w:rsidRDefault="0001397F" w:rsidP="004A5084">
      <w:pPr>
        <w:pStyle w:val="08ArticleText"/>
        <w:spacing w:line="240" w:lineRule="auto"/>
        <w:rPr>
          <w:sz w:val="22"/>
          <w:szCs w:val="22"/>
        </w:rPr>
      </w:pPr>
      <w:r w:rsidRPr="004A5084">
        <w:rPr>
          <w:sz w:val="22"/>
          <w:szCs w:val="22"/>
        </w:rPr>
        <w:t xml:space="preserve">However, in order to put the obtained results on a more solid scientific or legally defensible foundation, dedicated reference materials are required. In consequence, an emerging need for such materials has been recently expressed by the community involved in national or international nuclear security programs. </w:t>
      </w:r>
    </w:p>
    <w:p w:rsidR="0001397F" w:rsidRDefault="0001397F" w:rsidP="004A5084">
      <w:pPr>
        <w:pStyle w:val="08ArticleText"/>
        <w:spacing w:line="240" w:lineRule="auto"/>
        <w:rPr>
          <w:sz w:val="22"/>
          <w:szCs w:val="22"/>
        </w:rPr>
      </w:pPr>
    </w:p>
    <w:p w:rsidR="0001397F" w:rsidRPr="004A5084" w:rsidRDefault="0001397F" w:rsidP="004A5084">
      <w:pPr>
        <w:pStyle w:val="08ArticleText"/>
        <w:spacing w:line="240" w:lineRule="auto"/>
        <w:rPr>
          <w:sz w:val="22"/>
          <w:szCs w:val="22"/>
        </w:rPr>
      </w:pPr>
      <w:r w:rsidRPr="004A5084">
        <w:rPr>
          <w:sz w:val="22"/>
          <w:szCs w:val="22"/>
        </w:rPr>
        <w:t xml:space="preserve">Our major objective was the preparation and validation of a uranium-based reference material, which can be applied for the validation of age measurements based on the </w:t>
      </w:r>
      <w:r w:rsidRPr="004A5084">
        <w:rPr>
          <w:sz w:val="22"/>
          <w:szCs w:val="22"/>
          <w:vertAlign w:val="superscript"/>
        </w:rPr>
        <w:t>230</w:t>
      </w:r>
      <w:r w:rsidRPr="004A5084">
        <w:rPr>
          <w:sz w:val="22"/>
          <w:szCs w:val="22"/>
        </w:rPr>
        <w:t>Th/</w:t>
      </w:r>
      <w:r w:rsidRPr="004A5084">
        <w:rPr>
          <w:sz w:val="22"/>
          <w:szCs w:val="22"/>
          <w:vertAlign w:val="superscript"/>
        </w:rPr>
        <w:t>234</w:t>
      </w:r>
      <w:r w:rsidRPr="004A5084">
        <w:rPr>
          <w:sz w:val="22"/>
          <w:szCs w:val="22"/>
        </w:rPr>
        <w:t xml:space="preserve">U chronometer. The material was prepared from high-purity uranium solutions with various uranium enrichments by completely separating the thorium decay product </w:t>
      </w:r>
      <w:r>
        <w:rPr>
          <w:noProof/>
          <w:sz w:val="22"/>
          <w:szCs w:val="22"/>
        </w:rPr>
        <w:t>[4]</w:t>
      </w:r>
      <w:r w:rsidRPr="004A5084">
        <w:rPr>
          <w:sz w:val="22"/>
          <w:szCs w:val="22"/>
        </w:rPr>
        <w:t xml:space="preserve">. By this means, the production date is very precisely known (with an uncertainty of less than about 5 hours). In contrast to other methods of producing age dating reference materials , this approach does not require measuring the age of the final material and thus deriving a certified production date, because, if all conditions are fulfilled (completeness of separation, long-term stability, closed system), the </w:t>
      </w:r>
      <w:r w:rsidRPr="004A5084">
        <w:rPr>
          <w:sz w:val="22"/>
          <w:szCs w:val="22"/>
          <w:vertAlign w:val="superscript"/>
        </w:rPr>
        <w:t>230</w:t>
      </w:r>
      <w:r w:rsidRPr="004A5084">
        <w:rPr>
          <w:sz w:val="22"/>
          <w:szCs w:val="22"/>
        </w:rPr>
        <w:t xml:space="preserve">Th present in the material will solely depend on the radioactive decay laws. Therefore, the material prepared can be used as a primary standard for age dating of uranium materials. </w:t>
      </w:r>
    </w:p>
    <w:p w:rsidR="0001397F" w:rsidRDefault="0001397F" w:rsidP="004A5084">
      <w:pPr>
        <w:pStyle w:val="08ArticleText"/>
        <w:spacing w:line="240" w:lineRule="auto"/>
        <w:rPr>
          <w:sz w:val="22"/>
          <w:szCs w:val="22"/>
        </w:rPr>
      </w:pPr>
    </w:p>
    <w:p w:rsidR="0001397F" w:rsidRPr="004A5084" w:rsidRDefault="0001397F" w:rsidP="004A5084">
      <w:pPr>
        <w:pStyle w:val="08ArticleText"/>
        <w:spacing w:line="240" w:lineRule="auto"/>
        <w:rPr>
          <w:sz w:val="22"/>
          <w:szCs w:val="22"/>
        </w:rPr>
      </w:pPr>
      <w:r w:rsidRPr="004A5084">
        <w:rPr>
          <w:sz w:val="22"/>
          <w:szCs w:val="22"/>
        </w:rPr>
        <w:t xml:space="preserve">The aim of the present collaboration is </w:t>
      </w:r>
      <w:r w:rsidR="00F15952">
        <w:rPr>
          <w:sz w:val="22"/>
          <w:szCs w:val="22"/>
        </w:rPr>
        <w:t>two</w:t>
      </w:r>
      <w:r w:rsidR="009654A4">
        <w:rPr>
          <w:sz w:val="22"/>
          <w:szCs w:val="22"/>
        </w:rPr>
        <w:t>-</w:t>
      </w:r>
      <w:r w:rsidR="00F15952">
        <w:rPr>
          <w:sz w:val="22"/>
          <w:szCs w:val="22"/>
        </w:rPr>
        <w:t xml:space="preserve">fold: firstly, </w:t>
      </w:r>
      <w:r w:rsidRPr="004A5084">
        <w:rPr>
          <w:sz w:val="22"/>
          <w:szCs w:val="22"/>
        </w:rPr>
        <w:t xml:space="preserve">to prove the applicability of this methodology for the preparation of a uranium age dating reference material by the independent measurement of expert laboratories. Since the validation requires the measurement of the </w:t>
      </w:r>
      <w:r w:rsidRPr="004A5084">
        <w:rPr>
          <w:sz w:val="22"/>
          <w:szCs w:val="22"/>
          <w:vertAlign w:val="superscript"/>
        </w:rPr>
        <w:t>230</w:t>
      </w:r>
      <w:r w:rsidRPr="004A5084">
        <w:rPr>
          <w:sz w:val="22"/>
          <w:szCs w:val="22"/>
        </w:rPr>
        <w:t xml:space="preserve">Th decay product at very low level from the freshly separated material, state-of-the-art instruments and well-established techniques are required. </w:t>
      </w:r>
      <w:r w:rsidR="00261D28">
        <w:rPr>
          <w:sz w:val="22"/>
          <w:szCs w:val="22"/>
        </w:rPr>
        <w:t>Secondly</w:t>
      </w:r>
      <w:r w:rsidRPr="004A5084">
        <w:rPr>
          <w:sz w:val="22"/>
          <w:szCs w:val="22"/>
        </w:rPr>
        <w:t xml:space="preserve">, </w:t>
      </w:r>
      <w:r w:rsidR="00261D28">
        <w:rPr>
          <w:sz w:val="22"/>
          <w:szCs w:val="22"/>
        </w:rPr>
        <w:t>this joint effort</w:t>
      </w:r>
      <w:r w:rsidRPr="004A5084">
        <w:rPr>
          <w:sz w:val="22"/>
          <w:szCs w:val="22"/>
        </w:rPr>
        <w:t xml:space="preserve"> enables </w:t>
      </w:r>
      <w:r w:rsidR="00261D28">
        <w:rPr>
          <w:sz w:val="22"/>
          <w:szCs w:val="22"/>
        </w:rPr>
        <w:t xml:space="preserve">the </w:t>
      </w:r>
      <w:r w:rsidRPr="004A5084">
        <w:rPr>
          <w:sz w:val="22"/>
          <w:szCs w:val="22"/>
        </w:rPr>
        <w:t xml:space="preserve">identification of the best methodologies </w:t>
      </w:r>
      <w:r w:rsidR="00261D28">
        <w:rPr>
          <w:sz w:val="22"/>
          <w:szCs w:val="22"/>
        </w:rPr>
        <w:t xml:space="preserve">(best practices) </w:t>
      </w:r>
      <w:r w:rsidRPr="004A5084">
        <w:rPr>
          <w:sz w:val="22"/>
          <w:szCs w:val="22"/>
        </w:rPr>
        <w:t xml:space="preserve">for </w:t>
      </w:r>
      <w:r w:rsidR="00261D28">
        <w:rPr>
          <w:sz w:val="22"/>
          <w:szCs w:val="22"/>
        </w:rPr>
        <w:t xml:space="preserve">uranium </w:t>
      </w:r>
      <w:r w:rsidRPr="004A5084">
        <w:rPr>
          <w:sz w:val="22"/>
          <w:szCs w:val="22"/>
        </w:rPr>
        <w:t>age dating. The availability of age dating reference materials will help validate current and future age dating protocols, leading to a more robust source of nuclear forensic signatures and a legally defensible basis for the use of age dating results in nuclear forensics investigations. Validation of these methods will increase their relevance and applicability as part of the tool-kit available for nuclear forensics investigations.</w:t>
      </w:r>
    </w:p>
    <w:p w:rsidR="0001397F" w:rsidRPr="00403C8A" w:rsidRDefault="0001397F" w:rsidP="00403D7B">
      <w:pPr>
        <w:pStyle w:val="BodyText"/>
        <w:spacing w:after="0" w:line="240" w:lineRule="auto"/>
        <w:rPr>
          <w:szCs w:val="22"/>
        </w:rPr>
      </w:pPr>
    </w:p>
    <w:p w:rsidR="0001397F" w:rsidRPr="00403C8A" w:rsidRDefault="0001397F" w:rsidP="00403D7B">
      <w:pPr>
        <w:pStyle w:val="04AHeading"/>
        <w:spacing w:before="0" w:after="0" w:line="240" w:lineRule="auto"/>
        <w:jc w:val="both"/>
        <w:rPr>
          <w:szCs w:val="22"/>
        </w:rPr>
      </w:pPr>
      <w:r w:rsidRPr="00403C8A">
        <w:rPr>
          <w:szCs w:val="22"/>
        </w:rPr>
        <w:t xml:space="preserve">2. </w:t>
      </w:r>
      <w:r>
        <w:rPr>
          <w:szCs w:val="22"/>
        </w:rPr>
        <w:t>Preparation of the materials</w:t>
      </w:r>
    </w:p>
    <w:p w:rsidR="0001397F" w:rsidRPr="009515F0" w:rsidRDefault="0001397F" w:rsidP="00403D7B">
      <w:pPr>
        <w:pStyle w:val="05BHeading"/>
        <w:spacing w:before="0" w:after="0" w:line="240" w:lineRule="auto"/>
        <w:rPr>
          <w:b w:val="0"/>
          <w:sz w:val="22"/>
          <w:szCs w:val="22"/>
        </w:rPr>
      </w:pPr>
    </w:p>
    <w:p w:rsidR="0001397F" w:rsidRDefault="0001397F" w:rsidP="00403D7B">
      <w:pPr>
        <w:pStyle w:val="08ArticleText"/>
        <w:spacing w:line="240" w:lineRule="auto"/>
        <w:rPr>
          <w:sz w:val="22"/>
          <w:szCs w:val="22"/>
          <w:lang w:eastAsia="en-US"/>
        </w:rPr>
      </w:pPr>
      <w:r w:rsidRPr="006077B3">
        <w:rPr>
          <w:sz w:val="22"/>
          <w:szCs w:val="22"/>
          <w:lang w:eastAsia="en-US"/>
        </w:rPr>
        <w:t xml:space="preserve">The material was prepared from uranium after complete separation of thorium decay products (zeroing the initial daughter nuclide concentration) at a well-known time and allowing the ingrowth of the daughter nuclides. </w:t>
      </w:r>
    </w:p>
    <w:p w:rsidR="0001397F" w:rsidRDefault="0001397F" w:rsidP="00403D7B">
      <w:pPr>
        <w:pStyle w:val="08ArticleText"/>
        <w:spacing w:line="240" w:lineRule="auto"/>
        <w:rPr>
          <w:sz w:val="22"/>
          <w:szCs w:val="22"/>
          <w:lang w:eastAsia="en-US"/>
        </w:rPr>
      </w:pPr>
    </w:p>
    <w:p w:rsidR="0001397F" w:rsidRDefault="0001397F" w:rsidP="00403D7B">
      <w:pPr>
        <w:pStyle w:val="08ArticleText"/>
        <w:spacing w:line="240" w:lineRule="auto"/>
        <w:rPr>
          <w:sz w:val="22"/>
          <w:szCs w:val="22"/>
        </w:rPr>
      </w:pPr>
      <w:r w:rsidRPr="00EA4830">
        <w:rPr>
          <w:sz w:val="22"/>
          <w:szCs w:val="22"/>
        </w:rPr>
        <w:t xml:space="preserve">The preparation of the material is described in details elsewhere </w:t>
      </w:r>
      <w:r>
        <w:rPr>
          <w:noProof/>
          <w:sz w:val="22"/>
          <w:szCs w:val="22"/>
        </w:rPr>
        <w:t>[4]</w:t>
      </w:r>
      <w:r w:rsidRPr="00EA4830">
        <w:rPr>
          <w:sz w:val="22"/>
          <w:szCs w:val="22"/>
        </w:rPr>
        <w:t>. The material</w:t>
      </w:r>
      <w:r>
        <w:rPr>
          <w:sz w:val="22"/>
          <w:szCs w:val="22"/>
        </w:rPr>
        <w:t>s used were high-purity</w:t>
      </w:r>
      <w:r w:rsidRPr="00EA4830">
        <w:rPr>
          <w:sz w:val="22"/>
          <w:szCs w:val="22"/>
        </w:rPr>
        <w:t xml:space="preserve"> uranium-oxide sample</w:t>
      </w:r>
      <w:r>
        <w:rPr>
          <w:sz w:val="22"/>
          <w:szCs w:val="22"/>
        </w:rPr>
        <w:t xml:space="preserve">s </w:t>
      </w:r>
      <w:r w:rsidRPr="00EA4830">
        <w:rPr>
          <w:sz w:val="22"/>
          <w:szCs w:val="22"/>
        </w:rPr>
        <w:t xml:space="preserve">dissolved in nitric acid. </w:t>
      </w:r>
      <w:r>
        <w:rPr>
          <w:sz w:val="22"/>
          <w:szCs w:val="22"/>
        </w:rPr>
        <w:t xml:space="preserve">Three uranium materials with different uranium enrichments were prepared: natural uranium (0.71% </w:t>
      </w:r>
      <w:r w:rsidRPr="00711033">
        <w:rPr>
          <w:sz w:val="22"/>
          <w:szCs w:val="22"/>
          <w:vertAlign w:val="superscript"/>
        </w:rPr>
        <w:t>235</w:t>
      </w:r>
      <w:r>
        <w:rPr>
          <w:sz w:val="22"/>
          <w:szCs w:val="22"/>
        </w:rPr>
        <w:t xml:space="preserve">U </w:t>
      </w:r>
      <w:r w:rsidR="0074589E">
        <w:rPr>
          <w:sz w:val="22"/>
          <w:szCs w:val="22"/>
        </w:rPr>
        <w:t>abundance</w:t>
      </w:r>
      <w:r>
        <w:rPr>
          <w:sz w:val="22"/>
          <w:szCs w:val="22"/>
        </w:rPr>
        <w:t xml:space="preserve">), low-enriched uranium (LEU, approximately 4% </w:t>
      </w:r>
      <w:r w:rsidRPr="00711033">
        <w:rPr>
          <w:sz w:val="22"/>
          <w:szCs w:val="22"/>
          <w:vertAlign w:val="superscript"/>
        </w:rPr>
        <w:t>235</w:t>
      </w:r>
      <w:r>
        <w:rPr>
          <w:sz w:val="22"/>
          <w:szCs w:val="22"/>
        </w:rPr>
        <w:t xml:space="preserve">U </w:t>
      </w:r>
      <w:r w:rsidR="0074589E">
        <w:rPr>
          <w:sz w:val="22"/>
          <w:szCs w:val="22"/>
        </w:rPr>
        <w:t>abundance</w:t>
      </w:r>
      <w:r>
        <w:rPr>
          <w:sz w:val="22"/>
          <w:szCs w:val="22"/>
        </w:rPr>
        <w:t xml:space="preserve">) and a highly-enriched uranium material (HEU, </w:t>
      </w:r>
      <w:r w:rsidRPr="00711033">
        <w:rPr>
          <w:sz w:val="22"/>
          <w:szCs w:val="22"/>
          <w:vertAlign w:val="superscript"/>
        </w:rPr>
        <w:t>235</w:t>
      </w:r>
      <w:r>
        <w:rPr>
          <w:sz w:val="22"/>
          <w:szCs w:val="22"/>
        </w:rPr>
        <w:t xml:space="preserve">U </w:t>
      </w:r>
      <w:r w:rsidR="0074589E">
        <w:rPr>
          <w:sz w:val="22"/>
          <w:szCs w:val="22"/>
        </w:rPr>
        <w:t>abundance</w:t>
      </w:r>
      <w:r>
        <w:rPr>
          <w:sz w:val="22"/>
          <w:szCs w:val="22"/>
        </w:rPr>
        <w:t xml:space="preserve"> is about 70%). </w:t>
      </w:r>
      <w:r w:rsidRPr="00EA4830">
        <w:rPr>
          <w:sz w:val="22"/>
          <w:szCs w:val="22"/>
        </w:rPr>
        <w:t xml:space="preserve">The </w:t>
      </w:r>
      <w:r>
        <w:rPr>
          <w:sz w:val="22"/>
          <w:szCs w:val="22"/>
        </w:rPr>
        <w:t xml:space="preserve">dissolved uranium </w:t>
      </w:r>
      <w:r w:rsidRPr="00EA4830">
        <w:rPr>
          <w:sz w:val="22"/>
          <w:szCs w:val="22"/>
        </w:rPr>
        <w:t>sample</w:t>
      </w:r>
      <w:r>
        <w:rPr>
          <w:sz w:val="22"/>
          <w:szCs w:val="22"/>
        </w:rPr>
        <w:t>s were</w:t>
      </w:r>
      <w:r w:rsidRPr="00EA4830">
        <w:rPr>
          <w:sz w:val="22"/>
          <w:szCs w:val="22"/>
        </w:rPr>
        <w:t xml:space="preserve"> purified with three consecutive extraction chromatographic separations in order to </w:t>
      </w:r>
      <w:r>
        <w:rPr>
          <w:sz w:val="22"/>
          <w:szCs w:val="22"/>
        </w:rPr>
        <w:t xml:space="preserve">completely </w:t>
      </w:r>
      <w:r w:rsidRPr="00EA4830">
        <w:rPr>
          <w:sz w:val="22"/>
          <w:szCs w:val="22"/>
        </w:rPr>
        <w:t xml:space="preserve">remove the </w:t>
      </w:r>
      <w:r w:rsidRPr="00EA4830">
        <w:rPr>
          <w:sz w:val="22"/>
          <w:szCs w:val="22"/>
          <w:vertAlign w:val="superscript"/>
        </w:rPr>
        <w:t>230</w:t>
      </w:r>
      <w:r w:rsidRPr="00EA4830">
        <w:rPr>
          <w:sz w:val="22"/>
          <w:szCs w:val="22"/>
        </w:rPr>
        <w:t>Th decay product. The final thorium purification of the material took place on 19 July 2011</w:t>
      </w:r>
      <w:r>
        <w:rPr>
          <w:sz w:val="22"/>
          <w:szCs w:val="22"/>
        </w:rPr>
        <w:t xml:space="preserve">. The purified uranium solutions were </w:t>
      </w:r>
      <w:proofErr w:type="spellStart"/>
      <w:r>
        <w:rPr>
          <w:sz w:val="22"/>
          <w:szCs w:val="22"/>
        </w:rPr>
        <w:t>aliquoted</w:t>
      </w:r>
      <w:proofErr w:type="spellEnd"/>
      <w:r>
        <w:rPr>
          <w:sz w:val="22"/>
          <w:szCs w:val="22"/>
        </w:rPr>
        <w:t xml:space="preserve"> into screw-capped PFA vials right after the uranium purification and sample homogenization. Approximately 30 mg U was placed into each vial, and then they were</w:t>
      </w:r>
      <w:r w:rsidRPr="00EA4830">
        <w:rPr>
          <w:sz w:val="22"/>
          <w:szCs w:val="22"/>
        </w:rPr>
        <w:t xml:space="preserve"> evaporated to dryness right after its preparation to avoid loss of </w:t>
      </w:r>
      <w:proofErr w:type="spellStart"/>
      <w:r w:rsidRPr="00EA4830">
        <w:rPr>
          <w:sz w:val="22"/>
          <w:szCs w:val="22"/>
        </w:rPr>
        <w:t>Th</w:t>
      </w:r>
      <w:proofErr w:type="spellEnd"/>
      <w:r w:rsidRPr="00EA4830">
        <w:rPr>
          <w:sz w:val="22"/>
          <w:szCs w:val="22"/>
        </w:rPr>
        <w:t xml:space="preserve"> by adsorption. </w:t>
      </w:r>
    </w:p>
    <w:p w:rsidR="0001397F" w:rsidRDefault="0001397F" w:rsidP="00403D7B">
      <w:pPr>
        <w:pStyle w:val="08ArticleText"/>
        <w:spacing w:line="240" w:lineRule="auto"/>
        <w:rPr>
          <w:sz w:val="22"/>
          <w:szCs w:val="22"/>
        </w:rPr>
      </w:pPr>
    </w:p>
    <w:p w:rsidR="0001397F" w:rsidRDefault="0001397F" w:rsidP="00403D7B">
      <w:pPr>
        <w:pStyle w:val="08ArticleText"/>
        <w:spacing w:line="240" w:lineRule="auto"/>
        <w:rPr>
          <w:sz w:val="22"/>
          <w:szCs w:val="22"/>
        </w:rPr>
      </w:pPr>
      <w:r w:rsidRPr="00EA4830">
        <w:rPr>
          <w:sz w:val="22"/>
          <w:szCs w:val="22"/>
        </w:rPr>
        <w:t xml:space="preserve">The separation efficiency of </w:t>
      </w:r>
      <w:proofErr w:type="spellStart"/>
      <w:r w:rsidRPr="00EA4830">
        <w:rPr>
          <w:sz w:val="22"/>
          <w:szCs w:val="22"/>
        </w:rPr>
        <w:t>Th</w:t>
      </w:r>
      <w:proofErr w:type="spellEnd"/>
      <w:r w:rsidRPr="00EA4830">
        <w:rPr>
          <w:sz w:val="22"/>
          <w:szCs w:val="22"/>
        </w:rPr>
        <w:t xml:space="preserve"> was determined by gamma spectrometric measurement and by the addition of </w:t>
      </w:r>
      <w:r w:rsidRPr="00EA4830">
        <w:rPr>
          <w:sz w:val="22"/>
          <w:szCs w:val="22"/>
          <w:vertAlign w:val="superscript"/>
        </w:rPr>
        <w:t>232</w:t>
      </w:r>
      <w:r w:rsidRPr="00EA4830">
        <w:rPr>
          <w:sz w:val="22"/>
          <w:szCs w:val="22"/>
        </w:rPr>
        <w:t xml:space="preserve">Th to the starting material and its re-measurement following the chemical separations. A total </w:t>
      </w:r>
      <w:r>
        <w:rPr>
          <w:sz w:val="22"/>
          <w:szCs w:val="22"/>
        </w:rPr>
        <w:t>separation factor of approximately 3</w:t>
      </w:r>
      <w:r w:rsidRPr="00EA4830">
        <w:rPr>
          <w:sz w:val="22"/>
          <w:szCs w:val="22"/>
        </w:rPr>
        <w:t xml:space="preserve"> × 10</w:t>
      </w:r>
      <w:r w:rsidRPr="00EA4830">
        <w:rPr>
          <w:sz w:val="22"/>
          <w:szCs w:val="22"/>
          <w:vertAlign w:val="superscript"/>
        </w:rPr>
        <w:t>7</w:t>
      </w:r>
      <w:r w:rsidRPr="00EA4830">
        <w:rPr>
          <w:sz w:val="22"/>
          <w:szCs w:val="22"/>
        </w:rPr>
        <w:t xml:space="preserve"> was achieved, which corresponds to a </w:t>
      </w:r>
      <w:r w:rsidRPr="00EA4830">
        <w:rPr>
          <w:sz w:val="22"/>
          <w:szCs w:val="22"/>
          <w:vertAlign w:val="superscript"/>
        </w:rPr>
        <w:t>230</w:t>
      </w:r>
      <w:r w:rsidRPr="00EA4830">
        <w:rPr>
          <w:sz w:val="22"/>
          <w:szCs w:val="22"/>
        </w:rPr>
        <w:t>Th/</w:t>
      </w:r>
      <w:r w:rsidRPr="00EA4830">
        <w:rPr>
          <w:sz w:val="22"/>
          <w:szCs w:val="22"/>
          <w:vertAlign w:val="superscript"/>
        </w:rPr>
        <w:t>234</w:t>
      </w:r>
      <w:r w:rsidRPr="00EA4830">
        <w:rPr>
          <w:sz w:val="22"/>
          <w:szCs w:val="22"/>
        </w:rPr>
        <w:t>U ratio in the final r</w:t>
      </w:r>
      <w:r w:rsidR="006C5BC8">
        <w:rPr>
          <w:sz w:val="22"/>
          <w:szCs w:val="22"/>
        </w:rPr>
        <w:t>eference material of</w:t>
      </w:r>
      <w:r>
        <w:rPr>
          <w:sz w:val="22"/>
          <w:szCs w:val="22"/>
        </w:rPr>
        <w:t xml:space="preserve"> </w:t>
      </w:r>
      <w:r w:rsidRPr="00EA4830">
        <w:rPr>
          <w:sz w:val="22"/>
          <w:szCs w:val="22"/>
        </w:rPr>
        <w:t>10</w:t>
      </w:r>
      <w:r w:rsidRPr="00C603BA">
        <w:rPr>
          <w:sz w:val="22"/>
          <w:szCs w:val="22"/>
          <w:vertAlign w:val="superscript"/>
        </w:rPr>
        <w:t>-11</w:t>
      </w:r>
      <w:r>
        <w:rPr>
          <w:sz w:val="22"/>
          <w:szCs w:val="22"/>
        </w:rPr>
        <w:t xml:space="preserve"> – </w:t>
      </w:r>
      <w:r w:rsidRPr="00EA4830">
        <w:rPr>
          <w:sz w:val="22"/>
          <w:szCs w:val="22"/>
        </w:rPr>
        <w:t>10</w:t>
      </w:r>
      <w:r w:rsidRPr="00EA4830">
        <w:rPr>
          <w:sz w:val="22"/>
          <w:szCs w:val="22"/>
          <w:vertAlign w:val="superscript"/>
        </w:rPr>
        <w:t>-13</w:t>
      </w:r>
      <w:r w:rsidRPr="00EA4830">
        <w:rPr>
          <w:sz w:val="22"/>
          <w:szCs w:val="22"/>
        </w:rPr>
        <w:t xml:space="preserve"> at the time of preparation</w:t>
      </w:r>
      <w:r>
        <w:rPr>
          <w:sz w:val="22"/>
          <w:szCs w:val="22"/>
        </w:rPr>
        <w:t>. Therefore,</w:t>
      </w:r>
      <w:r w:rsidRPr="00EA4830">
        <w:rPr>
          <w:sz w:val="22"/>
          <w:szCs w:val="22"/>
        </w:rPr>
        <w:t xml:space="preserve"> the residual </w:t>
      </w:r>
      <w:r w:rsidRPr="00EA4830">
        <w:rPr>
          <w:sz w:val="22"/>
          <w:szCs w:val="22"/>
          <w:vertAlign w:val="superscript"/>
        </w:rPr>
        <w:t>230</w:t>
      </w:r>
      <w:r w:rsidRPr="00EA4830">
        <w:rPr>
          <w:sz w:val="22"/>
          <w:szCs w:val="22"/>
        </w:rPr>
        <w:t>Th is negligible compared to the ingrowth thereafter</w:t>
      </w:r>
      <w:r>
        <w:rPr>
          <w:sz w:val="22"/>
          <w:szCs w:val="22"/>
        </w:rPr>
        <w:t xml:space="preserve"> (corresponds to less than a few hours’ expressed as time), and </w:t>
      </w:r>
      <w:r w:rsidRPr="00EA4830">
        <w:rPr>
          <w:sz w:val="22"/>
          <w:szCs w:val="22"/>
        </w:rPr>
        <w:t xml:space="preserve">the amount of </w:t>
      </w:r>
      <w:r w:rsidRPr="00EA4830">
        <w:rPr>
          <w:sz w:val="22"/>
          <w:szCs w:val="22"/>
          <w:vertAlign w:val="superscript"/>
        </w:rPr>
        <w:t>230</w:t>
      </w:r>
      <w:r w:rsidRPr="00EA4830">
        <w:rPr>
          <w:sz w:val="22"/>
          <w:szCs w:val="22"/>
        </w:rPr>
        <w:t xml:space="preserve">Th in the material is then solely the function of the </w:t>
      </w:r>
      <w:r w:rsidRPr="00EA4830">
        <w:rPr>
          <w:sz w:val="22"/>
          <w:szCs w:val="22"/>
          <w:vertAlign w:val="superscript"/>
        </w:rPr>
        <w:t>234</w:t>
      </w:r>
      <w:r w:rsidRPr="00EA4830">
        <w:rPr>
          <w:sz w:val="22"/>
          <w:szCs w:val="22"/>
        </w:rPr>
        <w:t>U amount</w:t>
      </w:r>
      <w:r w:rsidR="006C5BC8">
        <w:rPr>
          <w:sz w:val="22"/>
          <w:szCs w:val="22"/>
        </w:rPr>
        <w:t xml:space="preserve">. The </w:t>
      </w:r>
      <w:r w:rsidR="006C5BC8">
        <w:rPr>
          <w:sz w:val="22"/>
          <w:szCs w:val="22"/>
        </w:rPr>
        <w:lastRenderedPageBreak/>
        <w:t xml:space="preserve">number of atoms of </w:t>
      </w:r>
      <w:r w:rsidR="006C5BC8" w:rsidRPr="006C5BC8">
        <w:rPr>
          <w:sz w:val="22"/>
          <w:szCs w:val="22"/>
          <w:vertAlign w:val="superscript"/>
        </w:rPr>
        <w:t>230</w:t>
      </w:r>
      <w:r w:rsidR="006C5BC8">
        <w:rPr>
          <w:sz w:val="22"/>
          <w:szCs w:val="22"/>
        </w:rPr>
        <w:t xml:space="preserve">Th </w:t>
      </w:r>
      <w:r w:rsidRPr="00EA4830">
        <w:rPr>
          <w:sz w:val="22"/>
          <w:szCs w:val="22"/>
        </w:rPr>
        <w:t>can be derived from the decay equations:</w:t>
      </w:r>
    </w:p>
    <w:p w:rsidR="00CC1D33" w:rsidRDefault="00CC1D33" w:rsidP="00403D7B">
      <w:pPr>
        <w:pStyle w:val="08ArticleText"/>
        <w:spacing w:line="240" w:lineRule="auto"/>
        <w:rPr>
          <w:sz w:val="22"/>
          <w:szCs w:val="22"/>
        </w:rPr>
      </w:pPr>
    </w:p>
    <w:p w:rsidR="0001397F" w:rsidRPr="00EA4830" w:rsidRDefault="00CC1D33" w:rsidP="00403D7B">
      <w:pPr>
        <w:pStyle w:val="08ArticleText"/>
        <w:spacing w:line="240" w:lineRule="auto"/>
        <w:rPr>
          <w:sz w:val="22"/>
          <w:szCs w:val="22"/>
        </w:rPr>
      </w:pPr>
      <w:r w:rsidRPr="006C5BC8">
        <w:rPr>
          <w:sz w:val="22"/>
          <w:szCs w:val="22"/>
        </w:rPr>
        <w:tab/>
      </w:r>
      <w:r w:rsidRPr="006C5BC8">
        <w:rPr>
          <w:sz w:val="22"/>
          <w:szCs w:val="22"/>
        </w:rPr>
        <w:tab/>
      </w:r>
      <w:r w:rsidRPr="006C5BC8">
        <w:rPr>
          <w:sz w:val="22"/>
          <w:szCs w:val="22"/>
        </w:rPr>
        <w:tab/>
      </w:r>
      <w:r w:rsidRPr="00C45C23">
        <w:rPr>
          <w:position w:val="-30"/>
          <w:sz w:val="22"/>
          <w:szCs w:val="22"/>
          <w:lang w:val="de-DE"/>
        </w:rPr>
        <w:object w:dxaOrig="47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8.45pt;height:32.75pt" o:ole="">
            <v:imagedata r:id="rId8" o:title=""/>
          </v:shape>
          <o:OLEObject Type="Embed" ProgID="Equation.3" ShapeID="_x0000_i1029" DrawAspect="Content" ObjectID="_1465984145" r:id="rId9"/>
        </w:object>
      </w:r>
      <w:r w:rsidRPr="009D3B99">
        <w:rPr>
          <w:sz w:val="22"/>
          <w:szCs w:val="22"/>
        </w:rPr>
        <w:tab/>
      </w:r>
      <w:r w:rsidRPr="009D3B99">
        <w:rPr>
          <w:sz w:val="22"/>
          <w:szCs w:val="22"/>
        </w:rPr>
        <w:tab/>
        <w:t>(1)</w:t>
      </w:r>
      <w:r w:rsidRPr="009D3B99">
        <w:rPr>
          <w:sz w:val="22"/>
          <w:szCs w:val="22"/>
        </w:rPr>
        <w:tab/>
      </w:r>
    </w:p>
    <w:p w:rsidR="00CC1D33" w:rsidRDefault="00CC1D33" w:rsidP="00403D7B">
      <w:pPr>
        <w:pStyle w:val="08ArticleText"/>
        <w:spacing w:line="240" w:lineRule="auto"/>
        <w:rPr>
          <w:sz w:val="22"/>
          <w:szCs w:val="22"/>
          <w:lang w:eastAsia="en-US"/>
        </w:rPr>
      </w:pPr>
    </w:p>
    <w:p w:rsidR="0001397F" w:rsidRPr="00EA4830" w:rsidRDefault="0001397F" w:rsidP="00403D7B">
      <w:pPr>
        <w:pStyle w:val="08ArticleText"/>
        <w:spacing w:line="240" w:lineRule="auto"/>
        <w:rPr>
          <w:sz w:val="22"/>
          <w:szCs w:val="22"/>
          <w:lang w:eastAsia="en-US"/>
        </w:rPr>
      </w:pPr>
      <w:proofErr w:type="gramStart"/>
      <w:r w:rsidRPr="00EA4830">
        <w:rPr>
          <w:sz w:val="22"/>
          <w:szCs w:val="22"/>
          <w:lang w:eastAsia="en-US"/>
        </w:rPr>
        <w:t>where</w:t>
      </w:r>
      <w:proofErr w:type="gramEnd"/>
      <w:r w:rsidRPr="00EA4830">
        <w:rPr>
          <w:sz w:val="22"/>
          <w:szCs w:val="22"/>
          <w:lang w:eastAsia="en-US"/>
        </w:rPr>
        <w:t xml:space="preserve"> </w:t>
      </w:r>
      <w:r w:rsidRPr="00EA4830">
        <w:rPr>
          <w:i/>
          <w:sz w:val="22"/>
          <w:szCs w:val="22"/>
          <w:lang w:eastAsia="en-US"/>
        </w:rPr>
        <w:t>N</w:t>
      </w:r>
      <w:r w:rsidRPr="00EA4830">
        <w:rPr>
          <w:i/>
          <w:sz w:val="22"/>
          <w:szCs w:val="22"/>
          <w:vertAlign w:val="subscript"/>
          <w:lang w:eastAsia="en-US"/>
        </w:rPr>
        <w:t>Th-230</w:t>
      </w:r>
      <w:r w:rsidRPr="00EA4830">
        <w:rPr>
          <w:sz w:val="22"/>
          <w:szCs w:val="22"/>
          <w:lang w:eastAsia="en-US"/>
        </w:rPr>
        <w:t xml:space="preserve"> and </w:t>
      </w:r>
      <w:r w:rsidRPr="00EA4830">
        <w:rPr>
          <w:i/>
          <w:sz w:val="22"/>
          <w:szCs w:val="22"/>
          <w:lang w:eastAsia="en-US"/>
        </w:rPr>
        <w:t>N</w:t>
      </w:r>
      <w:r w:rsidRPr="00EA4830">
        <w:rPr>
          <w:i/>
          <w:sz w:val="22"/>
          <w:szCs w:val="22"/>
          <w:vertAlign w:val="subscript"/>
          <w:lang w:eastAsia="en-US"/>
        </w:rPr>
        <w:t>U-234</w:t>
      </w:r>
      <w:r w:rsidRPr="00EA4830">
        <w:rPr>
          <w:sz w:val="22"/>
          <w:szCs w:val="22"/>
          <w:lang w:eastAsia="en-US"/>
        </w:rPr>
        <w:t xml:space="preserve"> are the </w:t>
      </w:r>
      <w:r w:rsidR="009D3B99">
        <w:rPr>
          <w:sz w:val="22"/>
          <w:szCs w:val="22"/>
          <w:lang w:eastAsia="en-US"/>
        </w:rPr>
        <w:t>number of atoms</w:t>
      </w:r>
      <w:r w:rsidRPr="00EA4830">
        <w:rPr>
          <w:sz w:val="22"/>
          <w:szCs w:val="22"/>
          <w:lang w:eastAsia="en-US"/>
        </w:rPr>
        <w:t xml:space="preserve"> </w:t>
      </w:r>
      <w:proofErr w:type="spellStart"/>
      <w:r w:rsidRPr="00EA4830">
        <w:rPr>
          <w:sz w:val="22"/>
          <w:szCs w:val="22"/>
          <w:lang w:eastAsia="en-US"/>
        </w:rPr>
        <w:t>of</w:t>
      </w:r>
      <w:proofErr w:type="spellEnd"/>
      <w:r w:rsidRPr="00EA4830">
        <w:rPr>
          <w:sz w:val="22"/>
          <w:szCs w:val="22"/>
          <w:lang w:eastAsia="en-US"/>
        </w:rPr>
        <w:t xml:space="preserve"> </w:t>
      </w:r>
      <w:r w:rsidRPr="00EA4830">
        <w:rPr>
          <w:sz w:val="22"/>
          <w:szCs w:val="22"/>
          <w:vertAlign w:val="superscript"/>
          <w:lang w:eastAsia="en-US"/>
        </w:rPr>
        <w:t>230</w:t>
      </w:r>
      <w:r w:rsidRPr="00EA4830">
        <w:rPr>
          <w:sz w:val="22"/>
          <w:szCs w:val="22"/>
          <w:lang w:eastAsia="en-US"/>
        </w:rPr>
        <w:t xml:space="preserve">Th and </w:t>
      </w:r>
      <w:r w:rsidRPr="00EA4830">
        <w:rPr>
          <w:sz w:val="22"/>
          <w:szCs w:val="22"/>
          <w:vertAlign w:val="superscript"/>
          <w:lang w:eastAsia="en-US"/>
        </w:rPr>
        <w:t>234</w:t>
      </w:r>
      <w:r w:rsidRPr="00EA4830">
        <w:rPr>
          <w:sz w:val="22"/>
          <w:szCs w:val="22"/>
          <w:lang w:eastAsia="en-US"/>
        </w:rPr>
        <w:t xml:space="preserve">U in the sample, respectively, </w:t>
      </w:r>
      <w:r w:rsidRPr="00764035">
        <w:rPr>
          <w:rFonts w:ascii="Symbol" w:hAnsi="Symbol"/>
          <w:i/>
          <w:sz w:val="22"/>
          <w:szCs w:val="22"/>
          <w:lang w:eastAsia="en-US"/>
        </w:rPr>
        <w:t></w:t>
      </w:r>
      <w:r w:rsidRPr="00EA4830">
        <w:rPr>
          <w:i/>
          <w:sz w:val="22"/>
          <w:szCs w:val="22"/>
          <w:vertAlign w:val="subscript"/>
          <w:lang w:eastAsia="en-US"/>
        </w:rPr>
        <w:t>Th-230</w:t>
      </w:r>
      <w:r w:rsidRPr="00EA4830">
        <w:rPr>
          <w:sz w:val="22"/>
          <w:szCs w:val="22"/>
          <w:lang w:eastAsia="en-US"/>
        </w:rPr>
        <w:t xml:space="preserve"> and </w:t>
      </w:r>
      <w:r w:rsidRPr="00764035">
        <w:rPr>
          <w:rFonts w:ascii="Symbol" w:hAnsi="Symbol"/>
          <w:i/>
          <w:sz w:val="22"/>
          <w:szCs w:val="22"/>
          <w:lang w:eastAsia="en-US"/>
        </w:rPr>
        <w:t></w:t>
      </w:r>
      <w:r w:rsidRPr="00EA4830">
        <w:rPr>
          <w:i/>
          <w:sz w:val="22"/>
          <w:szCs w:val="22"/>
          <w:vertAlign w:val="subscript"/>
          <w:lang w:eastAsia="en-US"/>
        </w:rPr>
        <w:t>U-234</w:t>
      </w:r>
      <w:r w:rsidRPr="00EA4830">
        <w:rPr>
          <w:sz w:val="22"/>
          <w:szCs w:val="22"/>
          <w:lang w:eastAsia="en-US"/>
        </w:rPr>
        <w:t xml:space="preserve"> are the decay constants of </w:t>
      </w:r>
      <w:r w:rsidRPr="00EA4830">
        <w:rPr>
          <w:sz w:val="22"/>
          <w:szCs w:val="22"/>
          <w:vertAlign w:val="superscript"/>
          <w:lang w:eastAsia="en-US"/>
        </w:rPr>
        <w:t>230</w:t>
      </w:r>
      <w:r w:rsidRPr="00EA4830">
        <w:rPr>
          <w:sz w:val="22"/>
          <w:szCs w:val="22"/>
          <w:lang w:eastAsia="en-US"/>
        </w:rPr>
        <w:t xml:space="preserve">Th and </w:t>
      </w:r>
      <w:r w:rsidRPr="00EA4830">
        <w:rPr>
          <w:sz w:val="22"/>
          <w:szCs w:val="22"/>
          <w:vertAlign w:val="superscript"/>
          <w:lang w:eastAsia="en-US"/>
        </w:rPr>
        <w:t>234</w:t>
      </w:r>
      <w:r w:rsidRPr="00EA4830">
        <w:rPr>
          <w:sz w:val="22"/>
          <w:szCs w:val="22"/>
          <w:lang w:eastAsia="en-US"/>
        </w:rPr>
        <w:t xml:space="preserve">U, respectively, and </w:t>
      </w:r>
      <w:r w:rsidRPr="00EA4830">
        <w:rPr>
          <w:i/>
          <w:sz w:val="22"/>
          <w:szCs w:val="22"/>
          <w:lang w:eastAsia="en-US"/>
        </w:rPr>
        <w:t>t</w:t>
      </w:r>
      <w:r w:rsidRPr="00EA4830">
        <w:rPr>
          <w:sz w:val="22"/>
          <w:szCs w:val="22"/>
          <w:lang w:eastAsia="en-US"/>
        </w:rPr>
        <w:t xml:space="preserve"> is the elapsed time since the separation of the material.</w:t>
      </w:r>
    </w:p>
    <w:p w:rsidR="0001397F" w:rsidRPr="00EA4830" w:rsidRDefault="0001397F" w:rsidP="00403D7B">
      <w:pPr>
        <w:pStyle w:val="BodyText"/>
        <w:spacing w:after="0" w:line="240" w:lineRule="auto"/>
        <w:rPr>
          <w:szCs w:val="22"/>
        </w:rPr>
      </w:pPr>
    </w:p>
    <w:p w:rsidR="0001397F" w:rsidRDefault="0001397F" w:rsidP="00403D7B">
      <w:pPr>
        <w:pStyle w:val="BodyText"/>
        <w:spacing w:after="0" w:line="240" w:lineRule="auto"/>
        <w:rPr>
          <w:b/>
          <w:szCs w:val="22"/>
        </w:rPr>
      </w:pPr>
      <w:r>
        <w:rPr>
          <w:b/>
          <w:szCs w:val="22"/>
        </w:rPr>
        <w:t xml:space="preserve">3. </w:t>
      </w:r>
      <w:r w:rsidR="00F13A6B">
        <w:rPr>
          <w:b/>
          <w:szCs w:val="22"/>
        </w:rPr>
        <w:t>R</w:t>
      </w:r>
      <w:r w:rsidR="00EC6E9B" w:rsidRPr="00EC6E9B">
        <w:rPr>
          <w:b/>
          <w:szCs w:val="22"/>
        </w:rPr>
        <w:t>eported results from the participating laboratories</w:t>
      </w:r>
    </w:p>
    <w:p w:rsidR="0001397F" w:rsidRDefault="0001397F" w:rsidP="00403D7B">
      <w:pPr>
        <w:pStyle w:val="BodyText"/>
        <w:spacing w:after="0" w:line="240" w:lineRule="auto"/>
        <w:rPr>
          <w:b/>
          <w:szCs w:val="22"/>
        </w:rPr>
      </w:pPr>
    </w:p>
    <w:p w:rsidR="0001397F" w:rsidRDefault="0001397F" w:rsidP="00403D7B">
      <w:pPr>
        <w:pStyle w:val="08ArticleText"/>
        <w:spacing w:line="240" w:lineRule="auto"/>
        <w:rPr>
          <w:sz w:val="22"/>
          <w:szCs w:val="22"/>
        </w:rPr>
      </w:pPr>
      <w:r>
        <w:rPr>
          <w:sz w:val="22"/>
          <w:szCs w:val="22"/>
        </w:rPr>
        <w:t>Aliquots o</w:t>
      </w:r>
      <w:r w:rsidR="00F13A6B">
        <w:rPr>
          <w:sz w:val="22"/>
          <w:szCs w:val="22"/>
        </w:rPr>
        <w:t>f the prepared samples were</w:t>
      </w:r>
      <w:r>
        <w:rPr>
          <w:sz w:val="22"/>
          <w:szCs w:val="22"/>
        </w:rPr>
        <w:t xml:space="preserve"> shipped to the </w:t>
      </w:r>
      <w:r w:rsidR="00F13A6B">
        <w:rPr>
          <w:sz w:val="22"/>
          <w:szCs w:val="22"/>
        </w:rPr>
        <w:t xml:space="preserve">participating </w:t>
      </w:r>
      <w:r>
        <w:rPr>
          <w:sz w:val="22"/>
          <w:szCs w:val="22"/>
        </w:rPr>
        <w:t xml:space="preserve">expert nuclear forensic laboratories, where the production dates of the materials were determined according to their routine procedures. </w:t>
      </w:r>
      <w:r w:rsidR="00677309" w:rsidRPr="00677309">
        <w:rPr>
          <w:sz w:val="22"/>
          <w:szCs w:val="22"/>
        </w:rPr>
        <w:t>The participating laboratories in this study were Lawrence Livermore National Laboratory (USA), two laboratories from the Los Alamos</w:t>
      </w:r>
      <w:r w:rsidR="00072B3A">
        <w:rPr>
          <w:sz w:val="22"/>
          <w:szCs w:val="22"/>
        </w:rPr>
        <w:t xml:space="preserve"> National Laboratory (USA), DIF</w:t>
      </w:r>
      <w:r w:rsidR="00677309" w:rsidRPr="00677309">
        <w:rPr>
          <w:sz w:val="22"/>
          <w:szCs w:val="22"/>
        </w:rPr>
        <w:t xml:space="preserve"> of CEA (France) and EC JRC Institute for Transuranium Elements (European Commission).</w:t>
      </w:r>
      <w:r w:rsidR="00677309">
        <w:rPr>
          <w:sz w:val="22"/>
          <w:szCs w:val="22"/>
        </w:rPr>
        <w:t xml:space="preserve"> </w:t>
      </w:r>
      <w:r w:rsidR="00E4703F">
        <w:rPr>
          <w:sz w:val="22"/>
          <w:szCs w:val="22"/>
        </w:rPr>
        <w:t xml:space="preserve">It should be noted, though, that the analytical determination of the production date by measuring the parent/daughter ratio is fairly challenging because the time span between the preparation and the measurement </w:t>
      </w:r>
      <w:r w:rsidR="00CC1D33">
        <w:rPr>
          <w:sz w:val="22"/>
          <w:szCs w:val="22"/>
        </w:rPr>
        <w:t>(approximately</w:t>
      </w:r>
      <w:r w:rsidR="00E4703F">
        <w:rPr>
          <w:sz w:val="22"/>
          <w:szCs w:val="22"/>
        </w:rPr>
        <w:t xml:space="preserve"> 2.5 years) is very small compared to the half-life of the parent nuclide </w:t>
      </w:r>
      <w:r w:rsidR="00E4703F" w:rsidRPr="00CC1D33">
        <w:rPr>
          <w:sz w:val="22"/>
          <w:szCs w:val="22"/>
          <w:vertAlign w:val="superscript"/>
        </w:rPr>
        <w:t>234</w:t>
      </w:r>
      <w:r w:rsidR="00E4703F">
        <w:rPr>
          <w:sz w:val="22"/>
          <w:szCs w:val="22"/>
        </w:rPr>
        <w:t xml:space="preserve">U (245 000 years). In consequence, only minute quantities of daughter nuclide </w:t>
      </w:r>
      <w:r w:rsidR="00E4703F" w:rsidRPr="00CC1D33">
        <w:rPr>
          <w:sz w:val="22"/>
          <w:szCs w:val="22"/>
          <w:vertAlign w:val="superscript"/>
        </w:rPr>
        <w:t>230</w:t>
      </w:r>
      <w:r w:rsidR="00E4703F" w:rsidRPr="00E4703F">
        <w:rPr>
          <w:sz w:val="22"/>
          <w:szCs w:val="22"/>
        </w:rPr>
        <w:t>Th</w:t>
      </w:r>
      <w:r w:rsidR="00E4703F">
        <w:rPr>
          <w:sz w:val="22"/>
          <w:szCs w:val="22"/>
        </w:rPr>
        <w:t xml:space="preserve"> will grow in and have to be separated and accurately quantified. </w:t>
      </w:r>
      <w:r>
        <w:rPr>
          <w:sz w:val="22"/>
          <w:szCs w:val="22"/>
        </w:rPr>
        <w:t>The reported age results are shown in Figs 1-3.</w:t>
      </w:r>
    </w:p>
    <w:p w:rsidR="0001397F" w:rsidRDefault="0001397F" w:rsidP="00403D7B">
      <w:pPr>
        <w:pStyle w:val="08ArticleText"/>
        <w:spacing w:line="240" w:lineRule="auto"/>
        <w:rPr>
          <w:sz w:val="22"/>
          <w:szCs w:val="22"/>
        </w:rPr>
      </w:pPr>
    </w:p>
    <w:p w:rsidR="0001397F" w:rsidRDefault="00083199" w:rsidP="00403D7B">
      <w:pPr>
        <w:pStyle w:val="08ArticleText"/>
        <w:spacing w:line="240" w:lineRule="auto"/>
        <w:rPr>
          <w:sz w:val="22"/>
          <w:szCs w:val="22"/>
        </w:rPr>
      </w:pPr>
      <w:r>
        <w:rPr>
          <w:noProof/>
          <w:sz w:val="22"/>
          <w:szCs w:val="22"/>
        </w:rPr>
        <w:drawing>
          <wp:inline distT="0" distB="0" distL="0" distR="0" wp14:anchorId="447C51E9">
            <wp:extent cx="5727469" cy="186662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6086" cy="1869428"/>
                    </a:xfrm>
                    <a:prstGeom prst="rect">
                      <a:avLst/>
                    </a:prstGeom>
                    <a:noFill/>
                  </pic:spPr>
                </pic:pic>
              </a:graphicData>
            </a:graphic>
          </wp:inline>
        </w:drawing>
      </w:r>
    </w:p>
    <w:p w:rsidR="0001397F" w:rsidRDefault="0001397F" w:rsidP="00830B09">
      <w:pPr>
        <w:pStyle w:val="08ArticleText"/>
        <w:spacing w:line="240" w:lineRule="auto"/>
        <w:jc w:val="center"/>
        <w:rPr>
          <w:i/>
          <w:sz w:val="22"/>
          <w:szCs w:val="22"/>
        </w:rPr>
      </w:pPr>
      <w:proofErr w:type="gramStart"/>
      <w:r w:rsidRPr="00DC2896">
        <w:rPr>
          <w:i/>
          <w:sz w:val="22"/>
          <w:szCs w:val="22"/>
          <w:lang w:eastAsia="ko-KR"/>
        </w:rPr>
        <w:t>FIG. 1.</w:t>
      </w:r>
      <w:proofErr w:type="gramEnd"/>
      <w:r w:rsidRPr="00DC2896">
        <w:rPr>
          <w:i/>
          <w:sz w:val="22"/>
          <w:szCs w:val="22"/>
          <w:lang w:eastAsia="ko-KR"/>
        </w:rPr>
        <w:t xml:space="preserve"> </w:t>
      </w:r>
      <w:r>
        <w:rPr>
          <w:i/>
          <w:sz w:val="22"/>
          <w:szCs w:val="22"/>
        </w:rPr>
        <w:t xml:space="preserve">Reported production dates for the natural uranium sample. Red line: known production date (19 July 2011); Green line: average of the reported dates </w:t>
      </w:r>
      <w:r w:rsidR="00990A8C">
        <w:rPr>
          <w:i/>
          <w:sz w:val="22"/>
          <w:szCs w:val="22"/>
        </w:rPr>
        <w:t xml:space="preserve">with the confidence </w:t>
      </w:r>
      <w:r w:rsidR="00261D28">
        <w:rPr>
          <w:i/>
          <w:sz w:val="22"/>
          <w:szCs w:val="22"/>
        </w:rPr>
        <w:t xml:space="preserve">interval </w:t>
      </w:r>
      <w:r w:rsidR="00990A8C">
        <w:rPr>
          <w:i/>
          <w:sz w:val="22"/>
          <w:szCs w:val="22"/>
        </w:rPr>
        <w:t>expressed as one</w:t>
      </w:r>
      <w:r w:rsidR="00083199">
        <w:rPr>
          <w:i/>
          <w:sz w:val="22"/>
          <w:szCs w:val="22"/>
        </w:rPr>
        <w:t xml:space="preserve"> </w:t>
      </w:r>
      <w:r>
        <w:rPr>
          <w:i/>
          <w:sz w:val="22"/>
          <w:szCs w:val="22"/>
        </w:rPr>
        <w:t>standard deviation of the reported dates (dotted lines).</w:t>
      </w:r>
    </w:p>
    <w:p w:rsidR="0001397F" w:rsidRDefault="0001397F" w:rsidP="00403D7B">
      <w:pPr>
        <w:pStyle w:val="08ArticleText"/>
        <w:spacing w:line="240" w:lineRule="auto"/>
        <w:rPr>
          <w:sz w:val="22"/>
          <w:szCs w:val="22"/>
        </w:rPr>
      </w:pPr>
    </w:p>
    <w:p w:rsidR="003414C1" w:rsidRDefault="003414C1" w:rsidP="00403D7B">
      <w:pPr>
        <w:pStyle w:val="08ArticleText"/>
        <w:spacing w:line="240" w:lineRule="auto"/>
        <w:rPr>
          <w:sz w:val="22"/>
          <w:szCs w:val="22"/>
        </w:rPr>
      </w:pPr>
    </w:p>
    <w:p w:rsidR="0001397F" w:rsidRDefault="00083199" w:rsidP="00403D7B">
      <w:pPr>
        <w:pStyle w:val="08ArticleText"/>
        <w:spacing w:line="240" w:lineRule="auto"/>
        <w:rPr>
          <w:sz w:val="22"/>
          <w:szCs w:val="22"/>
        </w:rPr>
      </w:pPr>
      <w:r>
        <w:rPr>
          <w:noProof/>
          <w:sz w:val="22"/>
          <w:szCs w:val="22"/>
        </w:rPr>
        <w:drawing>
          <wp:inline distT="0" distB="0" distL="0" distR="0" wp14:anchorId="77B23952">
            <wp:extent cx="5803012" cy="188698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5211" cy="1890956"/>
                    </a:xfrm>
                    <a:prstGeom prst="rect">
                      <a:avLst/>
                    </a:prstGeom>
                    <a:noFill/>
                  </pic:spPr>
                </pic:pic>
              </a:graphicData>
            </a:graphic>
          </wp:inline>
        </w:drawing>
      </w:r>
    </w:p>
    <w:p w:rsidR="0001397F" w:rsidRDefault="0001397F" w:rsidP="00830B09">
      <w:pPr>
        <w:pStyle w:val="08ArticleText"/>
        <w:spacing w:line="240" w:lineRule="auto"/>
        <w:jc w:val="center"/>
        <w:rPr>
          <w:sz w:val="22"/>
          <w:szCs w:val="22"/>
        </w:rPr>
      </w:pPr>
      <w:proofErr w:type="gramStart"/>
      <w:r w:rsidRPr="00DC2896">
        <w:rPr>
          <w:i/>
          <w:sz w:val="22"/>
          <w:szCs w:val="22"/>
          <w:lang w:eastAsia="ko-KR"/>
        </w:rPr>
        <w:t xml:space="preserve">FIG. </w:t>
      </w:r>
      <w:r>
        <w:rPr>
          <w:i/>
          <w:sz w:val="22"/>
          <w:szCs w:val="22"/>
          <w:lang w:eastAsia="ko-KR"/>
        </w:rPr>
        <w:t>2</w:t>
      </w:r>
      <w:r w:rsidRPr="00DC2896">
        <w:rPr>
          <w:i/>
          <w:sz w:val="22"/>
          <w:szCs w:val="22"/>
          <w:lang w:eastAsia="ko-KR"/>
        </w:rPr>
        <w:t>.</w:t>
      </w:r>
      <w:proofErr w:type="gramEnd"/>
      <w:r w:rsidRPr="00DC2896">
        <w:rPr>
          <w:i/>
          <w:sz w:val="22"/>
          <w:szCs w:val="22"/>
          <w:lang w:eastAsia="ko-KR"/>
        </w:rPr>
        <w:t xml:space="preserve"> </w:t>
      </w:r>
      <w:r>
        <w:rPr>
          <w:i/>
          <w:sz w:val="22"/>
          <w:szCs w:val="22"/>
        </w:rPr>
        <w:t xml:space="preserve">Reported production dates for the low-enriched uranium sample. Red line: known production date (19 July 2011); </w:t>
      </w:r>
      <w:r w:rsidR="002F06BD" w:rsidRPr="002F06BD">
        <w:rPr>
          <w:i/>
          <w:sz w:val="22"/>
          <w:szCs w:val="22"/>
        </w:rPr>
        <w:t xml:space="preserve">Green line: average of the reported dates with the confidence </w:t>
      </w:r>
      <w:r w:rsidR="00261D28">
        <w:rPr>
          <w:i/>
          <w:sz w:val="22"/>
          <w:szCs w:val="22"/>
        </w:rPr>
        <w:t>interval</w:t>
      </w:r>
      <w:r w:rsidR="00261D28" w:rsidRPr="002F06BD">
        <w:rPr>
          <w:i/>
          <w:sz w:val="22"/>
          <w:szCs w:val="22"/>
        </w:rPr>
        <w:t xml:space="preserve"> </w:t>
      </w:r>
      <w:r w:rsidR="002F06BD" w:rsidRPr="002F06BD">
        <w:rPr>
          <w:i/>
          <w:sz w:val="22"/>
          <w:szCs w:val="22"/>
        </w:rPr>
        <w:t>expressed as one standard deviation of the reported dates (dotted lines).</w:t>
      </w:r>
    </w:p>
    <w:p w:rsidR="0001397F" w:rsidRDefault="00154B60" w:rsidP="00403D7B">
      <w:pPr>
        <w:pStyle w:val="08ArticleText"/>
        <w:spacing w:line="240" w:lineRule="auto"/>
        <w:rPr>
          <w:sz w:val="22"/>
          <w:szCs w:val="22"/>
        </w:rPr>
      </w:pPr>
      <w:r>
        <w:rPr>
          <w:noProof/>
          <w:sz w:val="22"/>
          <w:szCs w:val="22"/>
        </w:rPr>
        <w:lastRenderedPageBreak/>
        <w:drawing>
          <wp:inline distT="0" distB="0" distL="0" distR="0" wp14:anchorId="61ACE079" wp14:editId="402C6144">
            <wp:extent cx="5469555" cy="2457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1677" cy="2458597"/>
                    </a:xfrm>
                    <a:prstGeom prst="rect">
                      <a:avLst/>
                    </a:prstGeom>
                    <a:noFill/>
                  </pic:spPr>
                </pic:pic>
              </a:graphicData>
            </a:graphic>
          </wp:inline>
        </w:drawing>
      </w:r>
    </w:p>
    <w:p w:rsidR="0001397F" w:rsidRDefault="0001397F" w:rsidP="00830B09">
      <w:pPr>
        <w:pStyle w:val="08ArticleText"/>
        <w:spacing w:line="240" w:lineRule="auto"/>
        <w:jc w:val="center"/>
        <w:rPr>
          <w:sz w:val="22"/>
          <w:szCs w:val="22"/>
        </w:rPr>
      </w:pPr>
      <w:proofErr w:type="gramStart"/>
      <w:r w:rsidRPr="00DC2896">
        <w:rPr>
          <w:i/>
          <w:sz w:val="22"/>
          <w:szCs w:val="22"/>
          <w:lang w:eastAsia="ko-KR"/>
        </w:rPr>
        <w:t>F</w:t>
      </w:r>
      <w:r>
        <w:rPr>
          <w:i/>
          <w:sz w:val="22"/>
          <w:szCs w:val="22"/>
          <w:lang w:eastAsia="ko-KR"/>
        </w:rPr>
        <w:t>IG. 3</w:t>
      </w:r>
      <w:r w:rsidRPr="00DC2896">
        <w:rPr>
          <w:i/>
          <w:sz w:val="22"/>
          <w:szCs w:val="22"/>
          <w:lang w:eastAsia="ko-KR"/>
        </w:rPr>
        <w:t>.</w:t>
      </w:r>
      <w:proofErr w:type="gramEnd"/>
      <w:r w:rsidRPr="00DC2896">
        <w:rPr>
          <w:i/>
          <w:sz w:val="22"/>
          <w:szCs w:val="22"/>
          <w:lang w:eastAsia="ko-KR"/>
        </w:rPr>
        <w:t xml:space="preserve"> </w:t>
      </w:r>
      <w:r>
        <w:rPr>
          <w:i/>
          <w:sz w:val="22"/>
          <w:szCs w:val="22"/>
        </w:rPr>
        <w:t xml:space="preserve">Reported production dates for the highly-enriched uranium sample. Red line: known production date (19 July 2011); </w:t>
      </w:r>
      <w:r w:rsidR="002F06BD" w:rsidRPr="002F06BD">
        <w:rPr>
          <w:i/>
          <w:sz w:val="22"/>
          <w:szCs w:val="22"/>
        </w:rPr>
        <w:t xml:space="preserve">Green line: average of the reported dates with the confidence </w:t>
      </w:r>
      <w:r w:rsidR="00243DD4">
        <w:rPr>
          <w:i/>
          <w:sz w:val="22"/>
          <w:szCs w:val="22"/>
        </w:rPr>
        <w:t>interval</w:t>
      </w:r>
      <w:r w:rsidR="00243DD4" w:rsidRPr="002F06BD">
        <w:rPr>
          <w:i/>
          <w:sz w:val="22"/>
          <w:szCs w:val="22"/>
        </w:rPr>
        <w:t xml:space="preserve"> </w:t>
      </w:r>
      <w:r w:rsidR="002F06BD" w:rsidRPr="002F06BD">
        <w:rPr>
          <w:i/>
          <w:sz w:val="22"/>
          <w:szCs w:val="22"/>
        </w:rPr>
        <w:t>expressed as one standard deviation of the reported dates (dotted lines).</w:t>
      </w:r>
    </w:p>
    <w:p w:rsidR="0001397F" w:rsidRDefault="0001397F" w:rsidP="00403D7B">
      <w:pPr>
        <w:pStyle w:val="08ArticleText"/>
        <w:spacing w:line="240" w:lineRule="auto"/>
        <w:rPr>
          <w:sz w:val="22"/>
          <w:szCs w:val="22"/>
        </w:rPr>
      </w:pPr>
    </w:p>
    <w:p w:rsidR="00867243" w:rsidRDefault="0001397F" w:rsidP="00403D7B">
      <w:pPr>
        <w:pStyle w:val="08ArticleText"/>
        <w:spacing w:line="240" w:lineRule="auto"/>
        <w:rPr>
          <w:sz w:val="22"/>
          <w:szCs w:val="22"/>
        </w:rPr>
      </w:pPr>
      <w:r>
        <w:rPr>
          <w:sz w:val="22"/>
          <w:szCs w:val="22"/>
        </w:rPr>
        <w:t xml:space="preserve"> </w:t>
      </w:r>
    </w:p>
    <w:p w:rsidR="0001397F" w:rsidRDefault="0001397F" w:rsidP="00403D7B">
      <w:pPr>
        <w:pStyle w:val="08ArticleText"/>
        <w:spacing w:line="240" w:lineRule="auto"/>
        <w:rPr>
          <w:sz w:val="22"/>
          <w:szCs w:val="22"/>
        </w:rPr>
      </w:pPr>
      <w:r>
        <w:rPr>
          <w:sz w:val="22"/>
          <w:szCs w:val="22"/>
        </w:rPr>
        <w:t xml:space="preserve">The reported average production dates for the natural, LEU and HEU samples are 21/06/2011 (with an uncertainty of 117 days at </w:t>
      </w:r>
      <w:r w:rsidRPr="002350EF">
        <w:rPr>
          <w:i/>
          <w:sz w:val="22"/>
          <w:szCs w:val="22"/>
        </w:rPr>
        <w:t>k</w:t>
      </w:r>
      <w:r>
        <w:rPr>
          <w:i/>
          <w:sz w:val="22"/>
          <w:szCs w:val="22"/>
        </w:rPr>
        <w:t xml:space="preserve"> </w:t>
      </w:r>
      <w:r>
        <w:rPr>
          <w:sz w:val="22"/>
          <w:szCs w:val="22"/>
        </w:rPr>
        <w:t xml:space="preserve">= 2), 23/07/2014 (with an uncertainty of 42 days at </w:t>
      </w:r>
      <w:r w:rsidRPr="002350EF">
        <w:rPr>
          <w:i/>
          <w:sz w:val="22"/>
          <w:szCs w:val="22"/>
        </w:rPr>
        <w:t>k</w:t>
      </w:r>
      <w:r>
        <w:rPr>
          <w:i/>
          <w:sz w:val="22"/>
          <w:szCs w:val="22"/>
        </w:rPr>
        <w:t xml:space="preserve"> </w:t>
      </w:r>
      <w:r>
        <w:rPr>
          <w:sz w:val="22"/>
          <w:szCs w:val="22"/>
        </w:rPr>
        <w:t xml:space="preserve">= 2) and 23/07/2011 (with an uncertainty of 23 days at </w:t>
      </w:r>
      <w:r w:rsidRPr="002350EF">
        <w:rPr>
          <w:i/>
          <w:sz w:val="22"/>
          <w:szCs w:val="22"/>
        </w:rPr>
        <w:t>k</w:t>
      </w:r>
      <w:r>
        <w:rPr>
          <w:i/>
          <w:sz w:val="22"/>
          <w:szCs w:val="22"/>
        </w:rPr>
        <w:t xml:space="preserve"> </w:t>
      </w:r>
      <w:r>
        <w:rPr>
          <w:sz w:val="22"/>
          <w:szCs w:val="22"/>
        </w:rPr>
        <w:t>= 2), respectively. For all samples the reported averages are in good agreement with</w:t>
      </w:r>
      <w:r w:rsidR="003414C1">
        <w:rPr>
          <w:sz w:val="22"/>
          <w:szCs w:val="22"/>
        </w:rPr>
        <w:t xml:space="preserve"> the known production date of 19</w:t>
      </w:r>
      <w:r>
        <w:rPr>
          <w:sz w:val="22"/>
          <w:szCs w:val="22"/>
        </w:rPr>
        <w:t>/07/2014</w:t>
      </w:r>
      <w:r w:rsidRPr="001472C0">
        <w:rPr>
          <w:sz w:val="22"/>
          <w:szCs w:val="22"/>
        </w:rPr>
        <w:t xml:space="preserve"> </w:t>
      </w:r>
      <w:r>
        <w:rPr>
          <w:sz w:val="22"/>
          <w:szCs w:val="22"/>
        </w:rPr>
        <w:t xml:space="preserve">within measurement uncertainty. The differences between the known production dates and the reported average production dates for the natural, LEU and HEU samples are </w:t>
      </w:r>
      <w:r w:rsidR="003414C1">
        <w:rPr>
          <w:sz w:val="22"/>
          <w:szCs w:val="22"/>
        </w:rPr>
        <w:t xml:space="preserve">27.2 </w:t>
      </w:r>
      <w:r>
        <w:rPr>
          <w:sz w:val="22"/>
          <w:szCs w:val="22"/>
        </w:rPr>
        <w:t xml:space="preserve">days, 4.7 days and </w:t>
      </w:r>
      <w:r w:rsidR="003414C1">
        <w:rPr>
          <w:sz w:val="22"/>
          <w:szCs w:val="22"/>
        </w:rPr>
        <w:t xml:space="preserve">4.5 </w:t>
      </w:r>
      <w:r>
        <w:rPr>
          <w:sz w:val="22"/>
          <w:szCs w:val="22"/>
        </w:rPr>
        <w:t xml:space="preserve">days, respectively. As no </w:t>
      </w:r>
      <w:r w:rsidR="00243DD4">
        <w:rPr>
          <w:sz w:val="22"/>
          <w:szCs w:val="22"/>
        </w:rPr>
        <w:t xml:space="preserve">significant </w:t>
      </w:r>
      <w:r w:rsidR="008F63D3">
        <w:rPr>
          <w:sz w:val="22"/>
          <w:szCs w:val="22"/>
        </w:rPr>
        <w:t xml:space="preserve">or systematic </w:t>
      </w:r>
      <w:r>
        <w:rPr>
          <w:sz w:val="22"/>
          <w:szCs w:val="22"/>
        </w:rPr>
        <w:t xml:space="preserve">bias </w:t>
      </w:r>
      <w:r w:rsidR="00243DD4">
        <w:rPr>
          <w:sz w:val="22"/>
          <w:szCs w:val="22"/>
        </w:rPr>
        <w:t>could be identified</w:t>
      </w:r>
      <w:r>
        <w:rPr>
          <w:sz w:val="22"/>
          <w:szCs w:val="22"/>
        </w:rPr>
        <w:t xml:space="preserve"> between the known and reported values</w:t>
      </w:r>
      <w:r w:rsidR="00243DD4">
        <w:rPr>
          <w:sz w:val="22"/>
          <w:szCs w:val="22"/>
        </w:rPr>
        <w:t xml:space="preserve"> of all three materials</w:t>
      </w:r>
      <w:r>
        <w:rPr>
          <w:sz w:val="22"/>
          <w:szCs w:val="22"/>
        </w:rPr>
        <w:t xml:space="preserve">, the methodology for such uranium age dating reference material is expected to be applicable, which is an additional </w:t>
      </w:r>
      <w:r w:rsidR="00243DD4">
        <w:rPr>
          <w:sz w:val="22"/>
          <w:szCs w:val="22"/>
        </w:rPr>
        <w:t xml:space="preserve">confirmation </w:t>
      </w:r>
      <w:r>
        <w:rPr>
          <w:sz w:val="22"/>
          <w:szCs w:val="22"/>
        </w:rPr>
        <w:t xml:space="preserve">of the earlier study </w:t>
      </w:r>
      <w:r>
        <w:rPr>
          <w:noProof/>
          <w:sz w:val="22"/>
          <w:szCs w:val="22"/>
        </w:rPr>
        <w:t>[4]</w:t>
      </w:r>
      <w:r>
        <w:rPr>
          <w:sz w:val="22"/>
          <w:szCs w:val="22"/>
        </w:rPr>
        <w:t>.</w:t>
      </w:r>
      <w:r w:rsidRPr="000E6C63">
        <w:rPr>
          <w:sz w:val="22"/>
          <w:szCs w:val="22"/>
        </w:rPr>
        <w:t xml:space="preserve"> </w:t>
      </w:r>
      <w:r>
        <w:rPr>
          <w:sz w:val="22"/>
          <w:szCs w:val="22"/>
        </w:rPr>
        <w:t xml:space="preserve">All the reported production dates of the individual laboratories overlap with the average </w:t>
      </w:r>
      <w:r w:rsidR="00C05E98">
        <w:rPr>
          <w:sz w:val="22"/>
          <w:szCs w:val="22"/>
        </w:rPr>
        <w:t>results even at 1-sigma level.</w:t>
      </w:r>
    </w:p>
    <w:p w:rsidR="0001397F" w:rsidRDefault="0001397F" w:rsidP="00403D7B">
      <w:pPr>
        <w:pStyle w:val="08ArticleText"/>
        <w:spacing w:line="240" w:lineRule="auto"/>
        <w:rPr>
          <w:sz w:val="22"/>
          <w:szCs w:val="22"/>
        </w:rPr>
      </w:pPr>
    </w:p>
    <w:p w:rsidR="0001397F" w:rsidRDefault="0001397F" w:rsidP="00403D7B">
      <w:pPr>
        <w:pStyle w:val="08ArticleText"/>
        <w:spacing w:line="240" w:lineRule="auto"/>
        <w:rPr>
          <w:sz w:val="22"/>
          <w:szCs w:val="22"/>
        </w:rPr>
      </w:pPr>
      <w:r>
        <w:rPr>
          <w:sz w:val="22"/>
          <w:szCs w:val="22"/>
        </w:rPr>
        <w:t>However, if one compares the individual laboratory results, significant differences can be observed. While all reported individual HEU age results overlap with one another, in case of the LEU and natural uranium</w:t>
      </w:r>
      <w:r w:rsidR="00C05E98">
        <w:rPr>
          <w:sz w:val="22"/>
          <w:szCs w:val="22"/>
        </w:rPr>
        <w:t xml:space="preserve"> samples</w:t>
      </w:r>
      <w:r>
        <w:rPr>
          <w:sz w:val="22"/>
          <w:szCs w:val="22"/>
        </w:rPr>
        <w:t xml:space="preserve"> the reported individual results from the laboratories are significantly different (Figs 1-3). This difference is much higher for the natural uranium sample than for the </w:t>
      </w:r>
      <w:r w:rsidR="00C05E98">
        <w:rPr>
          <w:sz w:val="22"/>
          <w:szCs w:val="22"/>
        </w:rPr>
        <w:t>L</w:t>
      </w:r>
      <w:r>
        <w:rPr>
          <w:sz w:val="22"/>
          <w:szCs w:val="22"/>
        </w:rPr>
        <w:t xml:space="preserve">EU material, which is in correlation of the </w:t>
      </w:r>
      <w:r w:rsidRPr="000E6C63">
        <w:rPr>
          <w:sz w:val="22"/>
          <w:szCs w:val="22"/>
          <w:vertAlign w:val="superscript"/>
        </w:rPr>
        <w:t>234</w:t>
      </w:r>
      <w:r>
        <w:rPr>
          <w:sz w:val="22"/>
          <w:szCs w:val="22"/>
        </w:rPr>
        <w:t xml:space="preserve">U </w:t>
      </w:r>
      <w:r w:rsidR="00C05E98">
        <w:rPr>
          <w:sz w:val="22"/>
          <w:szCs w:val="22"/>
        </w:rPr>
        <w:t xml:space="preserve">content </w:t>
      </w:r>
      <w:r>
        <w:rPr>
          <w:sz w:val="22"/>
          <w:szCs w:val="22"/>
        </w:rPr>
        <w:t xml:space="preserve">(and therefore with the amount of </w:t>
      </w:r>
      <w:r w:rsidRPr="000E6C63">
        <w:rPr>
          <w:sz w:val="22"/>
          <w:szCs w:val="22"/>
          <w:vertAlign w:val="superscript"/>
        </w:rPr>
        <w:t>230</w:t>
      </w:r>
      <w:r>
        <w:rPr>
          <w:sz w:val="22"/>
          <w:szCs w:val="22"/>
        </w:rPr>
        <w:t xml:space="preserve">Th progeny). As the difference is possibly not related to the reference material properties (e.g. inhomogeneity between the items), it is assumed to the consequence of the difficulties in the measurement of the trace-level </w:t>
      </w:r>
      <w:r w:rsidRPr="005F562D">
        <w:rPr>
          <w:sz w:val="22"/>
          <w:szCs w:val="22"/>
          <w:vertAlign w:val="superscript"/>
        </w:rPr>
        <w:t>230</w:t>
      </w:r>
      <w:r>
        <w:rPr>
          <w:sz w:val="22"/>
          <w:szCs w:val="22"/>
        </w:rPr>
        <w:t xml:space="preserve">Th. In case of the natural uranium and LEU samples the corrections for the trace-level </w:t>
      </w:r>
      <w:r w:rsidRPr="008D4CDF">
        <w:rPr>
          <w:sz w:val="22"/>
          <w:szCs w:val="22"/>
          <w:vertAlign w:val="superscript"/>
        </w:rPr>
        <w:t>230</w:t>
      </w:r>
      <w:r>
        <w:rPr>
          <w:sz w:val="22"/>
          <w:szCs w:val="22"/>
        </w:rPr>
        <w:t xml:space="preserve">Th measurement are more significant than for the HEU material, thus more detailed studies and investigations are necessary to develop more robust procedures in the participating laboratories. By sharing the details of the existing methodologies, the possible inappropriate steps in the procedures can be rectified (Table I and II). By this means the approaches can be harmonized and the best practices for age dating measurements can be developed. </w:t>
      </w:r>
    </w:p>
    <w:p w:rsidR="0001397F" w:rsidRDefault="0001397F" w:rsidP="00403D7B">
      <w:pPr>
        <w:pStyle w:val="08ArticleText"/>
        <w:spacing w:line="240" w:lineRule="auto"/>
        <w:rPr>
          <w:sz w:val="22"/>
          <w:szCs w:val="22"/>
        </w:rPr>
      </w:pPr>
    </w:p>
    <w:p w:rsidR="0001397F" w:rsidRDefault="0001397F" w:rsidP="00403D7B">
      <w:pPr>
        <w:pStyle w:val="08ArticleText"/>
        <w:spacing w:line="240" w:lineRule="auto"/>
        <w:rPr>
          <w:sz w:val="22"/>
          <w:szCs w:val="22"/>
        </w:rPr>
      </w:pPr>
    </w:p>
    <w:p w:rsidR="0001397F" w:rsidRDefault="0001397F" w:rsidP="00403D7B">
      <w:pPr>
        <w:pStyle w:val="08ArticleText"/>
        <w:spacing w:line="240" w:lineRule="auto"/>
        <w:rPr>
          <w:sz w:val="22"/>
          <w:szCs w:val="22"/>
        </w:rPr>
      </w:pPr>
    </w:p>
    <w:p w:rsidR="0001397F" w:rsidRDefault="0001397F" w:rsidP="00403D7B">
      <w:pPr>
        <w:pStyle w:val="08ArticleText"/>
        <w:spacing w:line="240" w:lineRule="auto"/>
        <w:rPr>
          <w:sz w:val="22"/>
          <w:szCs w:val="22"/>
        </w:rPr>
      </w:pPr>
    </w:p>
    <w:p w:rsidR="0001397F" w:rsidRDefault="0001397F" w:rsidP="00403D7B">
      <w:pPr>
        <w:pStyle w:val="08ArticleText"/>
        <w:spacing w:line="240" w:lineRule="auto"/>
        <w:rPr>
          <w:sz w:val="22"/>
          <w:szCs w:val="22"/>
        </w:rPr>
      </w:pPr>
    </w:p>
    <w:p w:rsidR="0001397F" w:rsidRPr="00403C8A" w:rsidRDefault="0001397F" w:rsidP="00403D7B">
      <w:pPr>
        <w:pStyle w:val="08ArticleText"/>
        <w:spacing w:line="240" w:lineRule="auto"/>
        <w:rPr>
          <w:sz w:val="22"/>
          <w:szCs w:val="22"/>
        </w:rPr>
      </w:pPr>
    </w:p>
    <w:p w:rsidR="0001397F" w:rsidRDefault="0001397F" w:rsidP="00403D7B">
      <w:pPr>
        <w:pStyle w:val="08ArticleText"/>
        <w:spacing w:line="240" w:lineRule="auto"/>
        <w:rPr>
          <w:sz w:val="22"/>
          <w:szCs w:val="22"/>
          <w:lang w:eastAsia="ko-KR"/>
        </w:rPr>
        <w:sectPr w:rsidR="0001397F" w:rsidSect="00867243">
          <w:footerReference w:type="even" r:id="rId13"/>
          <w:footerReference w:type="default" r:id="rId14"/>
          <w:pgSz w:w="11906" w:h="16838" w:code="9"/>
          <w:pgMar w:top="1134" w:right="1418" w:bottom="1531" w:left="1418" w:header="709" w:footer="709" w:gutter="0"/>
          <w:cols w:space="708"/>
          <w:docGrid w:linePitch="360"/>
        </w:sectPr>
      </w:pPr>
    </w:p>
    <w:p w:rsidR="0001397F" w:rsidRDefault="0001397F" w:rsidP="00D64488">
      <w:pPr>
        <w:pStyle w:val="G4aTableTitle"/>
        <w:pBdr>
          <w:bottom w:val="none" w:sz="0" w:space="0" w:color="auto"/>
        </w:pBdr>
        <w:spacing w:before="0" w:after="0" w:line="240" w:lineRule="auto"/>
        <w:jc w:val="center"/>
        <w:rPr>
          <w:rFonts w:eastAsia="HYMyeongJo-Extra"/>
          <w:sz w:val="22"/>
          <w:szCs w:val="22"/>
        </w:rPr>
      </w:pPr>
      <w:r w:rsidRPr="00380C46">
        <w:rPr>
          <w:rFonts w:eastAsia="HYMyeongJo-Extra"/>
          <w:sz w:val="22"/>
          <w:szCs w:val="22"/>
        </w:rPr>
        <w:lastRenderedPageBreak/>
        <w:t>Table I</w:t>
      </w:r>
      <w:r>
        <w:rPr>
          <w:rFonts w:eastAsia="HYMyeongJo-Extra"/>
          <w:sz w:val="22"/>
          <w:szCs w:val="22"/>
        </w:rPr>
        <w:t>. Analytical measurement methodologies of the participating laboratories</w:t>
      </w:r>
    </w:p>
    <w:p w:rsidR="0001397F" w:rsidRPr="00380C46" w:rsidRDefault="0001397F" w:rsidP="00403D7B">
      <w:pPr>
        <w:pStyle w:val="G4aTableTitle"/>
        <w:pBdr>
          <w:bottom w:val="none" w:sz="0" w:space="0" w:color="auto"/>
        </w:pBdr>
        <w:spacing w:before="0" w:after="0" w:line="240" w:lineRule="auto"/>
        <w:jc w:val="both"/>
        <w:rPr>
          <w:rFonts w:eastAsia="HYMyeongJo-Extra"/>
          <w:sz w:val="22"/>
          <w:szCs w:val="22"/>
        </w:rPr>
      </w:pPr>
    </w:p>
    <w:tbl>
      <w:tblPr>
        <w:tblStyle w:val="TableGrid"/>
        <w:tblW w:w="15735" w:type="dxa"/>
        <w:tblInd w:w="-743" w:type="dxa"/>
        <w:tblBorders>
          <w:left w:val="none" w:sz="0" w:space="0" w:color="auto"/>
          <w:right w:val="none" w:sz="0" w:space="0" w:color="auto"/>
          <w:insideV w:val="none" w:sz="0" w:space="0" w:color="auto"/>
        </w:tblBorders>
        <w:tblLook w:val="04A0" w:firstRow="1" w:lastRow="0" w:firstColumn="1" w:lastColumn="0" w:noHBand="0" w:noVBand="1"/>
      </w:tblPr>
      <w:tblGrid>
        <w:gridCol w:w="2411"/>
        <w:gridCol w:w="2267"/>
        <w:gridCol w:w="3261"/>
        <w:gridCol w:w="1984"/>
        <w:gridCol w:w="2977"/>
        <w:gridCol w:w="2835"/>
      </w:tblGrid>
      <w:tr w:rsidR="0001397F" w:rsidRPr="00D64488" w:rsidTr="000E7D0B">
        <w:tc>
          <w:tcPr>
            <w:tcW w:w="2411" w:type="dxa"/>
          </w:tcPr>
          <w:p w:rsidR="0001397F" w:rsidRPr="00D64488" w:rsidRDefault="0001397F" w:rsidP="00D64488">
            <w:pPr>
              <w:jc w:val="center"/>
              <w:rPr>
                <w:rFonts w:ascii="Times New Roman" w:hAnsi="Times New Roman" w:cs="Times New Roman"/>
                <w:b/>
                <w:sz w:val="16"/>
                <w:szCs w:val="16"/>
              </w:rPr>
            </w:pPr>
          </w:p>
        </w:tc>
        <w:tc>
          <w:tcPr>
            <w:tcW w:w="2267" w:type="dxa"/>
          </w:tcPr>
          <w:p w:rsidR="0001397F" w:rsidRPr="00D64488" w:rsidRDefault="0001397F" w:rsidP="00D64488">
            <w:pPr>
              <w:jc w:val="center"/>
              <w:rPr>
                <w:rFonts w:ascii="Times New Roman" w:hAnsi="Times New Roman" w:cs="Times New Roman"/>
                <w:b/>
                <w:sz w:val="16"/>
                <w:szCs w:val="16"/>
              </w:rPr>
            </w:pPr>
            <w:r w:rsidRPr="00D64488">
              <w:rPr>
                <w:rFonts w:ascii="Times New Roman" w:hAnsi="Times New Roman" w:cs="Times New Roman"/>
                <w:b/>
                <w:sz w:val="16"/>
                <w:szCs w:val="16"/>
              </w:rPr>
              <w:t>Lab A</w:t>
            </w:r>
          </w:p>
        </w:tc>
        <w:tc>
          <w:tcPr>
            <w:tcW w:w="3261" w:type="dxa"/>
          </w:tcPr>
          <w:p w:rsidR="0001397F" w:rsidRPr="00D64488" w:rsidRDefault="0001397F" w:rsidP="00D64488">
            <w:pPr>
              <w:jc w:val="center"/>
              <w:rPr>
                <w:rFonts w:ascii="Times New Roman" w:hAnsi="Times New Roman" w:cs="Times New Roman"/>
                <w:b/>
                <w:sz w:val="16"/>
                <w:szCs w:val="16"/>
              </w:rPr>
            </w:pPr>
            <w:r w:rsidRPr="00D64488">
              <w:rPr>
                <w:rFonts w:ascii="Times New Roman" w:hAnsi="Times New Roman" w:cs="Times New Roman"/>
                <w:b/>
                <w:sz w:val="16"/>
                <w:szCs w:val="16"/>
              </w:rPr>
              <w:t>Lab B</w:t>
            </w:r>
          </w:p>
        </w:tc>
        <w:tc>
          <w:tcPr>
            <w:tcW w:w="1984" w:type="dxa"/>
          </w:tcPr>
          <w:p w:rsidR="0001397F" w:rsidRPr="00D64488" w:rsidRDefault="0001397F" w:rsidP="00D64488">
            <w:pPr>
              <w:jc w:val="center"/>
              <w:rPr>
                <w:rFonts w:ascii="Times New Roman" w:hAnsi="Times New Roman" w:cs="Times New Roman"/>
                <w:b/>
                <w:sz w:val="16"/>
                <w:szCs w:val="16"/>
              </w:rPr>
            </w:pPr>
            <w:r w:rsidRPr="00D64488">
              <w:rPr>
                <w:rFonts w:ascii="Times New Roman" w:hAnsi="Times New Roman" w:cs="Times New Roman"/>
                <w:b/>
                <w:sz w:val="16"/>
                <w:szCs w:val="16"/>
              </w:rPr>
              <w:t>Lab C</w:t>
            </w:r>
          </w:p>
        </w:tc>
        <w:tc>
          <w:tcPr>
            <w:tcW w:w="2977" w:type="dxa"/>
          </w:tcPr>
          <w:p w:rsidR="0001397F" w:rsidRPr="00D64488" w:rsidRDefault="0001397F" w:rsidP="00D64488">
            <w:pPr>
              <w:jc w:val="center"/>
              <w:rPr>
                <w:rFonts w:ascii="Times New Roman" w:hAnsi="Times New Roman" w:cs="Times New Roman"/>
                <w:b/>
                <w:sz w:val="16"/>
                <w:szCs w:val="16"/>
              </w:rPr>
            </w:pPr>
            <w:r w:rsidRPr="00D64488">
              <w:rPr>
                <w:rFonts w:ascii="Times New Roman" w:hAnsi="Times New Roman" w:cs="Times New Roman"/>
                <w:b/>
                <w:sz w:val="16"/>
                <w:szCs w:val="16"/>
              </w:rPr>
              <w:t>Lab D</w:t>
            </w:r>
          </w:p>
        </w:tc>
        <w:tc>
          <w:tcPr>
            <w:tcW w:w="2835" w:type="dxa"/>
          </w:tcPr>
          <w:p w:rsidR="0001397F" w:rsidRPr="00D64488" w:rsidRDefault="0001397F" w:rsidP="00D64488">
            <w:pPr>
              <w:jc w:val="center"/>
              <w:rPr>
                <w:rFonts w:ascii="Times New Roman" w:hAnsi="Times New Roman" w:cs="Times New Roman"/>
                <w:b/>
                <w:sz w:val="16"/>
                <w:szCs w:val="16"/>
              </w:rPr>
            </w:pPr>
            <w:r w:rsidRPr="00D64488">
              <w:rPr>
                <w:rFonts w:ascii="Times New Roman" w:hAnsi="Times New Roman" w:cs="Times New Roman"/>
                <w:b/>
                <w:sz w:val="16"/>
                <w:szCs w:val="16"/>
              </w:rPr>
              <w:t>Lab E</w:t>
            </w:r>
          </w:p>
        </w:tc>
      </w:tr>
      <w:tr w:rsidR="0001397F" w:rsidRPr="00D64488" w:rsidTr="000E7D0B">
        <w:tc>
          <w:tcPr>
            <w:tcW w:w="2411" w:type="dxa"/>
          </w:tcPr>
          <w:p w:rsidR="0001397F" w:rsidRPr="00D64488" w:rsidRDefault="0001397F" w:rsidP="00D64488">
            <w:pPr>
              <w:rPr>
                <w:rFonts w:ascii="Times New Roman" w:hAnsi="Times New Roman" w:cs="Times New Roman"/>
                <w:b/>
                <w:sz w:val="16"/>
                <w:szCs w:val="16"/>
              </w:rPr>
            </w:pPr>
            <w:r w:rsidRPr="00D64488">
              <w:rPr>
                <w:rFonts w:ascii="Times New Roman" w:hAnsi="Times New Roman" w:cs="Times New Roman"/>
                <w:b/>
                <w:sz w:val="16"/>
                <w:szCs w:val="16"/>
              </w:rPr>
              <w:t>Sample preparation</w:t>
            </w:r>
          </w:p>
        </w:tc>
        <w:tc>
          <w:tcPr>
            <w:tcW w:w="2267" w:type="dxa"/>
          </w:tcPr>
          <w:p w:rsidR="0001397F" w:rsidRPr="00D64488" w:rsidRDefault="0001397F" w:rsidP="00D64488">
            <w:pPr>
              <w:rPr>
                <w:rFonts w:ascii="Times New Roman" w:hAnsi="Times New Roman" w:cs="Times New Roman"/>
                <w:sz w:val="16"/>
                <w:szCs w:val="16"/>
              </w:rPr>
            </w:pPr>
          </w:p>
        </w:tc>
        <w:tc>
          <w:tcPr>
            <w:tcW w:w="3261" w:type="dxa"/>
          </w:tcPr>
          <w:p w:rsidR="0001397F" w:rsidRPr="00D64488" w:rsidRDefault="0001397F" w:rsidP="00D64488">
            <w:pPr>
              <w:rPr>
                <w:rFonts w:ascii="Times New Roman" w:hAnsi="Times New Roman" w:cs="Times New Roman"/>
                <w:sz w:val="16"/>
                <w:szCs w:val="16"/>
              </w:rPr>
            </w:pPr>
          </w:p>
        </w:tc>
        <w:tc>
          <w:tcPr>
            <w:tcW w:w="1984" w:type="dxa"/>
          </w:tcPr>
          <w:p w:rsidR="0001397F" w:rsidRPr="00D64488" w:rsidRDefault="0001397F" w:rsidP="00D64488">
            <w:pPr>
              <w:rPr>
                <w:rFonts w:ascii="Times New Roman" w:hAnsi="Times New Roman" w:cs="Times New Roman"/>
                <w:sz w:val="16"/>
                <w:szCs w:val="16"/>
              </w:rPr>
            </w:pPr>
          </w:p>
        </w:tc>
        <w:tc>
          <w:tcPr>
            <w:tcW w:w="2977" w:type="dxa"/>
          </w:tcPr>
          <w:p w:rsidR="0001397F" w:rsidRPr="00D64488" w:rsidRDefault="0001397F" w:rsidP="00D64488">
            <w:pPr>
              <w:rPr>
                <w:rFonts w:ascii="Times New Roman" w:hAnsi="Times New Roman" w:cs="Times New Roman"/>
                <w:sz w:val="16"/>
                <w:szCs w:val="16"/>
              </w:rPr>
            </w:pPr>
          </w:p>
        </w:tc>
        <w:tc>
          <w:tcPr>
            <w:tcW w:w="2835" w:type="dxa"/>
          </w:tcPr>
          <w:p w:rsidR="0001397F" w:rsidRPr="00D64488" w:rsidRDefault="0001397F" w:rsidP="00D64488">
            <w:pPr>
              <w:rPr>
                <w:rFonts w:ascii="Times New Roman" w:hAnsi="Times New Roman" w:cs="Times New Roman"/>
                <w:sz w:val="16"/>
                <w:szCs w:val="16"/>
              </w:rPr>
            </w:pPr>
          </w:p>
        </w:tc>
      </w:tr>
      <w:tr w:rsidR="0001397F" w:rsidRPr="00D64488" w:rsidTr="000E7D0B">
        <w:tc>
          <w:tcPr>
            <w:tcW w:w="241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Sample taking, subsampling or sample pre-treatment</w:t>
            </w:r>
          </w:p>
        </w:tc>
        <w:tc>
          <w:tcPr>
            <w:tcW w:w="226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Sample was dissolved and aliquots were taken for U/Pa and U/</w:t>
            </w:r>
            <w:proofErr w:type="spellStart"/>
            <w:r w:rsidRPr="00D64488">
              <w:rPr>
                <w:rFonts w:ascii="Times New Roman" w:hAnsi="Times New Roman" w:cs="Times New Roman"/>
                <w:sz w:val="16"/>
                <w:szCs w:val="16"/>
              </w:rPr>
              <w:t>Th</w:t>
            </w:r>
            <w:proofErr w:type="spellEnd"/>
            <w:r w:rsidRPr="00D64488">
              <w:rPr>
                <w:rFonts w:ascii="Times New Roman" w:hAnsi="Times New Roman" w:cs="Times New Roman"/>
                <w:sz w:val="16"/>
                <w:szCs w:val="16"/>
              </w:rPr>
              <w:t xml:space="preserve"> analysis</w:t>
            </w:r>
          </w:p>
        </w:tc>
        <w:tc>
          <w:tcPr>
            <w:tcW w:w="326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Sample dissolved in original sample vials and transferred with rinses into weighed vial</w:t>
            </w:r>
          </w:p>
        </w:tc>
        <w:tc>
          <w:tcPr>
            <w:tcW w:w="1984"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Sample was dissolved in original vial prior to splitting</w:t>
            </w:r>
          </w:p>
        </w:tc>
        <w:tc>
          <w:tcPr>
            <w:tcW w:w="297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Total sample was dissolved in the original Teflon vial without splitting.</w:t>
            </w:r>
          </w:p>
        </w:tc>
        <w:tc>
          <w:tcPr>
            <w:tcW w:w="2835"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Total sample was dissolved in the original PFA vial without splitting/transfer.</w:t>
            </w:r>
          </w:p>
        </w:tc>
      </w:tr>
      <w:tr w:rsidR="0001397F" w:rsidRPr="00D64488" w:rsidTr="000E7D0B">
        <w:tc>
          <w:tcPr>
            <w:tcW w:w="241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Dissolution conditions (e.g. type of acid, temperature, </w:t>
            </w:r>
            <w:proofErr w:type="spellStart"/>
            <w:r w:rsidRPr="00D64488">
              <w:rPr>
                <w:rFonts w:ascii="Times New Roman" w:hAnsi="Times New Roman" w:cs="Times New Roman"/>
                <w:sz w:val="16"/>
                <w:szCs w:val="16"/>
              </w:rPr>
              <w:t>labware</w:t>
            </w:r>
            <w:proofErr w:type="spellEnd"/>
            <w:r w:rsidRPr="00D64488">
              <w:rPr>
                <w:rFonts w:ascii="Times New Roman" w:hAnsi="Times New Roman" w:cs="Times New Roman"/>
                <w:sz w:val="16"/>
                <w:szCs w:val="16"/>
              </w:rPr>
              <w:t xml:space="preserve"> type)</w:t>
            </w:r>
          </w:p>
        </w:tc>
        <w:tc>
          <w:tcPr>
            <w:tcW w:w="2267" w:type="dxa"/>
          </w:tcPr>
          <w:p w:rsidR="0001397F" w:rsidRPr="00D64488" w:rsidRDefault="0001397F" w:rsidP="00D64488">
            <w:pPr>
              <w:rPr>
                <w:rFonts w:ascii="Times New Roman" w:hAnsi="Times New Roman" w:cs="Times New Roman"/>
                <w:sz w:val="16"/>
                <w:szCs w:val="16"/>
              </w:rPr>
            </w:pPr>
            <w:proofErr w:type="spellStart"/>
            <w:r w:rsidRPr="00D64488">
              <w:rPr>
                <w:rFonts w:ascii="Times New Roman" w:hAnsi="Times New Roman" w:cs="Times New Roman"/>
                <w:sz w:val="16"/>
                <w:szCs w:val="16"/>
              </w:rPr>
              <w:t>HCl</w:t>
            </w:r>
            <w:proofErr w:type="spellEnd"/>
            <w:r w:rsidRPr="00D64488">
              <w:rPr>
                <w:rFonts w:ascii="Times New Roman" w:hAnsi="Times New Roman" w:cs="Times New Roman"/>
                <w:sz w:val="16"/>
                <w:szCs w:val="16"/>
              </w:rPr>
              <w:t xml:space="preserve"> UP, heated to 90°C overnight</w:t>
            </w:r>
          </w:p>
        </w:tc>
        <w:tc>
          <w:tcPr>
            <w:tcW w:w="326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4 M HNO</w:t>
            </w:r>
            <w:r w:rsidRPr="00D64488">
              <w:rPr>
                <w:rFonts w:ascii="Times New Roman" w:hAnsi="Times New Roman" w:cs="Times New Roman"/>
                <w:sz w:val="16"/>
                <w:szCs w:val="16"/>
                <w:vertAlign w:val="subscript"/>
              </w:rPr>
              <w:t>3</w:t>
            </w:r>
            <w:r w:rsidRPr="00D64488">
              <w:rPr>
                <w:rFonts w:ascii="Times New Roman" w:hAnsi="Times New Roman" w:cs="Times New Roman"/>
                <w:sz w:val="16"/>
                <w:szCs w:val="16"/>
              </w:rPr>
              <w:t xml:space="preserve"> + 0.05 M HF, into 30 mL PFA vial for primary solution, warmed on low temperature hotplate and </w:t>
            </w:r>
            <w:proofErr w:type="spellStart"/>
            <w:r w:rsidRPr="00D64488">
              <w:rPr>
                <w:rFonts w:ascii="Times New Roman" w:hAnsi="Times New Roman" w:cs="Times New Roman"/>
                <w:sz w:val="16"/>
                <w:szCs w:val="16"/>
              </w:rPr>
              <w:t>ultrasonicated</w:t>
            </w:r>
            <w:proofErr w:type="spellEnd"/>
          </w:p>
        </w:tc>
        <w:tc>
          <w:tcPr>
            <w:tcW w:w="1984"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Dissolved in heated acid (80-90</w:t>
            </w:r>
            <w:r w:rsidRPr="00D64488">
              <w:rPr>
                <w:rFonts w:ascii="Times New Roman" w:hAnsi="Times New Roman" w:cs="Times New Roman"/>
                <w:sz w:val="16"/>
                <w:szCs w:val="16"/>
                <w:vertAlign w:val="superscript"/>
              </w:rPr>
              <w:t xml:space="preserve"> </w:t>
            </w:r>
            <w:proofErr w:type="spellStart"/>
            <w:r w:rsidRPr="00D64488">
              <w:rPr>
                <w:rFonts w:ascii="Times New Roman" w:hAnsi="Times New Roman" w:cs="Times New Roman"/>
                <w:sz w:val="16"/>
                <w:szCs w:val="16"/>
                <w:vertAlign w:val="superscript"/>
              </w:rPr>
              <w:t>o</w:t>
            </w:r>
            <w:r w:rsidRPr="00D64488">
              <w:rPr>
                <w:rFonts w:ascii="Times New Roman" w:hAnsi="Times New Roman" w:cs="Times New Roman"/>
                <w:sz w:val="16"/>
                <w:szCs w:val="16"/>
              </w:rPr>
              <w:t>C</w:t>
            </w:r>
            <w:proofErr w:type="spellEnd"/>
            <w:r w:rsidRPr="00D64488">
              <w:rPr>
                <w:rFonts w:ascii="Times New Roman" w:hAnsi="Times New Roman" w:cs="Times New Roman"/>
                <w:sz w:val="16"/>
                <w:szCs w:val="16"/>
              </w:rPr>
              <w:t>) for ~ 1 hour and allowed to equilibrate overnight prior to use.</w:t>
            </w:r>
          </w:p>
        </w:tc>
        <w:tc>
          <w:tcPr>
            <w:tcW w:w="297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24 hour closed vessel digestion on hotplate at 90˚C in 8M HNO</w:t>
            </w:r>
            <w:r w:rsidRPr="00D64488">
              <w:rPr>
                <w:rFonts w:ascii="Times New Roman" w:hAnsi="Times New Roman" w:cs="Times New Roman"/>
                <w:sz w:val="16"/>
                <w:szCs w:val="16"/>
                <w:vertAlign w:val="subscript"/>
              </w:rPr>
              <w:t>3</w:t>
            </w:r>
            <w:r w:rsidRPr="00D64488">
              <w:rPr>
                <w:rFonts w:ascii="Times New Roman" w:hAnsi="Times New Roman" w:cs="Times New Roman"/>
                <w:sz w:val="16"/>
                <w:szCs w:val="16"/>
              </w:rPr>
              <w:t xml:space="preserve"> (Optima HNO3 + triple distilled H2O)</w:t>
            </w:r>
          </w:p>
        </w:tc>
        <w:tc>
          <w:tcPr>
            <w:tcW w:w="2835" w:type="dxa"/>
          </w:tcPr>
          <w:p w:rsidR="0001397F" w:rsidRPr="00D64488" w:rsidRDefault="0001397F" w:rsidP="00D64488">
            <w:pPr>
              <w:rPr>
                <w:rFonts w:ascii="Times New Roman" w:hAnsi="Times New Roman" w:cs="Times New Roman"/>
                <w:sz w:val="16"/>
                <w:szCs w:val="16"/>
              </w:rPr>
            </w:pPr>
            <w:proofErr w:type="spellStart"/>
            <w:r w:rsidRPr="00D64488">
              <w:rPr>
                <w:rFonts w:ascii="Times New Roman" w:hAnsi="Times New Roman" w:cs="Times New Roman"/>
                <w:sz w:val="16"/>
                <w:szCs w:val="16"/>
              </w:rPr>
              <w:t>Subboiled</w:t>
            </w:r>
            <w:proofErr w:type="spellEnd"/>
            <w:r w:rsidRPr="00D64488">
              <w:rPr>
                <w:rFonts w:ascii="Times New Roman" w:hAnsi="Times New Roman" w:cs="Times New Roman"/>
                <w:sz w:val="16"/>
                <w:szCs w:val="16"/>
              </w:rPr>
              <w:t xml:space="preserve"> </w:t>
            </w:r>
            <w:r w:rsidRPr="00D64488">
              <w:rPr>
                <w:rFonts w:ascii="Times New Roman" w:hAnsi="Times New Roman" w:cs="Times New Roman"/>
                <w:i/>
                <w:sz w:val="16"/>
                <w:szCs w:val="16"/>
              </w:rPr>
              <w:t>cc</w:t>
            </w:r>
            <w:r w:rsidRPr="00D64488">
              <w:rPr>
                <w:rFonts w:ascii="Times New Roman" w:hAnsi="Times New Roman" w:cs="Times New Roman"/>
                <w:sz w:val="16"/>
                <w:szCs w:val="16"/>
              </w:rPr>
              <w:t>HNO</w:t>
            </w:r>
            <w:r w:rsidRPr="00D64488">
              <w:rPr>
                <w:rFonts w:ascii="Times New Roman" w:hAnsi="Times New Roman" w:cs="Times New Roman"/>
                <w:sz w:val="16"/>
                <w:szCs w:val="16"/>
                <w:vertAlign w:val="subscript"/>
              </w:rPr>
              <w:t>3</w:t>
            </w:r>
            <w:r w:rsidRPr="00D64488">
              <w:rPr>
                <w:rFonts w:ascii="Times New Roman" w:hAnsi="Times New Roman" w:cs="Times New Roman"/>
                <w:sz w:val="16"/>
                <w:szCs w:val="16"/>
              </w:rPr>
              <w:t xml:space="preserve"> (3 ml to 30 mg U), heated to 90 </w:t>
            </w:r>
            <w:proofErr w:type="spellStart"/>
            <w:r w:rsidRPr="00D64488">
              <w:rPr>
                <w:rFonts w:ascii="Times New Roman" w:hAnsi="Times New Roman" w:cs="Times New Roman"/>
                <w:sz w:val="16"/>
                <w:szCs w:val="16"/>
                <w:vertAlign w:val="superscript"/>
              </w:rPr>
              <w:t>o</w:t>
            </w:r>
            <w:r w:rsidRPr="00D64488">
              <w:rPr>
                <w:rFonts w:ascii="Times New Roman" w:hAnsi="Times New Roman" w:cs="Times New Roman"/>
                <w:sz w:val="16"/>
                <w:szCs w:val="16"/>
              </w:rPr>
              <w:t>C</w:t>
            </w:r>
            <w:proofErr w:type="spellEnd"/>
            <w:r w:rsidRPr="00D64488">
              <w:rPr>
                <w:rFonts w:ascii="Times New Roman" w:hAnsi="Times New Roman" w:cs="Times New Roman"/>
                <w:sz w:val="16"/>
                <w:szCs w:val="16"/>
              </w:rPr>
              <w:t xml:space="preserve"> for 1 hour</w:t>
            </w:r>
          </w:p>
        </w:tc>
      </w:tr>
      <w:tr w:rsidR="0001397F" w:rsidRPr="00D64488" w:rsidTr="000E7D0B">
        <w:tc>
          <w:tcPr>
            <w:tcW w:w="2411" w:type="dxa"/>
          </w:tcPr>
          <w:p w:rsidR="0001397F" w:rsidRPr="00D64488" w:rsidRDefault="0001397F" w:rsidP="00D64488">
            <w:pPr>
              <w:rPr>
                <w:rFonts w:ascii="Times New Roman" w:hAnsi="Times New Roman" w:cs="Times New Roman"/>
                <w:b/>
                <w:sz w:val="16"/>
                <w:szCs w:val="16"/>
              </w:rPr>
            </w:pPr>
            <w:r w:rsidRPr="00D64488">
              <w:rPr>
                <w:rFonts w:ascii="Times New Roman" w:hAnsi="Times New Roman" w:cs="Times New Roman"/>
                <w:b/>
                <w:sz w:val="16"/>
                <w:szCs w:val="16"/>
              </w:rPr>
              <w:t>Uranium analysis</w:t>
            </w:r>
          </w:p>
        </w:tc>
        <w:tc>
          <w:tcPr>
            <w:tcW w:w="2267" w:type="dxa"/>
          </w:tcPr>
          <w:p w:rsidR="0001397F" w:rsidRPr="00D64488" w:rsidRDefault="0001397F" w:rsidP="00D64488">
            <w:pPr>
              <w:rPr>
                <w:rFonts w:ascii="Times New Roman" w:hAnsi="Times New Roman" w:cs="Times New Roman"/>
                <w:sz w:val="16"/>
                <w:szCs w:val="16"/>
              </w:rPr>
            </w:pPr>
          </w:p>
        </w:tc>
        <w:tc>
          <w:tcPr>
            <w:tcW w:w="3261" w:type="dxa"/>
          </w:tcPr>
          <w:p w:rsidR="0001397F" w:rsidRPr="00D64488" w:rsidRDefault="0001397F" w:rsidP="00D64488">
            <w:pPr>
              <w:rPr>
                <w:rFonts w:ascii="Times New Roman" w:hAnsi="Times New Roman" w:cs="Times New Roman"/>
                <w:sz w:val="16"/>
                <w:szCs w:val="16"/>
              </w:rPr>
            </w:pPr>
          </w:p>
        </w:tc>
        <w:tc>
          <w:tcPr>
            <w:tcW w:w="1984" w:type="dxa"/>
          </w:tcPr>
          <w:p w:rsidR="0001397F" w:rsidRPr="00D64488" w:rsidRDefault="0001397F" w:rsidP="00D64488">
            <w:pPr>
              <w:rPr>
                <w:rFonts w:ascii="Times New Roman" w:hAnsi="Times New Roman" w:cs="Times New Roman"/>
                <w:sz w:val="16"/>
                <w:szCs w:val="16"/>
              </w:rPr>
            </w:pPr>
          </w:p>
        </w:tc>
        <w:tc>
          <w:tcPr>
            <w:tcW w:w="2977" w:type="dxa"/>
          </w:tcPr>
          <w:p w:rsidR="0001397F" w:rsidRPr="00D64488" w:rsidRDefault="0001397F" w:rsidP="00D64488">
            <w:pPr>
              <w:rPr>
                <w:rFonts w:ascii="Times New Roman" w:hAnsi="Times New Roman" w:cs="Times New Roman"/>
                <w:sz w:val="16"/>
                <w:szCs w:val="16"/>
              </w:rPr>
            </w:pPr>
          </w:p>
        </w:tc>
        <w:tc>
          <w:tcPr>
            <w:tcW w:w="2835" w:type="dxa"/>
          </w:tcPr>
          <w:p w:rsidR="0001397F" w:rsidRPr="00D64488" w:rsidRDefault="0001397F" w:rsidP="00D64488">
            <w:pPr>
              <w:rPr>
                <w:rFonts w:ascii="Times New Roman" w:hAnsi="Times New Roman" w:cs="Times New Roman"/>
                <w:sz w:val="16"/>
                <w:szCs w:val="16"/>
              </w:rPr>
            </w:pPr>
          </w:p>
        </w:tc>
      </w:tr>
      <w:tr w:rsidR="0001397F" w:rsidRPr="00D64488" w:rsidTr="000E7D0B">
        <w:tc>
          <w:tcPr>
            <w:tcW w:w="241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Measurement technique and instrument type</w:t>
            </w:r>
          </w:p>
        </w:tc>
        <w:tc>
          <w:tcPr>
            <w:tcW w:w="226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TIMS (Triton) </w:t>
            </w:r>
          </w:p>
        </w:tc>
        <w:tc>
          <w:tcPr>
            <w:tcW w:w="326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Static multi-collection on </w:t>
            </w:r>
            <w:proofErr w:type="spellStart"/>
            <w:r w:rsidRPr="00D64488">
              <w:rPr>
                <w:rFonts w:ascii="Times New Roman" w:hAnsi="Times New Roman" w:cs="Times New Roman"/>
                <w:sz w:val="16"/>
                <w:szCs w:val="16"/>
              </w:rPr>
              <w:t>NuPlasma</w:t>
            </w:r>
            <w:proofErr w:type="spellEnd"/>
            <w:r w:rsidRPr="00D64488">
              <w:rPr>
                <w:rFonts w:ascii="Times New Roman" w:hAnsi="Times New Roman" w:cs="Times New Roman"/>
                <w:sz w:val="16"/>
                <w:szCs w:val="16"/>
              </w:rPr>
              <w:t xml:space="preserve"> MC-ICPMS.  U-isotopic composition measured first on un-spiked aliquots.  U IDMS on separate spiked aliquot from secondary </w:t>
            </w:r>
            <w:proofErr w:type="spellStart"/>
            <w:r w:rsidRPr="00D64488">
              <w:rPr>
                <w:rFonts w:ascii="Times New Roman" w:hAnsi="Times New Roman" w:cs="Times New Roman"/>
                <w:sz w:val="16"/>
                <w:szCs w:val="16"/>
              </w:rPr>
              <w:t>diluton</w:t>
            </w:r>
            <w:proofErr w:type="spellEnd"/>
          </w:p>
        </w:tc>
        <w:tc>
          <w:tcPr>
            <w:tcW w:w="1984"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TE TIMS- VG Sector 54</w:t>
            </w:r>
          </w:p>
        </w:tc>
        <w:tc>
          <w:tcPr>
            <w:tcW w:w="297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Multi-collector TIMS U isotopic analysis</w:t>
            </w:r>
          </w:p>
        </w:tc>
        <w:tc>
          <w:tcPr>
            <w:tcW w:w="2835"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TIMS, MTE-TIMS (Triton) and ICP-MS (Element2) </w:t>
            </w:r>
          </w:p>
        </w:tc>
      </w:tr>
      <w:tr w:rsidR="0001397F" w:rsidRPr="00D64488" w:rsidTr="000E7D0B">
        <w:tc>
          <w:tcPr>
            <w:tcW w:w="241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vertAlign w:val="superscript"/>
              </w:rPr>
              <w:t>234</w:t>
            </w:r>
            <w:r w:rsidRPr="00D64488">
              <w:rPr>
                <w:rFonts w:ascii="Times New Roman" w:hAnsi="Times New Roman" w:cs="Times New Roman"/>
                <w:sz w:val="16"/>
                <w:szCs w:val="16"/>
              </w:rPr>
              <w:t>U quantification method</w:t>
            </w:r>
          </w:p>
        </w:tc>
        <w:tc>
          <w:tcPr>
            <w:tcW w:w="226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Isotope dilution with </w:t>
            </w:r>
            <w:r w:rsidRPr="00D64488">
              <w:rPr>
                <w:rFonts w:ascii="Times New Roman" w:hAnsi="Times New Roman" w:cs="Times New Roman"/>
                <w:sz w:val="16"/>
                <w:szCs w:val="16"/>
                <w:vertAlign w:val="superscript"/>
              </w:rPr>
              <w:t>233</w:t>
            </w:r>
            <w:r w:rsidRPr="00D64488">
              <w:rPr>
                <w:rFonts w:ascii="Times New Roman" w:hAnsi="Times New Roman" w:cs="Times New Roman"/>
                <w:sz w:val="16"/>
                <w:szCs w:val="16"/>
              </w:rPr>
              <w:t>U</w:t>
            </w:r>
          </w:p>
        </w:tc>
        <w:tc>
          <w:tcPr>
            <w:tcW w:w="326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IDMS using </w:t>
            </w:r>
            <w:r w:rsidRPr="00D64488">
              <w:rPr>
                <w:rFonts w:ascii="Times New Roman" w:hAnsi="Times New Roman" w:cs="Times New Roman"/>
                <w:sz w:val="16"/>
                <w:szCs w:val="16"/>
                <w:vertAlign w:val="superscript"/>
              </w:rPr>
              <w:t>233</w:t>
            </w:r>
            <w:r w:rsidRPr="00D64488">
              <w:rPr>
                <w:rFonts w:ascii="Times New Roman" w:hAnsi="Times New Roman" w:cs="Times New Roman"/>
                <w:sz w:val="16"/>
                <w:szCs w:val="16"/>
              </w:rPr>
              <w:t xml:space="preserve">U spike. </w:t>
            </w:r>
          </w:p>
        </w:tc>
        <w:tc>
          <w:tcPr>
            <w:tcW w:w="1984"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Isotope Dilution</w:t>
            </w:r>
          </w:p>
        </w:tc>
        <w:tc>
          <w:tcPr>
            <w:tcW w:w="297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Isotope dilution on Element 2 ICP-MS + U isotopic composition by MC-TIMS</w:t>
            </w:r>
          </w:p>
        </w:tc>
        <w:tc>
          <w:tcPr>
            <w:tcW w:w="2835"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Isotope dilution</w:t>
            </w:r>
          </w:p>
        </w:tc>
      </w:tr>
      <w:tr w:rsidR="0001397F" w:rsidRPr="00D64488" w:rsidTr="000E7D0B">
        <w:tc>
          <w:tcPr>
            <w:tcW w:w="241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Sample amount used for U analysis</w:t>
            </w:r>
          </w:p>
        </w:tc>
        <w:tc>
          <w:tcPr>
            <w:tcW w:w="226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1.2 µg done in triplicate</w:t>
            </w:r>
          </w:p>
        </w:tc>
        <w:tc>
          <w:tcPr>
            <w:tcW w:w="326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0.4-0.6 µg U</w:t>
            </w:r>
          </w:p>
        </w:tc>
        <w:tc>
          <w:tcPr>
            <w:tcW w:w="1984"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3 mg</w:t>
            </w:r>
          </w:p>
        </w:tc>
        <w:tc>
          <w:tcPr>
            <w:tcW w:w="297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500 ng for U isotopic, 5 ng for U IDMS measurement</w:t>
            </w:r>
          </w:p>
        </w:tc>
        <w:tc>
          <w:tcPr>
            <w:tcW w:w="2835"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5 mg, done in duplicate</w:t>
            </w:r>
          </w:p>
        </w:tc>
      </w:tr>
      <w:tr w:rsidR="0001397F" w:rsidRPr="00D64488" w:rsidTr="000E7D0B">
        <w:tc>
          <w:tcPr>
            <w:tcW w:w="2411" w:type="dxa"/>
          </w:tcPr>
          <w:p w:rsidR="0001397F" w:rsidRPr="00D64488" w:rsidRDefault="0001397F" w:rsidP="00D64488">
            <w:pPr>
              <w:rPr>
                <w:rFonts w:ascii="Times New Roman" w:hAnsi="Times New Roman" w:cs="Times New Roman"/>
                <w:b/>
                <w:sz w:val="16"/>
                <w:szCs w:val="16"/>
              </w:rPr>
            </w:pPr>
            <w:r w:rsidRPr="00D64488">
              <w:rPr>
                <w:rFonts w:ascii="Times New Roman" w:hAnsi="Times New Roman" w:cs="Times New Roman"/>
                <w:b/>
                <w:sz w:val="16"/>
                <w:szCs w:val="16"/>
              </w:rPr>
              <w:t>Thorium analysis</w:t>
            </w:r>
          </w:p>
        </w:tc>
        <w:tc>
          <w:tcPr>
            <w:tcW w:w="2267" w:type="dxa"/>
          </w:tcPr>
          <w:p w:rsidR="0001397F" w:rsidRPr="00D64488" w:rsidRDefault="0001397F" w:rsidP="00D64488">
            <w:pPr>
              <w:rPr>
                <w:rFonts w:ascii="Times New Roman" w:hAnsi="Times New Roman" w:cs="Times New Roman"/>
                <w:sz w:val="16"/>
                <w:szCs w:val="16"/>
              </w:rPr>
            </w:pPr>
          </w:p>
        </w:tc>
        <w:tc>
          <w:tcPr>
            <w:tcW w:w="3261" w:type="dxa"/>
          </w:tcPr>
          <w:p w:rsidR="0001397F" w:rsidRPr="00D64488" w:rsidRDefault="0001397F" w:rsidP="00D64488">
            <w:pPr>
              <w:rPr>
                <w:rFonts w:ascii="Times New Roman" w:hAnsi="Times New Roman" w:cs="Times New Roman"/>
                <w:sz w:val="16"/>
                <w:szCs w:val="16"/>
              </w:rPr>
            </w:pPr>
          </w:p>
        </w:tc>
        <w:tc>
          <w:tcPr>
            <w:tcW w:w="1984" w:type="dxa"/>
          </w:tcPr>
          <w:p w:rsidR="0001397F" w:rsidRPr="00D64488" w:rsidRDefault="0001397F" w:rsidP="00D64488">
            <w:pPr>
              <w:rPr>
                <w:rFonts w:ascii="Times New Roman" w:hAnsi="Times New Roman" w:cs="Times New Roman"/>
                <w:sz w:val="16"/>
                <w:szCs w:val="16"/>
              </w:rPr>
            </w:pPr>
          </w:p>
        </w:tc>
        <w:tc>
          <w:tcPr>
            <w:tcW w:w="2977" w:type="dxa"/>
          </w:tcPr>
          <w:p w:rsidR="0001397F" w:rsidRPr="00D64488" w:rsidRDefault="0001397F" w:rsidP="00D64488">
            <w:pPr>
              <w:rPr>
                <w:rFonts w:ascii="Times New Roman" w:hAnsi="Times New Roman" w:cs="Times New Roman"/>
                <w:sz w:val="16"/>
                <w:szCs w:val="16"/>
              </w:rPr>
            </w:pPr>
          </w:p>
        </w:tc>
        <w:tc>
          <w:tcPr>
            <w:tcW w:w="2835" w:type="dxa"/>
          </w:tcPr>
          <w:p w:rsidR="0001397F" w:rsidRPr="00D64488" w:rsidRDefault="0001397F" w:rsidP="00D64488">
            <w:pPr>
              <w:rPr>
                <w:rFonts w:ascii="Times New Roman" w:hAnsi="Times New Roman" w:cs="Times New Roman"/>
                <w:sz w:val="16"/>
                <w:szCs w:val="16"/>
              </w:rPr>
            </w:pPr>
          </w:p>
        </w:tc>
      </w:tr>
      <w:tr w:rsidR="0001397F" w:rsidRPr="00D64488" w:rsidTr="000E7D0B">
        <w:tc>
          <w:tcPr>
            <w:tcW w:w="241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Measurement technique and instrument type</w:t>
            </w:r>
          </w:p>
        </w:tc>
        <w:tc>
          <w:tcPr>
            <w:tcW w:w="226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ICP-MS (Element XR)</w:t>
            </w:r>
          </w:p>
        </w:tc>
        <w:tc>
          <w:tcPr>
            <w:tcW w:w="326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Peak jumping on secondary electron multiplier (229-230), </w:t>
            </w:r>
            <w:proofErr w:type="spellStart"/>
            <w:r w:rsidRPr="00D64488">
              <w:rPr>
                <w:rFonts w:ascii="Times New Roman" w:hAnsi="Times New Roman" w:cs="Times New Roman"/>
                <w:sz w:val="16"/>
                <w:szCs w:val="16"/>
              </w:rPr>
              <w:t>NuPlasma</w:t>
            </w:r>
            <w:proofErr w:type="spellEnd"/>
            <w:r w:rsidRPr="00D64488">
              <w:rPr>
                <w:rFonts w:ascii="Times New Roman" w:hAnsi="Times New Roman" w:cs="Times New Roman"/>
                <w:sz w:val="16"/>
                <w:szCs w:val="16"/>
              </w:rPr>
              <w:t xml:space="preserve"> MC-ICPMS</w:t>
            </w:r>
          </w:p>
        </w:tc>
        <w:tc>
          <w:tcPr>
            <w:tcW w:w="1984"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Ion Counting TIMS- </w:t>
            </w:r>
            <w:proofErr w:type="spellStart"/>
            <w:r w:rsidRPr="00D64488">
              <w:rPr>
                <w:rFonts w:ascii="Times New Roman" w:hAnsi="Times New Roman" w:cs="Times New Roman"/>
                <w:sz w:val="16"/>
                <w:szCs w:val="16"/>
              </w:rPr>
              <w:t>Isotopx</w:t>
            </w:r>
            <w:proofErr w:type="spellEnd"/>
            <w:r w:rsidRPr="00D64488">
              <w:rPr>
                <w:rFonts w:ascii="Times New Roman" w:hAnsi="Times New Roman" w:cs="Times New Roman"/>
                <w:sz w:val="16"/>
                <w:szCs w:val="16"/>
              </w:rPr>
              <w:t xml:space="preserve"> </w:t>
            </w:r>
            <w:proofErr w:type="spellStart"/>
            <w:r w:rsidRPr="00D64488">
              <w:rPr>
                <w:rFonts w:ascii="Times New Roman" w:hAnsi="Times New Roman" w:cs="Times New Roman"/>
                <w:sz w:val="16"/>
                <w:szCs w:val="16"/>
              </w:rPr>
              <w:t>Isoprobe</w:t>
            </w:r>
            <w:proofErr w:type="spellEnd"/>
            <w:r w:rsidRPr="00D64488">
              <w:rPr>
                <w:rFonts w:ascii="Times New Roman" w:hAnsi="Times New Roman" w:cs="Times New Roman"/>
                <w:sz w:val="16"/>
                <w:szCs w:val="16"/>
              </w:rPr>
              <w:t xml:space="preserve"> T</w:t>
            </w:r>
          </w:p>
        </w:tc>
        <w:tc>
          <w:tcPr>
            <w:tcW w:w="297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Isotope dilution on Element 2</w:t>
            </w:r>
          </w:p>
        </w:tc>
        <w:tc>
          <w:tcPr>
            <w:tcW w:w="2835"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ICP-MS (Element2)</w:t>
            </w:r>
          </w:p>
        </w:tc>
      </w:tr>
      <w:tr w:rsidR="0001397F" w:rsidRPr="00D64488" w:rsidTr="000E7D0B">
        <w:tc>
          <w:tcPr>
            <w:tcW w:w="241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Thorium chemical separation method</w:t>
            </w:r>
          </w:p>
        </w:tc>
        <w:tc>
          <w:tcPr>
            <w:tcW w:w="226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Ion chromatography (AG1X8), single step</w:t>
            </w:r>
          </w:p>
        </w:tc>
        <w:tc>
          <w:tcPr>
            <w:tcW w:w="326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Three step:  anion exchange, TEVA extraction, anion exchange</w:t>
            </w:r>
          </w:p>
        </w:tc>
        <w:tc>
          <w:tcPr>
            <w:tcW w:w="1984"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Ion Chromatography (</w:t>
            </w:r>
            <w:proofErr w:type="spellStart"/>
            <w:r w:rsidRPr="00D64488">
              <w:rPr>
                <w:rFonts w:ascii="Times New Roman" w:hAnsi="Times New Roman" w:cs="Times New Roman"/>
                <w:sz w:val="16"/>
                <w:szCs w:val="16"/>
              </w:rPr>
              <w:t>Lewatit</w:t>
            </w:r>
            <w:proofErr w:type="spellEnd"/>
            <w:r w:rsidRPr="00D64488">
              <w:rPr>
                <w:rFonts w:ascii="Times New Roman" w:hAnsi="Times New Roman" w:cs="Times New Roman"/>
                <w:sz w:val="16"/>
                <w:szCs w:val="16"/>
              </w:rPr>
              <w:t xml:space="preserve"> MP5080)</w:t>
            </w:r>
          </w:p>
        </w:tc>
        <w:tc>
          <w:tcPr>
            <w:tcW w:w="297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Anion exchange x 3 (2 8M HNO3 columns then 1- 9M </w:t>
            </w:r>
            <w:proofErr w:type="spellStart"/>
            <w:r w:rsidRPr="00D64488">
              <w:rPr>
                <w:rFonts w:ascii="Times New Roman" w:hAnsi="Times New Roman" w:cs="Times New Roman"/>
                <w:sz w:val="16"/>
                <w:szCs w:val="16"/>
              </w:rPr>
              <w:t>HCl</w:t>
            </w:r>
            <w:proofErr w:type="spellEnd"/>
            <w:r w:rsidRPr="00D64488">
              <w:rPr>
                <w:rFonts w:ascii="Times New Roman" w:hAnsi="Times New Roman" w:cs="Times New Roman"/>
                <w:sz w:val="16"/>
                <w:szCs w:val="16"/>
              </w:rPr>
              <w:t xml:space="preserve"> column)</w:t>
            </w:r>
          </w:p>
        </w:tc>
        <w:tc>
          <w:tcPr>
            <w:tcW w:w="2835"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Extraction chromatography (TEVA), single step</w:t>
            </w:r>
          </w:p>
        </w:tc>
      </w:tr>
      <w:tr w:rsidR="0001397F" w:rsidRPr="00D64488" w:rsidTr="000E7D0B">
        <w:tc>
          <w:tcPr>
            <w:tcW w:w="241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vertAlign w:val="superscript"/>
              </w:rPr>
              <w:t>230</w:t>
            </w:r>
            <w:r w:rsidRPr="00D64488">
              <w:rPr>
                <w:rFonts w:ascii="Times New Roman" w:hAnsi="Times New Roman" w:cs="Times New Roman"/>
                <w:sz w:val="16"/>
                <w:szCs w:val="16"/>
              </w:rPr>
              <w:t>Th quantification method</w:t>
            </w:r>
          </w:p>
        </w:tc>
        <w:tc>
          <w:tcPr>
            <w:tcW w:w="226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Isotope dilution</w:t>
            </w:r>
          </w:p>
        </w:tc>
        <w:tc>
          <w:tcPr>
            <w:tcW w:w="326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Isotope dilution</w:t>
            </w:r>
          </w:p>
        </w:tc>
        <w:tc>
          <w:tcPr>
            <w:tcW w:w="1984"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Isotope Dilution</w:t>
            </w:r>
          </w:p>
        </w:tc>
        <w:tc>
          <w:tcPr>
            <w:tcW w:w="297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Isotope dilution</w:t>
            </w:r>
          </w:p>
        </w:tc>
        <w:tc>
          <w:tcPr>
            <w:tcW w:w="2835"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Isotope dilution</w:t>
            </w:r>
          </w:p>
        </w:tc>
      </w:tr>
      <w:tr w:rsidR="0001397F" w:rsidRPr="00D64488" w:rsidTr="000E7D0B">
        <w:tc>
          <w:tcPr>
            <w:tcW w:w="241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Standards (</w:t>
            </w:r>
            <w:proofErr w:type="spellStart"/>
            <w:r w:rsidRPr="00D64488">
              <w:rPr>
                <w:rFonts w:ascii="Times New Roman" w:hAnsi="Times New Roman" w:cs="Times New Roman"/>
                <w:sz w:val="16"/>
                <w:szCs w:val="16"/>
              </w:rPr>
              <w:t>calibrants</w:t>
            </w:r>
            <w:proofErr w:type="spellEnd"/>
            <w:r w:rsidRPr="00D64488">
              <w:rPr>
                <w:rFonts w:ascii="Times New Roman" w:hAnsi="Times New Roman" w:cs="Times New Roman"/>
                <w:sz w:val="16"/>
                <w:szCs w:val="16"/>
              </w:rPr>
              <w:t>) applied, manufacturer</w:t>
            </w:r>
          </w:p>
        </w:tc>
        <w:tc>
          <w:tcPr>
            <w:tcW w:w="226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vertAlign w:val="superscript"/>
              </w:rPr>
              <w:t>229</w:t>
            </w:r>
            <w:r w:rsidRPr="00D64488">
              <w:rPr>
                <w:rFonts w:ascii="Times New Roman" w:hAnsi="Times New Roman" w:cs="Times New Roman"/>
                <w:sz w:val="16"/>
                <w:szCs w:val="16"/>
              </w:rPr>
              <w:t>Th (AEA Technology)</w:t>
            </w:r>
          </w:p>
        </w:tc>
        <w:tc>
          <w:tcPr>
            <w:tcW w:w="326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NBL U010 used for mass bias correction.</w:t>
            </w:r>
          </w:p>
        </w:tc>
        <w:tc>
          <w:tcPr>
            <w:tcW w:w="1984"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NBL </w:t>
            </w:r>
            <w:r w:rsidRPr="00D64488">
              <w:rPr>
                <w:rFonts w:ascii="Times New Roman" w:hAnsi="Times New Roman" w:cs="Times New Roman"/>
                <w:sz w:val="16"/>
                <w:szCs w:val="16"/>
                <w:vertAlign w:val="superscript"/>
              </w:rPr>
              <w:t>229</w:t>
            </w:r>
            <w:r w:rsidRPr="00D64488">
              <w:rPr>
                <w:rFonts w:ascii="Times New Roman" w:hAnsi="Times New Roman" w:cs="Times New Roman"/>
                <w:sz w:val="16"/>
                <w:szCs w:val="16"/>
              </w:rPr>
              <w:t>Th</w:t>
            </w:r>
          </w:p>
        </w:tc>
        <w:tc>
          <w:tcPr>
            <w:tcW w:w="297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NIST SRM 4342A </w:t>
            </w:r>
            <w:r w:rsidRPr="00D64488">
              <w:rPr>
                <w:rFonts w:ascii="Times New Roman" w:hAnsi="Times New Roman" w:cs="Times New Roman"/>
                <w:sz w:val="16"/>
                <w:szCs w:val="16"/>
                <w:vertAlign w:val="superscript"/>
              </w:rPr>
              <w:t>230</w:t>
            </w:r>
            <w:r w:rsidRPr="00D64488">
              <w:rPr>
                <w:rFonts w:ascii="Times New Roman" w:hAnsi="Times New Roman" w:cs="Times New Roman"/>
                <w:sz w:val="16"/>
                <w:szCs w:val="16"/>
              </w:rPr>
              <w:t>Th radioactivity solution</w:t>
            </w:r>
          </w:p>
        </w:tc>
        <w:tc>
          <w:tcPr>
            <w:tcW w:w="2835"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Custom-made natural </w:t>
            </w:r>
            <w:r w:rsidRPr="00D64488">
              <w:rPr>
                <w:rFonts w:ascii="Times New Roman" w:hAnsi="Times New Roman" w:cs="Times New Roman"/>
                <w:sz w:val="16"/>
                <w:szCs w:val="16"/>
                <w:vertAlign w:val="superscript"/>
              </w:rPr>
              <w:t>232</w:t>
            </w:r>
            <w:r w:rsidRPr="00D64488">
              <w:rPr>
                <w:rFonts w:ascii="Times New Roman" w:hAnsi="Times New Roman" w:cs="Times New Roman"/>
                <w:sz w:val="16"/>
                <w:szCs w:val="16"/>
              </w:rPr>
              <w:t>Th (certified as weight fraction (</w:t>
            </w:r>
            <w:proofErr w:type="spellStart"/>
            <w:r w:rsidRPr="00D64488">
              <w:rPr>
                <w:rFonts w:ascii="Times New Roman" w:hAnsi="Times New Roman" w:cs="Times New Roman"/>
                <w:sz w:val="16"/>
                <w:szCs w:val="16"/>
              </w:rPr>
              <w:t>Spex</w:t>
            </w:r>
            <w:proofErr w:type="spellEnd"/>
            <w:r w:rsidRPr="00D64488">
              <w:rPr>
                <w:rFonts w:ascii="Times New Roman" w:hAnsi="Times New Roman" w:cs="Times New Roman"/>
                <w:sz w:val="16"/>
                <w:szCs w:val="16"/>
              </w:rPr>
              <w:t xml:space="preserve"> </w:t>
            </w:r>
            <w:proofErr w:type="spellStart"/>
            <w:r w:rsidRPr="00D64488">
              <w:rPr>
                <w:rFonts w:ascii="Times New Roman" w:hAnsi="Times New Roman" w:cs="Times New Roman"/>
                <w:sz w:val="16"/>
                <w:szCs w:val="16"/>
              </w:rPr>
              <w:t>Certiprep</w:t>
            </w:r>
            <w:proofErr w:type="spellEnd"/>
            <w:r w:rsidRPr="00D64488">
              <w:rPr>
                <w:rFonts w:ascii="Times New Roman" w:hAnsi="Times New Roman" w:cs="Times New Roman"/>
                <w:sz w:val="16"/>
                <w:szCs w:val="16"/>
              </w:rPr>
              <w:t xml:space="preserve"> Inc.)</w:t>
            </w:r>
          </w:p>
        </w:tc>
      </w:tr>
      <w:tr w:rsidR="0001397F" w:rsidRPr="00D64488" w:rsidTr="000E7D0B">
        <w:tc>
          <w:tcPr>
            <w:tcW w:w="241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Sample amount used for </w:t>
            </w:r>
            <w:proofErr w:type="spellStart"/>
            <w:r w:rsidRPr="00D64488">
              <w:rPr>
                <w:rFonts w:ascii="Times New Roman" w:hAnsi="Times New Roman" w:cs="Times New Roman"/>
                <w:sz w:val="16"/>
                <w:szCs w:val="16"/>
              </w:rPr>
              <w:t>Th</w:t>
            </w:r>
            <w:proofErr w:type="spellEnd"/>
            <w:r w:rsidRPr="00D64488">
              <w:rPr>
                <w:rFonts w:ascii="Times New Roman" w:hAnsi="Times New Roman" w:cs="Times New Roman"/>
                <w:sz w:val="16"/>
                <w:szCs w:val="16"/>
              </w:rPr>
              <w:t xml:space="preserve"> separation</w:t>
            </w:r>
          </w:p>
        </w:tc>
        <w:tc>
          <w:tcPr>
            <w:tcW w:w="226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1.2 µg done in triplicate</w:t>
            </w:r>
          </w:p>
        </w:tc>
        <w:tc>
          <w:tcPr>
            <w:tcW w:w="326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2.25 to 4.52 milligram U.</w:t>
            </w:r>
          </w:p>
        </w:tc>
        <w:tc>
          <w:tcPr>
            <w:tcW w:w="1984"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27 mg</w:t>
            </w:r>
          </w:p>
        </w:tc>
        <w:tc>
          <w:tcPr>
            <w:tcW w:w="297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1-3 mg, three replicates of each sample except natural U sample.</w:t>
            </w:r>
          </w:p>
        </w:tc>
        <w:tc>
          <w:tcPr>
            <w:tcW w:w="2835"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1 mg, three replicates are done</w:t>
            </w:r>
          </w:p>
        </w:tc>
      </w:tr>
      <w:tr w:rsidR="0001397F" w:rsidRPr="00D64488" w:rsidTr="000E7D0B">
        <w:tc>
          <w:tcPr>
            <w:tcW w:w="241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Mass bias/mass fractionation factor for </w:t>
            </w:r>
            <w:proofErr w:type="spellStart"/>
            <w:r w:rsidRPr="00D64488">
              <w:rPr>
                <w:rFonts w:ascii="Times New Roman" w:hAnsi="Times New Roman" w:cs="Times New Roman"/>
                <w:sz w:val="16"/>
                <w:szCs w:val="16"/>
              </w:rPr>
              <w:t>Th</w:t>
            </w:r>
            <w:proofErr w:type="spellEnd"/>
            <w:r w:rsidRPr="00D64488">
              <w:rPr>
                <w:rFonts w:ascii="Times New Roman" w:hAnsi="Times New Roman" w:cs="Times New Roman"/>
                <w:sz w:val="16"/>
                <w:szCs w:val="16"/>
              </w:rPr>
              <w:t xml:space="preserve"> measurement (if applied)</w:t>
            </w:r>
          </w:p>
        </w:tc>
        <w:tc>
          <w:tcPr>
            <w:tcW w:w="226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Exponential law correction with IRMM183 (U standard) in bracketing</w:t>
            </w:r>
          </w:p>
        </w:tc>
        <w:tc>
          <w:tcPr>
            <w:tcW w:w="326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0.99309 (</w:t>
            </w:r>
            <w:r w:rsidRPr="00D64488">
              <w:rPr>
                <w:rFonts w:ascii="Times New Roman" w:hAnsi="Times New Roman" w:cs="Times New Roman"/>
                <w:sz w:val="16"/>
                <w:szCs w:val="16"/>
                <w:vertAlign w:val="superscript"/>
              </w:rPr>
              <w:t>230</w:t>
            </w:r>
            <w:r w:rsidRPr="00D64488">
              <w:rPr>
                <w:rFonts w:ascii="Times New Roman" w:hAnsi="Times New Roman" w:cs="Times New Roman"/>
                <w:sz w:val="16"/>
                <w:szCs w:val="16"/>
              </w:rPr>
              <w:t>Th/</w:t>
            </w:r>
            <w:r w:rsidRPr="00D64488">
              <w:rPr>
                <w:rFonts w:ascii="Times New Roman" w:hAnsi="Times New Roman" w:cs="Times New Roman"/>
                <w:sz w:val="16"/>
                <w:szCs w:val="16"/>
                <w:vertAlign w:val="superscript"/>
              </w:rPr>
              <w:t>229</w:t>
            </w:r>
            <w:r w:rsidRPr="00D64488">
              <w:rPr>
                <w:rFonts w:ascii="Times New Roman" w:hAnsi="Times New Roman" w:cs="Times New Roman"/>
                <w:sz w:val="16"/>
                <w:szCs w:val="16"/>
              </w:rPr>
              <w:t>Th) determined from U standards during analytical session.</w:t>
            </w:r>
          </w:p>
        </w:tc>
        <w:tc>
          <w:tcPr>
            <w:tcW w:w="1984"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None applied as not enough data to quantify</w:t>
            </w:r>
          </w:p>
        </w:tc>
        <w:tc>
          <w:tcPr>
            <w:tcW w:w="297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NBL CRM-U010 measured by ICP-MS</w:t>
            </w:r>
          </w:p>
          <w:p w:rsidR="0001397F" w:rsidRPr="00D64488" w:rsidRDefault="0001397F" w:rsidP="00D64488">
            <w:pPr>
              <w:rPr>
                <w:rFonts w:ascii="Times New Roman" w:hAnsi="Times New Roman" w:cs="Times New Roman"/>
                <w:sz w:val="16"/>
                <w:szCs w:val="16"/>
              </w:rPr>
            </w:pPr>
          </w:p>
        </w:tc>
        <w:tc>
          <w:tcPr>
            <w:tcW w:w="2835"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Using uranium with CRM U010</w:t>
            </w:r>
          </w:p>
          <w:p w:rsidR="0001397F" w:rsidRPr="00D64488" w:rsidRDefault="0001397F" w:rsidP="00D64488">
            <w:pPr>
              <w:rPr>
                <w:rFonts w:ascii="Times New Roman" w:hAnsi="Times New Roman" w:cs="Times New Roman"/>
                <w:sz w:val="16"/>
                <w:szCs w:val="16"/>
              </w:rPr>
            </w:pPr>
          </w:p>
        </w:tc>
      </w:tr>
      <w:tr w:rsidR="0001397F" w:rsidRPr="00D64488" w:rsidTr="000E7D0B">
        <w:tc>
          <w:tcPr>
            <w:tcW w:w="241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Detector efficiency/gain measurement for </w:t>
            </w:r>
            <w:proofErr w:type="spellStart"/>
            <w:r w:rsidRPr="00D64488">
              <w:rPr>
                <w:rFonts w:ascii="Times New Roman" w:hAnsi="Times New Roman" w:cs="Times New Roman"/>
                <w:sz w:val="16"/>
                <w:szCs w:val="16"/>
              </w:rPr>
              <w:t>Th</w:t>
            </w:r>
            <w:proofErr w:type="spellEnd"/>
            <w:r w:rsidRPr="00D64488">
              <w:rPr>
                <w:rFonts w:ascii="Times New Roman" w:hAnsi="Times New Roman" w:cs="Times New Roman"/>
                <w:sz w:val="16"/>
                <w:szCs w:val="16"/>
              </w:rPr>
              <w:t xml:space="preserve"> </w:t>
            </w:r>
          </w:p>
        </w:tc>
        <w:tc>
          <w:tcPr>
            <w:tcW w:w="226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None (single collector ICP-MS)</w:t>
            </w:r>
          </w:p>
        </w:tc>
        <w:tc>
          <w:tcPr>
            <w:tcW w:w="326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N/A – peak jumping on same detector.</w:t>
            </w:r>
          </w:p>
        </w:tc>
        <w:tc>
          <w:tcPr>
            <w:tcW w:w="1984" w:type="dxa"/>
          </w:tcPr>
          <w:p w:rsidR="0001397F" w:rsidRPr="00D64488" w:rsidRDefault="0001397F" w:rsidP="00D64488">
            <w:pPr>
              <w:rPr>
                <w:rFonts w:ascii="Times New Roman" w:hAnsi="Times New Roman" w:cs="Times New Roman"/>
                <w:sz w:val="16"/>
                <w:szCs w:val="16"/>
              </w:rPr>
            </w:pPr>
          </w:p>
        </w:tc>
        <w:tc>
          <w:tcPr>
            <w:tcW w:w="297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None</w:t>
            </w:r>
          </w:p>
        </w:tc>
        <w:tc>
          <w:tcPr>
            <w:tcW w:w="2835"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None (single collector ICP-MS)</w:t>
            </w:r>
          </w:p>
        </w:tc>
      </w:tr>
      <w:tr w:rsidR="0001397F" w:rsidRPr="00D64488" w:rsidTr="000E7D0B">
        <w:tc>
          <w:tcPr>
            <w:tcW w:w="241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Abundance sensitivity measurement (if applied)</w:t>
            </w:r>
          </w:p>
        </w:tc>
        <w:tc>
          <w:tcPr>
            <w:tcW w:w="226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None measurement of </w:t>
            </w:r>
            <w:r w:rsidRPr="00D64488">
              <w:rPr>
                <w:rFonts w:ascii="Times New Roman" w:hAnsi="Times New Roman" w:cs="Times New Roman"/>
                <w:sz w:val="16"/>
                <w:szCs w:val="16"/>
                <w:vertAlign w:val="superscript"/>
              </w:rPr>
              <w:t>229</w:t>
            </w:r>
            <w:r w:rsidRPr="00D64488">
              <w:rPr>
                <w:rFonts w:ascii="Times New Roman" w:hAnsi="Times New Roman" w:cs="Times New Roman"/>
                <w:sz w:val="16"/>
                <w:szCs w:val="16"/>
              </w:rPr>
              <w:t>Th/</w:t>
            </w:r>
            <w:r w:rsidRPr="00D64488">
              <w:rPr>
                <w:rFonts w:ascii="Times New Roman" w:hAnsi="Times New Roman" w:cs="Times New Roman"/>
                <w:sz w:val="16"/>
                <w:szCs w:val="16"/>
                <w:vertAlign w:val="superscript"/>
              </w:rPr>
              <w:t>230</w:t>
            </w:r>
            <w:r w:rsidRPr="00D64488">
              <w:rPr>
                <w:rFonts w:ascii="Times New Roman" w:hAnsi="Times New Roman" w:cs="Times New Roman"/>
                <w:sz w:val="16"/>
                <w:szCs w:val="16"/>
              </w:rPr>
              <w:t xml:space="preserve">Th; no significant amount of </w:t>
            </w:r>
            <w:r w:rsidRPr="00D64488">
              <w:rPr>
                <w:rFonts w:ascii="Times New Roman" w:hAnsi="Times New Roman" w:cs="Times New Roman"/>
                <w:sz w:val="16"/>
                <w:szCs w:val="16"/>
                <w:vertAlign w:val="superscript"/>
              </w:rPr>
              <w:t>232</w:t>
            </w:r>
            <w:r w:rsidRPr="00D64488">
              <w:rPr>
                <w:rFonts w:ascii="Times New Roman" w:hAnsi="Times New Roman" w:cs="Times New Roman"/>
                <w:sz w:val="16"/>
                <w:szCs w:val="16"/>
              </w:rPr>
              <w:t>Th</w:t>
            </w:r>
          </w:p>
        </w:tc>
        <w:tc>
          <w:tcPr>
            <w:tcW w:w="326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None.</w:t>
            </w:r>
          </w:p>
        </w:tc>
        <w:tc>
          <w:tcPr>
            <w:tcW w:w="1984"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Not applied. WARP used</w:t>
            </w:r>
          </w:p>
        </w:tc>
        <w:tc>
          <w:tcPr>
            <w:tcW w:w="2977" w:type="dxa"/>
          </w:tcPr>
          <w:p w:rsidR="0001397F" w:rsidRPr="00D64488" w:rsidRDefault="0001397F" w:rsidP="00906F29">
            <w:pPr>
              <w:rPr>
                <w:rFonts w:ascii="Times New Roman" w:hAnsi="Times New Roman" w:cs="Times New Roman"/>
                <w:sz w:val="16"/>
                <w:szCs w:val="16"/>
              </w:rPr>
            </w:pPr>
            <w:r w:rsidRPr="00D64488">
              <w:rPr>
                <w:rFonts w:ascii="Times New Roman" w:hAnsi="Times New Roman" w:cs="Times New Roman"/>
                <w:sz w:val="16"/>
                <w:szCs w:val="16"/>
              </w:rPr>
              <w:t xml:space="preserve">Measured </w:t>
            </w:r>
            <w:r w:rsidRPr="00D64488">
              <w:rPr>
                <w:rFonts w:ascii="Times New Roman" w:hAnsi="Times New Roman" w:cs="Times New Roman"/>
                <w:sz w:val="16"/>
                <w:szCs w:val="16"/>
                <w:vertAlign w:val="superscript"/>
              </w:rPr>
              <w:t>236</w:t>
            </w:r>
            <w:r w:rsidRPr="00D64488">
              <w:rPr>
                <w:rFonts w:ascii="Times New Roman" w:hAnsi="Times New Roman" w:cs="Times New Roman"/>
                <w:sz w:val="16"/>
                <w:szCs w:val="16"/>
              </w:rPr>
              <w:t xml:space="preserve">U in NIST U-960 (natural U) as a monitor of peak tailing. No correction applied. Measured </w:t>
            </w:r>
            <w:r w:rsidRPr="00D64488">
              <w:rPr>
                <w:rFonts w:ascii="Times New Roman" w:hAnsi="Times New Roman" w:cs="Times New Roman"/>
                <w:sz w:val="16"/>
                <w:szCs w:val="16"/>
                <w:vertAlign w:val="superscript"/>
              </w:rPr>
              <w:t>232</w:t>
            </w:r>
            <w:r w:rsidRPr="00D64488">
              <w:rPr>
                <w:rFonts w:ascii="Times New Roman" w:hAnsi="Times New Roman" w:cs="Times New Roman"/>
                <w:sz w:val="16"/>
                <w:szCs w:val="16"/>
              </w:rPr>
              <w:t xml:space="preserve">Th signals &lt; 1e6 cps for all samples, natural U samples with comparable </w:t>
            </w:r>
            <w:r w:rsidRPr="00D64488">
              <w:rPr>
                <w:rFonts w:ascii="Times New Roman" w:hAnsi="Times New Roman" w:cs="Times New Roman"/>
                <w:sz w:val="16"/>
                <w:szCs w:val="16"/>
                <w:vertAlign w:val="superscript"/>
              </w:rPr>
              <w:t>238</w:t>
            </w:r>
            <w:r w:rsidRPr="00D64488">
              <w:rPr>
                <w:rFonts w:ascii="Times New Roman" w:hAnsi="Times New Roman" w:cs="Times New Roman"/>
                <w:sz w:val="16"/>
                <w:szCs w:val="16"/>
              </w:rPr>
              <w:t>U signals exhibited negligible tailing.</w:t>
            </w:r>
          </w:p>
        </w:tc>
        <w:tc>
          <w:tcPr>
            <w:tcW w:w="2835"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Used on </w:t>
            </w:r>
            <w:r w:rsidRPr="00D64488">
              <w:rPr>
                <w:rFonts w:ascii="Times New Roman" w:hAnsi="Times New Roman" w:cs="Times New Roman"/>
                <w:sz w:val="16"/>
                <w:szCs w:val="16"/>
                <w:vertAlign w:val="superscript"/>
              </w:rPr>
              <w:t>230</w:t>
            </w:r>
            <w:r w:rsidRPr="00D64488">
              <w:rPr>
                <w:rFonts w:ascii="Times New Roman" w:hAnsi="Times New Roman" w:cs="Times New Roman"/>
                <w:sz w:val="16"/>
                <w:szCs w:val="16"/>
              </w:rPr>
              <w:t>Th/</w:t>
            </w:r>
            <w:r w:rsidRPr="00D64488">
              <w:rPr>
                <w:rFonts w:ascii="Times New Roman" w:hAnsi="Times New Roman" w:cs="Times New Roman"/>
                <w:sz w:val="16"/>
                <w:szCs w:val="16"/>
                <w:vertAlign w:val="superscript"/>
              </w:rPr>
              <w:t>232</w:t>
            </w:r>
            <w:r w:rsidRPr="00D64488">
              <w:rPr>
                <w:rFonts w:ascii="Times New Roman" w:hAnsi="Times New Roman" w:cs="Times New Roman"/>
                <w:sz w:val="16"/>
                <w:szCs w:val="16"/>
              </w:rPr>
              <w:t xml:space="preserve">Th ratio with natural uranium with </w:t>
            </w:r>
            <w:r w:rsidRPr="00D64488">
              <w:rPr>
                <w:rFonts w:ascii="Times New Roman" w:hAnsi="Times New Roman" w:cs="Times New Roman"/>
                <w:sz w:val="16"/>
                <w:szCs w:val="16"/>
                <w:vertAlign w:val="superscript"/>
              </w:rPr>
              <w:t>236</w:t>
            </w:r>
            <w:r w:rsidRPr="00D64488">
              <w:rPr>
                <w:rFonts w:ascii="Times New Roman" w:hAnsi="Times New Roman" w:cs="Times New Roman"/>
                <w:sz w:val="16"/>
                <w:szCs w:val="16"/>
              </w:rPr>
              <w:t>U abundance less than 10</w:t>
            </w:r>
            <w:r w:rsidRPr="00D64488">
              <w:rPr>
                <w:rFonts w:ascii="Times New Roman" w:hAnsi="Times New Roman" w:cs="Times New Roman"/>
                <w:sz w:val="16"/>
                <w:szCs w:val="16"/>
                <w:vertAlign w:val="superscript"/>
              </w:rPr>
              <w:t>-9</w:t>
            </w:r>
            <w:r w:rsidRPr="00D64488">
              <w:rPr>
                <w:rFonts w:ascii="Times New Roman" w:hAnsi="Times New Roman" w:cs="Times New Roman"/>
                <w:sz w:val="16"/>
                <w:szCs w:val="16"/>
              </w:rPr>
              <w:t>, linear correction</w:t>
            </w:r>
          </w:p>
        </w:tc>
      </w:tr>
      <w:tr w:rsidR="0001397F" w:rsidRPr="00D64488" w:rsidTr="000E7D0B">
        <w:tc>
          <w:tcPr>
            <w:tcW w:w="241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Typical absolute method blank</w:t>
            </w:r>
          </w:p>
        </w:tc>
        <w:tc>
          <w:tcPr>
            <w:tcW w:w="226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Below 1 </w:t>
            </w:r>
            <w:proofErr w:type="spellStart"/>
            <w:r w:rsidRPr="00D64488">
              <w:rPr>
                <w:rFonts w:ascii="Times New Roman" w:hAnsi="Times New Roman" w:cs="Times New Roman"/>
                <w:sz w:val="16"/>
                <w:szCs w:val="16"/>
              </w:rPr>
              <w:t>fg</w:t>
            </w:r>
            <w:proofErr w:type="spellEnd"/>
          </w:p>
        </w:tc>
        <w:tc>
          <w:tcPr>
            <w:tcW w:w="326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(4-5)×10</w:t>
            </w:r>
            <w:r w:rsidRPr="00D64488">
              <w:rPr>
                <w:rFonts w:ascii="Times New Roman" w:hAnsi="Times New Roman" w:cs="Times New Roman"/>
                <w:sz w:val="16"/>
                <w:szCs w:val="16"/>
                <w:vertAlign w:val="superscript"/>
              </w:rPr>
              <w:t xml:space="preserve">6 </w:t>
            </w:r>
            <w:r w:rsidRPr="00D64488">
              <w:rPr>
                <w:rFonts w:ascii="Times New Roman" w:hAnsi="Times New Roman" w:cs="Times New Roman"/>
                <w:sz w:val="16"/>
                <w:szCs w:val="16"/>
              </w:rPr>
              <w:t xml:space="preserve">atoms </w:t>
            </w:r>
            <w:r w:rsidRPr="00D64488">
              <w:rPr>
                <w:rFonts w:ascii="Times New Roman" w:hAnsi="Times New Roman" w:cs="Times New Roman"/>
                <w:sz w:val="16"/>
                <w:szCs w:val="16"/>
                <w:vertAlign w:val="superscript"/>
              </w:rPr>
              <w:t>230</w:t>
            </w:r>
            <w:r w:rsidRPr="00D64488">
              <w:rPr>
                <w:rFonts w:ascii="Times New Roman" w:hAnsi="Times New Roman" w:cs="Times New Roman"/>
                <w:sz w:val="16"/>
                <w:szCs w:val="16"/>
              </w:rPr>
              <w:t>Th</w:t>
            </w:r>
          </w:p>
        </w:tc>
        <w:tc>
          <w:tcPr>
            <w:tcW w:w="1984"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85 </w:t>
            </w:r>
            <w:proofErr w:type="spellStart"/>
            <w:r w:rsidRPr="00D64488">
              <w:rPr>
                <w:rFonts w:ascii="Times New Roman" w:hAnsi="Times New Roman" w:cs="Times New Roman"/>
                <w:sz w:val="16"/>
                <w:szCs w:val="16"/>
              </w:rPr>
              <w:t>fg</w:t>
            </w:r>
            <w:proofErr w:type="spellEnd"/>
            <w:r w:rsidRPr="00D64488">
              <w:rPr>
                <w:rFonts w:ascii="Times New Roman" w:hAnsi="Times New Roman" w:cs="Times New Roman"/>
                <w:sz w:val="16"/>
                <w:szCs w:val="16"/>
              </w:rPr>
              <w:t xml:space="preserve"> of </w:t>
            </w:r>
            <w:r w:rsidRPr="00D64488">
              <w:rPr>
                <w:rFonts w:ascii="Times New Roman" w:hAnsi="Times New Roman" w:cs="Times New Roman"/>
                <w:sz w:val="16"/>
                <w:szCs w:val="16"/>
                <w:vertAlign w:val="superscript"/>
              </w:rPr>
              <w:t>230</w:t>
            </w:r>
            <w:r w:rsidRPr="00D64488">
              <w:rPr>
                <w:rFonts w:ascii="Times New Roman" w:hAnsi="Times New Roman" w:cs="Times New Roman"/>
                <w:sz w:val="16"/>
                <w:szCs w:val="16"/>
              </w:rPr>
              <w:t>Th</w:t>
            </w:r>
          </w:p>
        </w:tc>
        <w:tc>
          <w:tcPr>
            <w:tcW w:w="297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10-30 </w:t>
            </w:r>
            <w:proofErr w:type="spellStart"/>
            <w:r w:rsidRPr="00D64488">
              <w:rPr>
                <w:rFonts w:ascii="Times New Roman" w:hAnsi="Times New Roman" w:cs="Times New Roman"/>
                <w:sz w:val="16"/>
                <w:szCs w:val="16"/>
              </w:rPr>
              <w:t>fg</w:t>
            </w:r>
            <w:proofErr w:type="spellEnd"/>
            <w:r w:rsidRPr="00D64488">
              <w:rPr>
                <w:rFonts w:ascii="Times New Roman" w:hAnsi="Times New Roman" w:cs="Times New Roman"/>
                <w:sz w:val="16"/>
                <w:szCs w:val="16"/>
              </w:rPr>
              <w:t xml:space="preserve"> </w:t>
            </w:r>
            <w:r w:rsidRPr="00D64488">
              <w:rPr>
                <w:rFonts w:ascii="Times New Roman" w:hAnsi="Times New Roman" w:cs="Times New Roman"/>
                <w:sz w:val="16"/>
                <w:szCs w:val="16"/>
                <w:vertAlign w:val="superscript"/>
              </w:rPr>
              <w:t>230</w:t>
            </w:r>
            <w:r w:rsidRPr="00D64488">
              <w:rPr>
                <w:rFonts w:ascii="Times New Roman" w:hAnsi="Times New Roman" w:cs="Times New Roman"/>
                <w:sz w:val="16"/>
                <w:szCs w:val="16"/>
              </w:rPr>
              <w:t>Th</w:t>
            </w:r>
          </w:p>
        </w:tc>
        <w:tc>
          <w:tcPr>
            <w:tcW w:w="2835"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30 </w:t>
            </w:r>
            <w:proofErr w:type="spellStart"/>
            <w:r w:rsidRPr="00D64488">
              <w:rPr>
                <w:rFonts w:ascii="Times New Roman" w:hAnsi="Times New Roman" w:cs="Times New Roman"/>
                <w:sz w:val="16"/>
                <w:szCs w:val="16"/>
              </w:rPr>
              <w:t>fg</w:t>
            </w:r>
            <w:proofErr w:type="spellEnd"/>
            <w:r w:rsidRPr="00D64488">
              <w:rPr>
                <w:rFonts w:ascii="Times New Roman" w:hAnsi="Times New Roman" w:cs="Times New Roman"/>
                <w:sz w:val="16"/>
                <w:szCs w:val="16"/>
              </w:rPr>
              <w:t xml:space="preserve"> of </w:t>
            </w:r>
            <w:r w:rsidRPr="00D64488">
              <w:rPr>
                <w:rFonts w:ascii="Times New Roman" w:hAnsi="Times New Roman" w:cs="Times New Roman"/>
                <w:sz w:val="16"/>
                <w:szCs w:val="16"/>
                <w:vertAlign w:val="superscript"/>
              </w:rPr>
              <w:t>230</w:t>
            </w:r>
            <w:r w:rsidRPr="00D64488">
              <w:rPr>
                <w:rFonts w:ascii="Times New Roman" w:hAnsi="Times New Roman" w:cs="Times New Roman"/>
                <w:sz w:val="16"/>
                <w:szCs w:val="16"/>
              </w:rPr>
              <w:t>Th</w:t>
            </w:r>
          </w:p>
        </w:tc>
      </w:tr>
      <w:tr w:rsidR="0001397F" w:rsidRPr="00D64488" w:rsidTr="000E7D0B">
        <w:tc>
          <w:tcPr>
            <w:tcW w:w="241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Quality control sample used</w:t>
            </w:r>
          </w:p>
        </w:tc>
        <w:tc>
          <w:tcPr>
            <w:tcW w:w="226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IRMM-184 (U standard)</w:t>
            </w:r>
          </w:p>
        </w:tc>
        <w:tc>
          <w:tcPr>
            <w:tcW w:w="3261"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Table Mountain </w:t>
            </w:r>
            <w:proofErr w:type="spellStart"/>
            <w:r w:rsidRPr="00D64488">
              <w:rPr>
                <w:rFonts w:ascii="Times New Roman" w:hAnsi="Times New Roman" w:cs="Times New Roman"/>
                <w:sz w:val="16"/>
                <w:szCs w:val="16"/>
              </w:rPr>
              <w:t>Latite</w:t>
            </w:r>
            <w:proofErr w:type="spellEnd"/>
            <w:r w:rsidRPr="00D64488">
              <w:rPr>
                <w:rFonts w:ascii="Times New Roman" w:hAnsi="Times New Roman" w:cs="Times New Roman"/>
                <w:sz w:val="16"/>
                <w:szCs w:val="16"/>
              </w:rPr>
              <w:t>, secular equilibrium standard for spike calibration check.</w:t>
            </w:r>
          </w:p>
        </w:tc>
        <w:tc>
          <w:tcPr>
            <w:tcW w:w="1984"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 xml:space="preserve">U-630 U and </w:t>
            </w:r>
            <w:proofErr w:type="spellStart"/>
            <w:r w:rsidRPr="00D64488">
              <w:rPr>
                <w:rFonts w:ascii="Times New Roman" w:hAnsi="Times New Roman" w:cs="Times New Roman"/>
                <w:sz w:val="16"/>
                <w:szCs w:val="16"/>
              </w:rPr>
              <w:t>Th</w:t>
            </w:r>
            <w:proofErr w:type="spellEnd"/>
            <w:r w:rsidRPr="00D64488">
              <w:rPr>
                <w:rFonts w:ascii="Times New Roman" w:hAnsi="Times New Roman" w:cs="Times New Roman"/>
                <w:sz w:val="16"/>
                <w:szCs w:val="16"/>
              </w:rPr>
              <w:t xml:space="preserve"> Fractions</w:t>
            </w:r>
          </w:p>
        </w:tc>
        <w:tc>
          <w:tcPr>
            <w:tcW w:w="2977"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IRMM-035</w:t>
            </w:r>
          </w:p>
        </w:tc>
        <w:tc>
          <w:tcPr>
            <w:tcW w:w="2835" w:type="dxa"/>
          </w:tcPr>
          <w:p w:rsidR="0001397F" w:rsidRPr="00D64488" w:rsidRDefault="0001397F" w:rsidP="00D64488">
            <w:pPr>
              <w:rPr>
                <w:rFonts w:ascii="Times New Roman" w:hAnsi="Times New Roman" w:cs="Times New Roman"/>
                <w:sz w:val="16"/>
                <w:szCs w:val="16"/>
              </w:rPr>
            </w:pPr>
            <w:r w:rsidRPr="00D64488">
              <w:rPr>
                <w:rFonts w:ascii="Times New Roman" w:hAnsi="Times New Roman" w:cs="Times New Roman"/>
                <w:sz w:val="16"/>
                <w:szCs w:val="16"/>
              </w:rPr>
              <w:t>IRMM-035</w:t>
            </w:r>
          </w:p>
        </w:tc>
      </w:tr>
    </w:tbl>
    <w:p w:rsidR="0001397F" w:rsidRDefault="0001397F" w:rsidP="006E27F0">
      <w:pPr>
        <w:pStyle w:val="G4aTableTitle"/>
        <w:pBdr>
          <w:bottom w:val="none" w:sz="0" w:space="0" w:color="auto"/>
        </w:pBdr>
        <w:spacing w:before="0" w:after="0" w:line="240" w:lineRule="auto"/>
        <w:jc w:val="center"/>
        <w:rPr>
          <w:rFonts w:eastAsia="HYMyeongJo-Extra"/>
          <w:sz w:val="22"/>
          <w:szCs w:val="22"/>
        </w:rPr>
      </w:pPr>
    </w:p>
    <w:p w:rsidR="0001397F" w:rsidRDefault="0001397F" w:rsidP="006E27F0">
      <w:pPr>
        <w:pStyle w:val="G4aTableTitle"/>
        <w:pBdr>
          <w:bottom w:val="none" w:sz="0" w:space="0" w:color="auto"/>
        </w:pBdr>
        <w:spacing w:before="0" w:after="0" w:line="240" w:lineRule="auto"/>
        <w:jc w:val="center"/>
        <w:rPr>
          <w:rFonts w:eastAsia="HYMyeongJo-Extra"/>
          <w:sz w:val="22"/>
          <w:szCs w:val="22"/>
        </w:rPr>
      </w:pPr>
    </w:p>
    <w:p w:rsidR="0001397F" w:rsidRDefault="0001397F" w:rsidP="006E27F0">
      <w:pPr>
        <w:pStyle w:val="G4aTableTitle"/>
        <w:pBdr>
          <w:bottom w:val="none" w:sz="0" w:space="0" w:color="auto"/>
        </w:pBdr>
        <w:spacing w:before="0" w:after="0" w:line="240" w:lineRule="auto"/>
        <w:jc w:val="center"/>
        <w:rPr>
          <w:rFonts w:eastAsia="HYMyeongJo-Extra"/>
          <w:sz w:val="22"/>
          <w:szCs w:val="22"/>
        </w:rPr>
      </w:pPr>
      <w:r w:rsidRPr="00380C46">
        <w:rPr>
          <w:rFonts w:eastAsia="HYMyeongJo-Extra"/>
          <w:sz w:val="22"/>
          <w:szCs w:val="22"/>
        </w:rPr>
        <w:t>Table I</w:t>
      </w:r>
      <w:r>
        <w:rPr>
          <w:rFonts w:eastAsia="HYMyeongJo-Extra"/>
          <w:sz w:val="22"/>
          <w:szCs w:val="22"/>
        </w:rPr>
        <w:t>I. Age dating calculation procedures of the participating laboratories</w:t>
      </w:r>
    </w:p>
    <w:p w:rsidR="0001397F" w:rsidRDefault="0001397F" w:rsidP="006E27F0"/>
    <w:tbl>
      <w:tblPr>
        <w:tblStyle w:val="TableGrid"/>
        <w:tblW w:w="15735" w:type="dxa"/>
        <w:tblInd w:w="-743"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2551"/>
        <w:gridCol w:w="2836"/>
        <w:gridCol w:w="2268"/>
        <w:gridCol w:w="2976"/>
        <w:gridCol w:w="2977"/>
      </w:tblGrid>
      <w:tr w:rsidR="0001397F" w:rsidRPr="006E27F0" w:rsidTr="000E7D0B">
        <w:tc>
          <w:tcPr>
            <w:tcW w:w="2127" w:type="dxa"/>
          </w:tcPr>
          <w:p w:rsidR="0001397F" w:rsidRPr="006E27F0" w:rsidRDefault="0001397F" w:rsidP="006E27F0">
            <w:pPr>
              <w:rPr>
                <w:rFonts w:ascii="Times New Roman" w:hAnsi="Times New Roman" w:cs="Times New Roman"/>
                <w:b/>
                <w:sz w:val="18"/>
                <w:szCs w:val="18"/>
              </w:rPr>
            </w:pPr>
            <w:r w:rsidRPr="006E27F0">
              <w:rPr>
                <w:rFonts w:ascii="Times New Roman" w:hAnsi="Times New Roman" w:cs="Times New Roman"/>
                <w:b/>
                <w:sz w:val="18"/>
                <w:szCs w:val="18"/>
              </w:rPr>
              <w:t>Age calculation</w:t>
            </w:r>
          </w:p>
        </w:tc>
        <w:tc>
          <w:tcPr>
            <w:tcW w:w="2551" w:type="dxa"/>
          </w:tcPr>
          <w:p w:rsidR="0001397F" w:rsidRPr="006E27F0" w:rsidRDefault="0001397F" w:rsidP="006E27F0">
            <w:pPr>
              <w:rPr>
                <w:rFonts w:ascii="Times New Roman" w:hAnsi="Times New Roman" w:cs="Times New Roman"/>
                <w:sz w:val="18"/>
                <w:szCs w:val="18"/>
              </w:rPr>
            </w:pPr>
          </w:p>
        </w:tc>
        <w:tc>
          <w:tcPr>
            <w:tcW w:w="2836" w:type="dxa"/>
          </w:tcPr>
          <w:p w:rsidR="0001397F" w:rsidRPr="006E27F0" w:rsidRDefault="0001397F" w:rsidP="006E27F0">
            <w:pPr>
              <w:rPr>
                <w:rFonts w:ascii="Times New Roman" w:hAnsi="Times New Roman" w:cs="Times New Roman"/>
                <w:sz w:val="18"/>
                <w:szCs w:val="18"/>
              </w:rPr>
            </w:pPr>
          </w:p>
        </w:tc>
        <w:tc>
          <w:tcPr>
            <w:tcW w:w="2268" w:type="dxa"/>
          </w:tcPr>
          <w:p w:rsidR="0001397F" w:rsidRPr="006E27F0" w:rsidRDefault="0001397F" w:rsidP="006E27F0">
            <w:pPr>
              <w:rPr>
                <w:rFonts w:ascii="Times New Roman" w:hAnsi="Times New Roman" w:cs="Times New Roman"/>
                <w:sz w:val="18"/>
                <w:szCs w:val="18"/>
              </w:rPr>
            </w:pPr>
          </w:p>
        </w:tc>
        <w:tc>
          <w:tcPr>
            <w:tcW w:w="2976" w:type="dxa"/>
          </w:tcPr>
          <w:p w:rsidR="0001397F" w:rsidRPr="006E27F0" w:rsidRDefault="0001397F" w:rsidP="006E27F0">
            <w:pPr>
              <w:rPr>
                <w:rFonts w:ascii="Times New Roman" w:hAnsi="Times New Roman" w:cs="Times New Roman"/>
                <w:sz w:val="18"/>
                <w:szCs w:val="18"/>
              </w:rPr>
            </w:pPr>
          </w:p>
        </w:tc>
        <w:tc>
          <w:tcPr>
            <w:tcW w:w="2977" w:type="dxa"/>
          </w:tcPr>
          <w:p w:rsidR="0001397F" w:rsidRPr="006E27F0" w:rsidRDefault="0001397F" w:rsidP="006E27F0">
            <w:pPr>
              <w:rPr>
                <w:rFonts w:ascii="Times New Roman" w:hAnsi="Times New Roman" w:cs="Times New Roman"/>
                <w:sz w:val="18"/>
                <w:szCs w:val="18"/>
              </w:rPr>
            </w:pPr>
          </w:p>
        </w:tc>
      </w:tr>
      <w:tr w:rsidR="0001397F" w:rsidRPr="006E27F0" w:rsidTr="000E7D0B">
        <w:tc>
          <w:tcPr>
            <w:tcW w:w="2127"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vertAlign w:val="superscript"/>
              </w:rPr>
              <w:t>234</w:t>
            </w:r>
            <w:r w:rsidRPr="006E27F0">
              <w:rPr>
                <w:rFonts w:ascii="Times New Roman" w:hAnsi="Times New Roman" w:cs="Times New Roman"/>
                <w:sz w:val="18"/>
                <w:szCs w:val="18"/>
              </w:rPr>
              <w:t>U half-life used</w:t>
            </w:r>
          </w:p>
        </w:tc>
        <w:tc>
          <w:tcPr>
            <w:tcW w:w="2551" w:type="dxa"/>
          </w:tcPr>
          <w:p w:rsidR="0001397F" w:rsidRPr="006E27F0" w:rsidRDefault="00072B3A" w:rsidP="006E27F0">
            <w:pPr>
              <w:rPr>
                <w:rFonts w:ascii="Times New Roman" w:hAnsi="Times New Roman" w:cs="Times New Roman"/>
                <w:sz w:val="18"/>
                <w:szCs w:val="18"/>
                <w:lang w:val="da-DK"/>
              </w:rPr>
            </w:pPr>
            <w:r>
              <w:rPr>
                <w:rFonts w:ascii="Times New Roman" w:hAnsi="Times New Roman" w:cs="Times New Roman"/>
                <w:sz w:val="18"/>
                <w:szCs w:val="18"/>
                <w:lang w:val="da-DK"/>
              </w:rPr>
              <w:t xml:space="preserve">245 250 </w:t>
            </w:r>
            <w:r w:rsidRPr="006E27F0">
              <w:rPr>
                <w:rFonts w:ascii="Times New Roman" w:hAnsi="Times New Roman" w:cs="Times New Roman"/>
                <w:sz w:val="18"/>
                <w:szCs w:val="18"/>
              </w:rPr>
              <w:t>±</w:t>
            </w:r>
            <w:r w:rsidR="0001397F" w:rsidRPr="006E27F0">
              <w:rPr>
                <w:rFonts w:ascii="Times New Roman" w:hAnsi="Times New Roman" w:cs="Times New Roman"/>
                <w:sz w:val="18"/>
                <w:szCs w:val="18"/>
                <w:lang w:val="da-DK"/>
              </w:rPr>
              <w:t xml:space="preserve"> 490 </w:t>
            </w:r>
            <w:proofErr w:type="spellStart"/>
            <w:r w:rsidR="0001397F" w:rsidRPr="006E27F0">
              <w:rPr>
                <w:rFonts w:ascii="Times New Roman" w:hAnsi="Times New Roman" w:cs="Times New Roman"/>
                <w:sz w:val="18"/>
                <w:szCs w:val="18"/>
                <w:lang w:val="da-DK"/>
              </w:rPr>
              <w:t>years</w:t>
            </w:r>
            <w:proofErr w:type="spellEnd"/>
            <w:r w:rsidR="0001397F" w:rsidRPr="006E27F0">
              <w:rPr>
                <w:rFonts w:ascii="Times New Roman" w:hAnsi="Times New Roman" w:cs="Times New Roman"/>
                <w:sz w:val="18"/>
                <w:szCs w:val="18"/>
                <w:lang w:val="da-DK"/>
              </w:rPr>
              <w:t xml:space="preserve"> (</w:t>
            </w:r>
            <w:r w:rsidR="0001397F" w:rsidRPr="0066701F">
              <w:rPr>
                <w:rFonts w:ascii="Times New Roman" w:hAnsi="Times New Roman" w:cs="Times New Roman"/>
                <w:i/>
                <w:sz w:val="18"/>
                <w:szCs w:val="18"/>
                <w:lang w:val="da-DK"/>
              </w:rPr>
              <w:t>k</w:t>
            </w:r>
            <w:r w:rsidR="0001397F" w:rsidRPr="006E27F0">
              <w:rPr>
                <w:rFonts w:ascii="Times New Roman" w:hAnsi="Times New Roman" w:cs="Times New Roman"/>
                <w:sz w:val="18"/>
                <w:szCs w:val="18"/>
                <w:lang w:val="da-DK"/>
              </w:rPr>
              <w:t xml:space="preserve">=2) </w:t>
            </w:r>
          </w:p>
          <w:p w:rsidR="0001397F" w:rsidRPr="006E27F0" w:rsidRDefault="0001397F" w:rsidP="001472C0">
            <w:pPr>
              <w:rPr>
                <w:rFonts w:ascii="Times New Roman" w:hAnsi="Times New Roman" w:cs="Times New Roman"/>
                <w:sz w:val="18"/>
                <w:szCs w:val="18"/>
                <w:lang w:val="da-DK"/>
              </w:rPr>
            </w:pPr>
            <w:r w:rsidRPr="006E27F0">
              <w:rPr>
                <w:rFonts w:ascii="Times New Roman" w:hAnsi="Times New Roman" w:cs="Times New Roman"/>
                <w:sz w:val="18"/>
                <w:szCs w:val="18"/>
                <w:lang w:val="da-DK"/>
              </w:rPr>
              <w:t>(</w:t>
            </w:r>
            <w:r>
              <w:rPr>
                <w:rFonts w:ascii="Times New Roman" w:hAnsi="Times New Roman" w:cs="Times New Roman"/>
                <w:sz w:val="18"/>
                <w:szCs w:val="18"/>
                <w:lang w:val="da-DK"/>
              </w:rPr>
              <w:t xml:space="preserve">Cheng </w:t>
            </w:r>
            <w:r w:rsidRPr="0066701F">
              <w:rPr>
                <w:rFonts w:ascii="Times New Roman" w:hAnsi="Times New Roman" w:cs="Times New Roman"/>
                <w:i/>
                <w:sz w:val="18"/>
                <w:szCs w:val="18"/>
                <w:lang w:val="da-DK"/>
              </w:rPr>
              <w:t>et al</w:t>
            </w:r>
            <w:r>
              <w:rPr>
                <w:rFonts w:ascii="Times New Roman" w:hAnsi="Times New Roman" w:cs="Times New Roman"/>
                <w:sz w:val="18"/>
                <w:szCs w:val="18"/>
                <w:lang w:val="da-DK"/>
              </w:rPr>
              <w:t xml:space="preserve">.,2000 </w:t>
            </w:r>
            <w:r>
              <w:rPr>
                <w:rFonts w:ascii="Times New Roman" w:hAnsi="Times New Roman" w:cs="Times New Roman"/>
                <w:noProof/>
                <w:sz w:val="18"/>
                <w:szCs w:val="18"/>
                <w:lang w:val="da-DK"/>
              </w:rPr>
              <w:t>[5]</w:t>
            </w:r>
            <w:r w:rsidRPr="006E27F0">
              <w:rPr>
                <w:rFonts w:ascii="Times New Roman" w:hAnsi="Times New Roman" w:cs="Times New Roman"/>
                <w:sz w:val="18"/>
                <w:szCs w:val="18"/>
                <w:lang w:val="da-DK"/>
              </w:rPr>
              <w:t>)</w:t>
            </w:r>
          </w:p>
        </w:tc>
        <w:tc>
          <w:tcPr>
            <w:tcW w:w="2836"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245250 ± 490 years</w:t>
            </w:r>
          </w:p>
          <w:p w:rsidR="0001397F" w:rsidRPr="006E27F0" w:rsidRDefault="0001397F" w:rsidP="001472C0">
            <w:pPr>
              <w:rPr>
                <w:rFonts w:ascii="Times New Roman" w:hAnsi="Times New Roman" w:cs="Times New Roman"/>
                <w:sz w:val="18"/>
                <w:szCs w:val="18"/>
              </w:rPr>
            </w:pPr>
            <w:r w:rsidRPr="006E27F0">
              <w:rPr>
                <w:rFonts w:ascii="Times New Roman" w:hAnsi="Times New Roman" w:cs="Times New Roman"/>
                <w:sz w:val="18"/>
                <w:szCs w:val="18"/>
              </w:rPr>
              <w:t xml:space="preserve">(Cheng </w:t>
            </w:r>
            <w:r w:rsidRPr="0066701F">
              <w:rPr>
                <w:rFonts w:ascii="Times New Roman" w:hAnsi="Times New Roman" w:cs="Times New Roman"/>
                <w:i/>
                <w:sz w:val="18"/>
                <w:szCs w:val="18"/>
              </w:rPr>
              <w:t>et al</w:t>
            </w:r>
            <w:r w:rsidRPr="006E27F0">
              <w:rPr>
                <w:rFonts w:ascii="Times New Roman" w:hAnsi="Times New Roman" w:cs="Times New Roman"/>
                <w:sz w:val="18"/>
                <w:szCs w:val="18"/>
              </w:rPr>
              <w:t>., 2000</w:t>
            </w:r>
            <w:r>
              <w:rPr>
                <w:rFonts w:ascii="Times New Roman" w:hAnsi="Times New Roman" w:cs="Times New Roman"/>
                <w:sz w:val="18"/>
                <w:szCs w:val="18"/>
              </w:rPr>
              <w:t xml:space="preserve"> </w:t>
            </w:r>
            <w:r>
              <w:rPr>
                <w:rFonts w:ascii="Times New Roman" w:hAnsi="Times New Roman" w:cs="Times New Roman"/>
                <w:noProof/>
                <w:sz w:val="18"/>
                <w:szCs w:val="18"/>
              </w:rPr>
              <w:t>[5]</w:t>
            </w:r>
            <w:r w:rsidRPr="006E27F0">
              <w:rPr>
                <w:rFonts w:ascii="Times New Roman" w:hAnsi="Times New Roman" w:cs="Times New Roman"/>
                <w:sz w:val="18"/>
                <w:szCs w:val="18"/>
              </w:rPr>
              <w:t>)</w:t>
            </w:r>
          </w:p>
        </w:tc>
        <w:tc>
          <w:tcPr>
            <w:tcW w:w="2268"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245500 ± 545 (</w:t>
            </w:r>
            <w:r w:rsidRPr="006E27F0">
              <w:rPr>
                <w:rFonts w:ascii="Times New Roman" w:hAnsi="Times New Roman" w:cs="Times New Roman"/>
                <w:i/>
                <w:sz w:val="18"/>
                <w:szCs w:val="18"/>
              </w:rPr>
              <w:t>k</w:t>
            </w:r>
            <w:r w:rsidRPr="006E27F0">
              <w:rPr>
                <w:rFonts w:ascii="Times New Roman" w:hAnsi="Times New Roman" w:cs="Times New Roman"/>
                <w:sz w:val="18"/>
                <w:szCs w:val="18"/>
              </w:rPr>
              <w:t>=1), from IAEA Live Chart</w:t>
            </w:r>
          </w:p>
        </w:tc>
        <w:tc>
          <w:tcPr>
            <w:tcW w:w="2976" w:type="dxa"/>
          </w:tcPr>
          <w:p w:rsidR="0001397F" w:rsidRPr="006E27F0" w:rsidRDefault="0001397F" w:rsidP="001472C0">
            <w:pPr>
              <w:rPr>
                <w:rFonts w:ascii="Times New Roman" w:hAnsi="Times New Roman" w:cs="Times New Roman"/>
                <w:sz w:val="18"/>
                <w:szCs w:val="18"/>
              </w:rPr>
            </w:pPr>
            <w:r w:rsidRPr="006E27F0">
              <w:rPr>
                <w:rFonts w:ascii="Times New Roman" w:hAnsi="Times New Roman" w:cs="Times New Roman"/>
                <w:sz w:val="18"/>
                <w:szCs w:val="18"/>
              </w:rPr>
              <w:t xml:space="preserve">245,250 ± 490 years at 2σ (Cheng </w:t>
            </w:r>
            <w:r w:rsidRPr="0066701F">
              <w:rPr>
                <w:rFonts w:ascii="Times New Roman" w:hAnsi="Times New Roman" w:cs="Times New Roman"/>
                <w:i/>
                <w:sz w:val="18"/>
                <w:szCs w:val="18"/>
              </w:rPr>
              <w:t>et al</w:t>
            </w:r>
            <w:r w:rsidRPr="006E27F0">
              <w:rPr>
                <w:rFonts w:ascii="Times New Roman" w:hAnsi="Times New Roman" w:cs="Times New Roman"/>
                <w:sz w:val="18"/>
                <w:szCs w:val="18"/>
              </w:rPr>
              <w:t>., 2000</w:t>
            </w:r>
            <w:r>
              <w:rPr>
                <w:rFonts w:ascii="Times New Roman" w:hAnsi="Times New Roman" w:cs="Times New Roman"/>
                <w:sz w:val="18"/>
                <w:szCs w:val="18"/>
              </w:rPr>
              <w:t xml:space="preserve"> </w:t>
            </w:r>
            <w:r>
              <w:rPr>
                <w:rFonts w:ascii="Times New Roman" w:hAnsi="Times New Roman" w:cs="Times New Roman"/>
                <w:noProof/>
                <w:sz w:val="18"/>
                <w:szCs w:val="18"/>
              </w:rPr>
              <w:t>[5]</w:t>
            </w:r>
            <w:r w:rsidRPr="006E27F0">
              <w:rPr>
                <w:rFonts w:ascii="Times New Roman" w:hAnsi="Times New Roman" w:cs="Times New Roman"/>
                <w:sz w:val="18"/>
                <w:szCs w:val="18"/>
              </w:rPr>
              <w:t>)</w:t>
            </w:r>
          </w:p>
        </w:tc>
        <w:tc>
          <w:tcPr>
            <w:tcW w:w="2977" w:type="dxa"/>
          </w:tcPr>
          <w:p w:rsidR="0001397F" w:rsidRPr="006E27F0" w:rsidRDefault="0001397F" w:rsidP="001472C0">
            <w:pPr>
              <w:rPr>
                <w:rFonts w:ascii="Times New Roman" w:hAnsi="Times New Roman" w:cs="Times New Roman"/>
                <w:sz w:val="18"/>
                <w:szCs w:val="18"/>
              </w:rPr>
            </w:pPr>
            <w:r w:rsidRPr="006E27F0">
              <w:rPr>
                <w:rFonts w:ascii="Times New Roman" w:hAnsi="Times New Roman" w:cs="Times New Roman"/>
                <w:sz w:val="18"/>
                <w:szCs w:val="18"/>
              </w:rPr>
              <w:t>245500 ± 600 (</w:t>
            </w:r>
            <w:r w:rsidRPr="006E27F0">
              <w:rPr>
                <w:rFonts w:ascii="Times New Roman" w:hAnsi="Times New Roman" w:cs="Times New Roman"/>
                <w:i/>
                <w:sz w:val="18"/>
                <w:szCs w:val="18"/>
              </w:rPr>
              <w:t>k</w:t>
            </w:r>
            <w:r w:rsidRPr="006E27F0">
              <w:rPr>
                <w:rFonts w:ascii="Times New Roman" w:hAnsi="Times New Roman" w:cs="Times New Roman"/>
                <w:sz w:val="18"/>
                <w:szCs w:val="18"/>
              </w:rPr>
              <w:t>=1), from Decay Data Evaluation Project (DDEP)</w:t>
            </w:r>
            <w:r>
              <w:rPr>
                <w:rFonts w:ascii="Times New Roman" w:hAnsi="Times New Roman" w:cs="Times New Roman"/>
                <w:sz w:val="18"/>
                <w:szCs w:val="18"/>
              </w:rPr>
              <w:t xml:space="preserve"> </w:t>
            </w:r>
            <w:r>
              <w:rPr>
                <w:rFonts w:ascii="Times New Roman" w:hAnsi="Times New Roman" w:cs="Times New Roman"/>
                <w:noProof/>
                <w:sz w:val="18"/>
                <w:szCs w:val="18"/>
              </w:rPr>
              <w:t>[6]</w:t>
            </w:r>
          </w:p>
        </w:tc>
      </w:tr>
      <w:tr w:rsidR="0001397F" w:rsidRPr="006E27F0" w:rsidTr="000E7D0B">
        <w:tc>
          <w:tcPr>
            <w:tcW w:w="2127"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vertAlign w:val="superscript"/>
              </w:rPr>
              <w:t>230</w:t>
            </w:r>
            <w:r w:rsidRPr="006E27F0">
              <w:rPr>
                <w:rFonts w:ascii="Times New Roman" w:hAnsi="Times New Roman" w:cs="Times New Roman"/>
                <w:sz w:val="18"/>
                <w:szCs w:val="18"/>
              </w:rPr>
              <w:t>Th half-life used</w:t>
            </w:r>
          </w:p>
        </w:tc>
        <w:tc>
          <w:tcPr>
            <w:tcW w:w="2551" w:type="dxa"/>
          </w:tcPr>
          <w:p w:rsidR="0001397F" w:rsidRPr="006E27F0" w:rsidRDefault="00072B3A" w:rsidP="006E27F0">
            <w:pPr>
              <w:rPr>
                <w:rFonts w:ascii="Times New Roman" w:hAnsi="Times New Roman" w:cs="Times New Roman"/>
                <w:sz w:val="18"/>
                <w:szCs w:val="18"/>
                <w:lang w:val="da-DK"/>
              </w:rPr>
            </w:pPr>
            <w:proofErr w:type="gramStart"/>
            <w:r>
              <w:rPr>
                <w:rFonts w:ascii="Times New Roman" w:hAnsi="Times New Roman" w:cs="Times New Roman"/>
                <w:sz w:val="18"/>
                <w:szCs w:val="18"/>
                <w:lang w:val="da-DK"/>
              </w:rPr>
              <w:t>75690</w:t>
            </w:r>
            <w:proofErr w:type="gramEnd"/>
            <w:r>
              <w:rPr>
                <w:rFonts w:ascii="Times New Roman" w:hAnsi="Times New Roman" w:cs="Times New Roman"/>
                <w:sz w:val="18"/>
                <w:szCs w:val="18"/>
                <w:lang w:val="da-DK"/>
              </w:rPr>
              <w:t xml:space="preserve"> </w:t>
            </w:r>
            <w:r w:rsidRPr="006E27F0">
              <w:rPr>
                <w:rFonts w:ascii="Times New Roman" w:hAnsi="Times New Roman" w:cs="Times New Roman"/>
                <w:sz w:val="18"/>
                <w:szCs w:val="18"/>
              </w:rPr>
              <w:t>±</w:t>
            </w:r>
            <w:r w:rsidR="0001397F" w:rsidRPr="006E27F0">
              <w:rPr>
                <w:rFonts w:ascii="Times New Roman" w:hAnsi="Times New Roman" w:cs="Times New Roman"/>
                <w:sz w:val="18"/>
                <w:szCs w:val="18"/>
                <w:lang w:val="da-DK"/>
              </w:rPr>
              <w:t xml:space="preserve"> 230 </w:t>
            </w:r>
            <w:proofErr w:type="spellStart"/>
            <w:r w:rsidR="0001397F" w:rsidRPr="006E27F0">
              <w:rPr>
                <w:rFonts w:ascii="Times New Roman" w:hAnsi="Times New Roman" w:cs="Times New Roman"/>
                <w:sz w:val="18"/>
                <w:szCs w:val="18"/>
                <w:lang w:val="da-DK"/>
              </w:rPr>
              <w:t>years</w:t>
            </w:r>
            <w:proofErr w:type="spellEnd"/>
            <w:r w:rsidR="0001397F" w:rsidRPr="006E27F0">
              <w:rPr>
                <w:rFonts w:ascii="Times New Roman" w:hAnsi="Times New Roman" w:cs="Times New Roman"/>
                <w:sz w:val="18"/>
                <w:szCs w:val="18"/>
                <w:lang w:val="da-DK"/>
              </w:rPr>
              <w:t xml:space="preserve"> (</w:t>
            </w:r>
            <w:r w:rsidR="0001397F" w:rsidRPr="0066701F">
              <w:rPr>
                <w:rFonts w:ascii="Times New Roman" w:hAnsi="Times New Roman" w:cs="Times New Roman"/>
                <w:i/>
                <w:sz w:val="18"/>
                <w:szCs w:val="18"/>
                <w:lang w:val="da-DK"/>
              </w:rPr>
              <w:t>k</w:t>
            </w:r>
            <w:r w:rsidR="0001397F" w:rsidRPr="006E27F0">
              <w:rPr>
                <w:rFonts w:ascii="Times New Roman" w:hAnsi="Times New Roman" w:cs="Times New Roman"/>
                <w:sz w:val="18"/>
                <w:szCs w:val="18"/>
                <w:lang w:val="da-DK"/>
              </w:rPr>
              <w:t>=2)</w:t>
            </w:r>
          </w:p>
          <w:p w:rsidR="0001397F" w:rsidRPr="006E27F0" w:rsidRDefault="0001397F" w:rsidP="001472C0">
            <w:pPr>
              <w:rPr>
                <w:rFonts w:ascii="Times New Roman" w:hAnsi="Times New Roman" w:cs="Times New Roman"/>
                <w:sz w:val="18"/>
                <w:szCs w:val="18"/>
                <w:lang w:val="da-DK"/>
              </w:rPr>
            </w:pPr>
            <w:r w:rsidRPr="006E27F0">
              <w:rPr>
                <w:rFonts w:ascii="Times New Roman" w:hAnsi="Times New Roman" w:cs="Times New Roman"/>
                <w:sz w:val="18"/>
                <w:szCs w:val="18"/>
                <w:lang w:val="da-DK"/>
              </w:rPr>
              <w:t>(</w:t>
            </w:r>
            <w:r>
              <w:rPr>
                <w:rFonts w:ascii="Times New Roman" w:hAnsi="Times New Roman" w:cs="Times New Roman"/>
                <w:sz w:val="18"/>
                <w:szCs w:val="18"/>
                <w:lang w:val="da-DK"/>
              </w:rPr>
              <w:t xml:space="preserve">Cheng </w:t>
            </w:r>
            <w:r w:rsidRPr="0066701F">
              <w:rPr>
                <w:rFonts w:ascii="Times New Roman" w:hAnsi="Times New Roman" w:cs="Times New Roman"/>
                <w:i/>
                <w:sz w:val="18"/>
                <w:szCs w:val="18"/>
                <w:lang w:val="da-DK"/>
              </w:rPr>
              <w:t>et al</w:t>
            </w:r>
            <w:r>
              <w:rPr>
                <w:rFonts w:ascii="Times New Roman" w:hAnsi="Times New Roman" w:cs="Times New Roman"/>
                <w:sz w:val="18"/>
                <w:szCs w:val="18"/>
                <w:lang w:val="da-DK"/>
              </w:rPr>
              <w:t xml:space="preserve">., 2000 </w:t>
            </w:r>
            <w:r>
              <w:rPr>
                <w:rFonts w:ascii="Times New Roman" w:hAnsi="Times New Roman" w:cs="Times New Roman"/>
                <w:noProof/>
                <w:sz w:val="18"/>
                <w:szCs w:val="18"/>
                <w:lang w:val="da-DK"/>
              </w:rPr>
              <w:t>[5]</w:t>
            </w:r>
            <w:r w:rsidRPr="006E27F0">
              <w:rPr>
                <w:rFonts w:ascii="Times New Roman" w:hAnsi="Times New Roman" w:cs="Times New Roman"/>
                <w:sz w:val="18"/>
                <w:szCs w:val="18"/>
                <w:lang w:val="da-DK"/>
              </w:rPr>
              <w:t>)</w:t>
            </w:r>
          </w:p>
        </w:tc>
        <w:tc>
          <w:tcPr>
            <w:tcW w:w="2836"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75690 ± 230 years</w:t>
            </w:r>
          </w:p>
          <w:p w:rsidR="0001397F" w:rsidRPr="006E27F0" w:rsidRDefault="0001397F" w:rsidP="001472C0">
            <w:pPr>
              <w:rPr>
                <w:rFonts w:ascii="Times New Roman" w:hAnsi="Times New Roman" w:cs="Times New Roman"/>
                <w:sz w:val="18"/>
                <w:szCs w:val="18"/>
              </w:rPr>
            </w:pPr>
            <w:r w:rsidRPr="006E27F0">
              <w:rPr>
                <w:rFonts w:ascii="Times New Roman" w:hAnsi="Times New Roman" w:cs="Times New Roman"/>
                <w:sz w:val="18"/>
                <w:szCs w:val="18"/>
              </w:rPr>
              <w:t xml:space="preserve">(Cheng </w:t>
            </w:r>
            <w:r w:rsidRPr="0066701F">
              <w:rPr>
                <w:rFonts w:ascii="Times New Roman" w:hAnsi="Times New Roman" w:cs="Times New Roman"/>
                <w:i/>
                <w:sz w:val="18"/>
                <w:szCs w:val="18"/>
              </w:rPr>
              <w:t>et al</w:t>
            </w:r>
            <w:r w:rsidRPr="006E27F0">
              <w:rPr>
                <w:rFonts w:ascii="Times New Roman" w:hAnsi="Times New Roman" w:cs="Times New Roman"/>
                <w:sz w:val="18"/>
                <w:szCs w:val="18"/>
              </w:rPr>
              <w:t>., 2000</w:t>
            </w:r>
            <w:r>
              <w:rPr>
                <w:rFonts w:ascii="Times New Roman" w:hAnsi="Times New Roman" w:cs="Times New Roman"/>
                <w:sz w:val="18"/>
                <w:szCs w:val="18"/>
              </w:rPr>
              <w:t xml:space="preserve"> </w:t>
            </w:r>
            <w:r>
              <w:rPr>
                <w:rFonts w:ascii="Times New Roman" w:hAnsi="Times New Roman" w:cs="Times New Roman"/>
                <w:noProof/>
                <w:sz w:val="18"/>
                <w:szCs w:val="18"/>
              </w:rPr>
              <w:t>[5]</w:t>
            </w:r>
            <w:r w:rsidRPr="006E27F0">
              <w:rPr>
                <w:rFonts w:ascii="Times New Roman" w:hAnsi="Times New Roman" w:cs="Times New Roman"/>
                <w:sz w:val="18"/>
                <w:szCs w:val="18"/>
              </w:rPr>
              <w:t>)</w:t>
            </w:r>
          </w:p>
        </w:tc>
        <w:tc>
          <w:tcPr>
            <w:tcW w:w="2268"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75400 ± 300 (</w:t>
            </w:r>
            <w:r w:rsidRPr="006E27F0">
              <w:rPr>
                <w:rFonts w:ascii="Times New Roman" w:hAnsi="Times New Roman" w:cs="Times New Roman"/>
                <w:i/>
                <w:sz w:val="18"/>
                <w:szCs w:val="18"/>
              </w:rPr>
              <w:t>k</w:t>
            </w:r>
            <w:r w:rsidRPr="006E27F0">
              <w:rPr>
                <w:rFonts w:ascii="Times New Roman" w:hAnsi="Times New Roman" w:cs="Times New Roman"/>
                <w:sz w:val="18"/>
                <w:szCs w:val="18"/>
              </w:rPr>
              <w:t>=1), from IAEA Live Chart</w:t>
            </w:r>
          </w:p>
        </w:tc>
        <w:tc>
          <w:tcPr>
            <w:tcW w:w="2976" w:type="dxa"/>
          </w:tcPr>
          <w:p w:rsidR="0001397F" w:rsidRPr="006E27F0" w:rsidRDefault="0001397F" w:rsidP="001472C0">
            <w:pPr>
              <w:rPr>
                <w:rFonts w:ascii="Times New Roman" w:hAnsi="Times New Roman" w:cs="Times New Roman"/>
                <w:sz w:val="18"/>
                <w:szCs w:val="18"/>
                <w:lang w:val="nb-NO"/>
              </w:rPr>
            </w:pPr>
            <w:r w:rsidRPr="006E27F0">
              <w:rPr>
                <w:rFonts w:ascii="Times New Roman" w:hAnsi="Times New Roman" w:cs="Times New Roman"/>
                <w:sz w:val="18"/>
                <w:szCs w:val="18"/>
                <w:lang w:val="nb-NO"/>
              </w:rPr>
              <w:t xml:space="preserve">75690 ± 230 </w:t>
            </w:r>
            <w:proofErr w:type="spellStart"/>
            <w:r w:rsidRPr="006E27F0">
              <w:rPr>
                <w:rFonts w:ascii="Times New Roman" w:hAnsi="Times New Roman" w:cs="Times New Roman"/>
                <w:sz w:val="18"/>
                <w:szCs w:val="18"/>
                <w:lang w:val="nb-NO"/>
              </w:rPr>
              <w:t>years</w:t>
            </w:r>
            <w:proofErr w:type="spellEnd"/>
            <w:r w:rsidRPr="006E27F0">
              <w:rPr>
                <w:rFonts w:ascii="Times New Roman" w:hAnsi="Times New Roman" w:cs="Times New Roman"/>
                <w:sz w:val="18"/>
                <w:szCs w:val="18"/>
                <w:lang w:val="nb-NO"/>
              </w:rPr>
              <w:t xml:space="preserve"> at 2</w:t>
            </w:r>
            <w:r w:rsidRPr="006E27F0">
              <w:rPr>
                <w:rFonts w:ascii="Times New Roman" w:hAnsi="Times New Roman" w:cs="Times New Roman"/>
                <w:sz w:val="18"/>
                <w:szCs w:val="18"/>
              </w:rPr>
              <w:t>σ</w:t>
            </w:r>
            <w:r w:rsidRPr="006E27F0">
              <w:rPr>
                <w:rFonts w:ascii="Times New Roman" w:hAnsi="Times New Roman" w:cs="Times New Roman"/>
                <w:sz w:val="18"/>
                <w:szCs w:val="18"/>
                <w:lang w:val="nb-NO"/>
              </w:rPr>
              <w:t xml:space="preserve"> (Cheng </w:t>
            </w:r>
            <w:r w:rsidRPr="0066701F">
              <w:rPr>
                <w:rFonts w:ascii="Times New Roman" w:hAnsi="Times New Roman" w:cs="Times New Roman"/>
                <w:i/>
                <w:sz w:val="18"/>
                <w:szCs w:val="18"/>
                <w:lang w:val="nb-NO"/>
              </w:rPr>
              <w:t>et al</w:t>
            </w:r>
            <w:r w:rsidRPr="006E27F0">
              <w:rPr>
                <w:rFonts w:ascii="Times New Roman" w:hAnsi="Times New Roman" w:cs="Times New Roman"/>
                <w:sz w:val="18"/>
                <w:szCs w:val="18"/>
                <w:lang w:val="nb-NO"/>
              </w:rPr>
              <w:t>., 2000</w:t>
            </w:r>
            <w:r>
              <w:rPr>
                <w:rFonts w:ascii="Times New Roman" w:hAnsi="Times New Roman" w:cs="Times New Roman"/>
                <w:sz w:val="18"/>
                <w:szCs w:val="18"/>
                <w:lang w:val="nb-NO"/>
              </w:rPr>
              <w:t xml:space="preserve"> </w:t>
            </w:r>
            <w:r>
              <w:rPr>
                <w:rFonts w:ascii="Times New Roman" w:hAnsi="Times New Roman" w:cs="Times New Roman"/>
                <w:noProof/>
                <w:sz w:val="18"/>
                <w:szCs w:val="18"/>
                <w:lang w:val="nb-NO"/>
              </w:rPr>
              <w:t>[5]</w:t>
            </w:r>
            <w:r w:rsidRPr="006E27F0">
              <w:rPr>
                <w:rFonts w:ascii="Times New Roman" w:hAnsi="Times New Roman" w:cs="Times New Roman"/>
                <w:sz w:val="18"/>
                <w:szCs w:val="18"/>
                <w:lang w:val="nb-NO"/>
              </w:rPr>
              <w:t>)</w:t>
            </w:r>
          </w:p>
        </w:tc>
        <w:tc>
          <w:tcPr>
            <w:tcW w:w="2977" w:type="dxa"/>
          </w:tcPr>
          <w:p w:rsidR="0001397F" w:rsidRPr="006E27F0" w:rsidRDefault="0001397F" w:rsidP="001472C0">
            <w:pPr>
              <w:rPr>
                <w:rFonts w:ascii="Times New Roman" w:hAnsi="Times New Roman" w:cs="Times New Roman"/>
                <w:sz w:val="18"/>
                <w:szCs w:val="18"/>
              </w:rPr>
            </w:pPr>
            <w:r w:rsidRPr="006E27F0">
              <w:rPr>
                <w:rFonts w:ascii="Times New Roman" w:hAnsi="Times New Roman" w:cs="Times New Roman"/>
                <w:sz w:val="18"/>
                <w:szCs w:val="18"/>
              </w:rPr>
              <w:t>75380 ± 300 (</w:t>
            </w:r>
            <w:r w:rsidRPr="006E27F0">
              <w:rPr>
                <w:rFonts w:ascii="Times New Roman" w:hAnsi="Times New Roman" w:cs="Times New Roman"/>
                <w:i/>
                <w:sz w:val="18"/>
                <w:szCs w:val="18"/>
              </w:rPr>
              <w:t>k</w:t>
            </w:r>
            <w:r w:rsidRPr="006E27F0">
              <w:rPr>
                <w:rFonts w:ascii="Times New Roman" w:hAnsi="Times New Roman" w:cs="Times New Roman"/>
                <w:sz w:val="18"/>
                <w:szCs w:val="18"/>
              </w:rPr>
              <w:t>=1), from Decay Data Evaluation Project (DDEP)</w:t>
            </w:r>
            <w:r>
              <w:rPr>
                <w:rFonts w:ascii="Times New Roman" w:hAnsi="Times New Roman" w:cs="Times New Roman"/>
                <w:sz w:val="18"/>
                <w:szCs w:val="18"/>
              </w:rPr>
              <w:t xml:space="preserve"> </w:t>
            </w:r>
            <w:r>
              <w:rPr>
                <w:rFonts w:ascii="Times New Roman" w:hAnsi="Times New Roman" w:cs="Times New Roman"/>
                <w:noProof/>
                <w:sz w:val="18"/>
                <w:szCs w:val="18"/>
              </w:rPr>
              <w:t>[6]</w:t>
            </w:r>
          </w:p>
        </w:tc>
      </w:tr>
      <w:tr w:rsidR="0001397F" w:rsidRPr="006E27F0" w:rsidTr="000E7D0B">
        <w:tc>
          <w:tcPr>
            <w:tcW w:w="2127"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Quality control sample used</w:t>
            </w:r>
          </w:p>
        </w:tc>
        <w:tc>
          <w:tcPr>
            <w:tcW w:w="2551"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NBS100</w:t>
            </w:r>
          </w:p>
        </w:tc>
        <w:tc>
          <w:tcPr>
            <w:tcW w:w="2836"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None</w:t>
            </w:r>
          </w:p>
        </w:tc>
        <w:tc>
          <w:tcPr>
            <w:tcW w:w="2268"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U 630 from NBL</w:t>
            </w:r>
          </w:p>
        </w:tc>
        <w:tc>
          <w:tcPr>
            <w:tcW w:w="2976"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NBL CRM-125A and NBL CRM-U630</w:t>
            </w:r>
          </w:p>
        </w:tc>
        <w:tc>
          <w:tcPr>
            <w:tcW w:w="2977"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Self-prepared completely separated U with known production date</w:t>
            </w:r>
          </w:p>
        </w:tc>
      </w:tr>
      <w:tr w:rsidR="0001397F" w:rsidRPr="006E27F0" w:rsidTr="000E7D0B">
        <w:tc>
          <w:tcPr>
            <w:tcW w:w="2127"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Software used for calculation</w:t>
            </w:r>
          </w:p>
        </w:tc>
        <w:tc>
          <w:tcPr>
            <w:tcW w:w="2551"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Excel spread sheet</w:t>
            </w:r>
          </w:p>
        </w:tc>
        <w:tc>
          <w:tcPr>
            <w:tcW w:w="2836"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Excel</w:t>
            </w:r>
          </w:p>
        </w:tc>
        <w:tc>
          <w:tcPr>
            <w:tcW w:w="2268"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GUM Workbench Pro</w:t>
            </w:r>
          </w:p>
        </w:tc>
        <w:tc>
          <w:tcPr>
            <w:tcW w:w="2976"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Excel based LANL developed  software</w:t>
            </w:r>
          </w:p>
        </w:tc>
        <w:tc>
          <w:tcPr>
            <w:tcW w:w="2977"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 xml:space="preserve">GUM Workbench </w:t>
            </w:r>
          </w:p>
        </w:tc>
      </w:tr>
      <w:tr w:rsidR="0001397F" w:rsidRPr="006E27F0" w:rsidTr="000E7D0B">
        <w:tc>
          <w:tcPr>
            <w:tcW w:w="2127"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Approach used for uncertainty calculation</w:t>
            </w:r>
          </w:p>
        </w:tc>
        <w:tc>
          <w:tcPr>
            <w:tcW w:w="2551"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Error propagation</w:t>
            </w:r>
          </w:p>
        </w:tc>
        <w:tc>
          <w:tcPr>
            <w:tcW w:w="2836"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BIPM Guide</w:t>
            </w:r>
          </w:p>
        </w:tc>
        <w:tc>
          <w:tcPr>
            <w:tcW w:w="2268" w:type="dxa"/>
          </w:tcPr>
          <w:p w:rsidR="0001397F" w:rsidRPr="006E27F0" w:rsidRDefault="0001397F" w:rsidP="006E27F0">
            <w:pPr>
              <w:rPr>
                <w:rFonts w:ascii="Times New Roman" w:hAnsi="Times New Roman" w:cs="Times New Roman"/>
                <w:sz w:val="18"/>
                <w:szCs w:val="18"/>
              </w:rPr>
            </w:pPr>
          </w:p>
        </w:tc>
        <w:tc>
          <w:tcPr>
            <w:tcW w:w="2976"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Estimates of uncertainty are standard deviations on internal independent observations propagated in quadrature with a coverage factor of two</w:t>
            </w:r>
          </w:p>
        </w:tc>
        <w:tc>
          <w:tcPr>
            <w:tcW w:w="2977"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BIPM Guide</w:t>
            </w:r>
          </w:p>
        </w:tc>
      </w:tr>
      <w:tr w:rsidR="0001397F" w:rsidRPr="006E27F0" w:rsidTr="000E7D0B">
        <w:tc>
          <w:tcPr>
            <w:tcW w:w="2127"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Major uncertainty components</w:t>
            </w:r>
          </w:p>
        </w:tc>
        <w:tc>
          <w:tcPr>
            <w:tcW w:w="2551"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vertAlign w:val="superscript"/>
              </w:rPr>
              <w:t>229</w:t>
            </w:r>
            <w:r w:rsidRPr="006E27F0">
              <w:rPr>
                <w:rFonts w:ascii="Times New Roman" w:hAnsi="Times New Roman" w:cs="Times New Roman"/>
                <w:sz w:val="18"/>
                <w:szCs w:val="18"/>
              </w:rPr>
              <w:t xml:space="preserve">Th concentration of the tracer and counting statistic of </w:t>
            </w:r>
            <w:r w:rsidRPr="006E27F0">
              <w:rPr>
                <w:rFonts w:ascii="Times New Roman" w:hAnsi="Times New Roman" w:cs="Times New Roman"/>
                <w:sz w:val="18"/>
                <w:szCs w:val="18"/>
                <w:vertAlign w:val="superscript"/>
              </w:rPr>
              <w:t>229</w:t>
            </w:r>
            <w:r w:rsidRPr="006E27F0">
              <w:rPr>
                <w:rFonts w:ascii="Times New Roman" w:hAnsi="Times New Roman" w:cs="Times New Roman"/>
                <w:sz w:val="18"/>
                <w:szCs w:val="18"/>
              </w:rPr>
              <w:t xml:space="preserve">Th and </w:t>
            </w:r>
            <w:r w:rsidRPr="006E27F0">
              <w:rPr>
                <w:rFonts w:ascii="Times New Roman" w:hAnsi="Times New Roman" w:cs="Times New Roman"/>
                <w:sz w:val="18"/>
                <w:szCs w:val="18"/>
                <w:vertAlign w:val="superscript"/>
              </w:rPr>
              <w:t>230</w:t>
            </w:r>
            <w:r w:rsidRPr="006E27F0">
              <w:rPr>
                <w:rFonts w:ascii="Times New Roman" w:hAnsi="Times New Roman" w:cs="Times New Roman"/>
                <w:sz w:val="18"/>
                <w:szCs w:val="18"/>
              </w:rPr>
              <w:t>Th.</w:t>
            </w:r>
          </w:p>
        </w:tc>
        <w:tc>
          <w:tcPr>
            <w:tcW w:w="2836" w:type="dxa"/>
          </w:tcPr>
          <w:p w:rsidR="0001397F" w:rsidRPr="006E27F0" w:rsidRDefault="0001397F" w:rsidP="006E27F0">
            <w:pPr>
              <w:numPr>
                <w:ilvl w:val="0"/>
                <w:numId w:val="1"/>
              </w:numPr>
              <w:spacing w:after="200" w:line="276" w:lineRule="auto"/>
              <w:contextualSpacing/>
              <w:rPr>
                <w:rFonts w:ascii="Times New Roman" w:hAnsi="Times New Roman" w:cs="Times New Roman"/>
                <w:sz w:val="18"/>
                <w:szCs w:val="18"/>
              </w:rPr>
            </w:pPr>
            <w:r w:rsidRPr="006E27F0">
              <w:rPr>
                <w:rFonts w:ascii="Times New Roman" w:hAnsi="Times New Roman" w:cs="Times New Roman"/>
                <w:sz w:val="18"/>
                <w:szCs w:val="18"/>
                <w:vertAlign w:val="superscript"/>
              </w:rPr>
              <w:t>230</w:t>
            </w:r>
            <w:r w:rsidRPr="006E27F0">
              <w:rPr>
                <w:rFonts w:ascii="Times New Roman" w:hAnsi="Times New Roman" w:cs="Times New Roman"/>
                <w:sz w:val="18"/>
                <w:szCs w:val="18"/>
              </w:rPr>
              <w:t>Th measurement (</w:t>
            </w:r>
            <w:r w:rsidRPr="006E27F0">
              <w:rPr>
                <w:rFonts w:ascii="Times New Roman" w:hAnsi="Times New Roman" w:cs="Times New Roman"/>
                <w:sz w:val="18"/>
                <w:szCs w:val="18"/>
                <w:vertAlign w:val="superscript"/>
              </w:rPr>
              <w:t>229</w:t>
            </w:r>
            <w:r w:rsidRPr="006E27F0">
              <w:rPr>
                <w:rFonts w:ascii="Times New Roman" w:hAnsi="Times New Roman" w:cs="Times New Roman"/>
                <w:sz w:val="18"/>
                <w:szCs w:val="18"/>
              </w:rPr>
              <w:t xml:space="preserve">Th spike calibration – </w:t>
            </w:r>
            <w:proofErr w:type="spellStart"/>
            <w:r w:rsidRPr="006E27F0">
              <w:rPr>
                <w:rFonts w:ascii="Times New Roman" w:hAnsi="Times New Roman" w:cs="Times New Roman"/>
                <w:sz w:val="18"/>
                <w:szCs w:val="18"/>
              </w:rPr>
              <w:t>Th</w:t>
            </w:r>
            <w:proofErr w:type="spellEnd"/>
            <w:r w:rsidRPr="006E27F0">
              <w:rPr>
                <w:rFonts w:ascii="Times New Roman" w:hAnsi="Times New Roman" w:cs="Times New Roman"/>
                <w:sz w:val="18"/>
                <w:szCs w:val="18"/>
              </w:rPr>
              <w:t xml:space="preserve"> standard uncertainty)</w:t>
            </w:r>
          </w:p>
          <w:p w:rsidR="0001397F" w:rsidRPr="006E27F0" w:rsidRDefault="0001397F" w:rsidP="006E27F0">
            <w:pPr>
              <w:numPr>
                <w:ilvl w:val="0"/>
                <w:numId w:val="1"/>
              </w:numPr>
              <w:spacing w:after="200" w:line="276" w:lineRule="auto"/>
              <w:contextualSpacing/>
              <w:rPr>
                <w:rFonts w:ascii="Times New Roman" w:hAnsi="Times New Roman" w:cs="Times New Roman"/>
                <w:sz w:val="18"/>
                <w:szCs w:val="18"/>
              </w:rPr>
            </w:pPr>
            <w:r w:rsidRPr="006E27F0">
              <w:rPr>
                <w:rFonts w:ascii="Times New Roman" w:hAnsi="Times New Roman" w:cs="Times New Roman"/>
                <w:sz w:val="18"/>
                <w:szCs w:val="18"/>
                <w:vertAlign w:val="superscript"/>
              </w:rPr>
              <w:t>234</w:t>
            </w:r>
            <w:r w:rsidRPr="006E27F0">
              <w:rPr>
                <w:rFonts w:ascii="Times New Roman" w:hAnsi="Times New Roman" w:cs="Times New Roman"/>
                <w:sz w:val="18"/>
                <w:szCs w:val="18"/>
              </w:rPr>
              <w:t>U measurement (</w:t>
            </w:r>
            <w:r w:rsidRPr="006E27F0">
              <w:rPr>
                <w:rFonts w:ascii="Times New Roman" w:hAnsi="Times New Roman" w:cs="Times New Roman"/>
                <w:sz w:val="18"/>
                <w:szCs w:val="18"/>
                <w:vertAlign w:val="superscript"/>
              </w:rPr>
              <w:t>233</w:t>
            </w:r>
            <w:r w:rsidRPr="006E27F0">
              <w:rPr>
                <w:rFonts w:ascii="Times New Roman" w:hAnsi="Times New Roman" w:cs="Times New Roman"/>
                <w:sz w:val="18"/>
                <w:szCs w:val="18"/>
              </w:rPr>
              <w:t>U spike calibration)</w:t>
            </w:r>
          </w:p>
          <w:p w:rsidR="0001397F" w:rsidRPr="006E27F0" w:rsidRDefault="0001397F" w:rsidP="006E27F0">
            <w:pPr>
              <w:numPr>
                <w:ilvl w:val="0"/>
                <w:numId w:val="1"/>
              </w:numPr>
              <w:spacing w:after="200" w:line="276" w:lineRule="auto"/>
              <w:contextualSpacing/>
              <w:rPr>
                <w:rFonts w:ascii="Times New Roman" w:hAnsi="Times New Roman" w:cs="Times New Roman"/>
                <w:sz w:val="18"/>
                <w:szCs w:val="18"/>
              </w:rPr>
            </w:pPr>
            <w:r w:rsidRPr="006E27F0">
              <w:rPr>
                <w:rFonts w:ascii="Times New Roman" w:hAnsi="Times New Roman" w:cs="Times New Roman"/>
                <w:sz w:val="18"/>
                <w:szCs w:val="18"/>
                <w:vertAlign w:val="superscript"/>
              </w:rPr>
              <w:t>234</w:t>
            </w:r>
            <w:r w:rsidRPr="006E27F0">
              <w:rPr>
                <w:rFonts w:ascii="Times New Roman" w:hAnsi="Times New Roman" w:cs="Times New Roman"/>
                <w:sz w:val="18"/>
                <w:szCs w:val="18"/>
              </w:rPr>
              <w:t>U half-life</w:t>
            </w:r>
          </w:p>
          <w:p w:rsidR="0001397F" w:rsidRPr="006E27F0" w:rsidRDefault="0001397F" w:rsidP="006E27F0">
            <w:pPr>
              <w:numPr>
                <w:ilvl w:val="0"/>
                <w:numId w:val="1"/>
              </w:numPr>
              <w:spacing w:after="200" w:line="276" w:lineRule="auto"/>
              <w:contextualSpacing/>
              <w:rPr>
                <w:rFonts w:ascii="Times New Roman" w:hAnsi="Times New Roman" w:cs="Times New Roman"/>
                <w:sz w:val="18"/>
                <w:szCs w:val="18"/>
              </w:rPr>
            </w:pPr>
            <w:r w:rsidRPr="006E27F0">
              <w:rPr>
                <w:rFonts w:ascii="Times New Roman" w:hAnsi="Times New Roman" w:cs="Times New Roman"/>
                <w:sz w:val="18"/>
                <w:szCs w:val="18"/>
              </w:rPr>
              <w:t xml:space="preserve">Mass bias corrections  </w:t>
            </w:r>
          </w:p>
        </w:tc>
        <w:tc>
          <w:tcPr>
            <w:tcW w:w="2268"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 xml:space="preserve">Measured </w:t>
            </w:r>
            <w:r w:rsidRPr="006E27F0">
              <w:rPr>
                <w:rFonts w:ascii="Times New Roman" w:hAnsi="Times New Roman" w:cs="Times New Roman"/>
                <w:sz w:val="18"/>
                <w:szCs w:val="18"/>
                <w:vertAlign w:val="superscript"/>
              </w:rPr>
              <w:t>229</w:t>
            </w:r>
            <w:r w:rsidRPr="006E27F0">
              <w:rPr>
                <w:rFonts w:ascii="Times New Roman" w:hAnsi="Times New Roman" w:cs="Times New Roman"/>
                <w:sz w:val="18"/>
                <w:szCs w:val="18"/>
              </w:rPr>
              <w:t>Th/</w:t>
            </w:r>
            <w:r w:rsidRPr="006E27F0">
              <w:rPr>
                <w:rFonts w:ascii="Times New Roman" w:hAnsi="Times New Roman" w:cs="Times New Roman"/>
                <w:sz w:val="18"/>
                <w:szCs w:val="18"/>
                <w:vertAlign w:val="superscript"/>
              </w:rPr>
              <w:t>230</w:t>
            </w:r>
            <w:r w:rsidRPr="006E27F0">
              <w:rPr>
                <w:rFonts w:ascii="Times New Roman" w:hAnsi="Times New Roman" w:cs="Times New Roman"/>
                <w:sz w:val="18"/>
                <w:szCs w:val="18"/>
              </w:rPr>
              <w:t>Th ratio,</w:t>
            </w:r>
            <w:r w:rsidRPr="006E27F0">
              <w:rPr>
                <w:rFonts w:ascii="Times New Roman" w:hAnsi="Times New Roman" w:cs="Times New Roman"/>
                <w:sz w:val="18"/>
                <w:szCs w:val="18"/>
                <w:vertAlign w:val="superscript"/>
              </w:rPr>
              <w:t xml:space="preserve"> </w:t>
            </w:r>
            <w:proofErr w:type="gramStart"/>
            <w:r w:rsidRPr="006E27F0">
              <w:rPr>
                <w:rFonts w:ascii="Times New Roman" w:hAnsi="Times New Roman" w:cs="Times New Roman"/>
                <w:sz w:val="18"/>
                <w:szCs w:val="18"/>
                <w:vertAlign w:val="superscript"/>
              </w:rPr>
              <w:t>229</w:t>
            </w:r>
            <w:r w:rsidRPr="006E27F0">
              <w:rPr>
                <w:rFonts w:ascii="Times New Roman" w:hAnsi="Times New Roman" w:cs="Times New Roman"/>
                <w:sz w:val="18"/>
                <w:szCs w:val="18"/>
              </w:rPr>
              <w:t>Th  and</w:t>
            </w:r>
            <w:proofErr w:type="gramEnd"/>
            <w:r w:rsidRPr="006E27F0">
              <w:rPr>
                <w:rFonts w:ascii="Times New Roman" w:hAnsi="Times New Roman" w:cs="Times New Roman"/>
                <w:sz w:val="18"/>
                <w:szCs w:val="18"/>
              </w:rPr>
              <w:t xml:space="preserve"> </w:t>
            </w:r>
            <w:r w:rsidRPr="006E27F0">
              <w:rPr>
                <w:rFonts w:ascii="Times New Roman" w:hAnsi="Times New Roman" w:cs="Times New Roman"/>
                <w:sz w:val="18"/>
                <w:szCs w:val="18"/>
                <w:vertAlign w:val="superscript"/>
              </w:rPr>
              <w:t>233</w:t>
            </w:r>
            <w:r w:rsidRPr="006E27F0">
              <w:rPr>
                <w:rFonts w:ascii="Times New Roman" w:hAnsi="Times New Roman" w:cs="Times New Roman"/>
                <w:sz w:val="18"/>
                <w:szCs w:val="18"/>
              </w:rPr>
              <w:t>U concentration of the standard.</w:t>
            </w:r>
          </w:p>
        </w:tc>
        <w:tc>
          <w:tcPr>
            <w:tcW w:w="2976"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 xml:space="preserve">Measured </w:t>
            </w:r>
            <w:r w:rsidRPr="006E27F0">
              <w:rPr>
                <w:rFonts w:ascii="Times New Roman" w:hAnsi="Times New Roman" w:cs="Times New Roman"/>
                <w:sz w:val="18"/>
                <w:szCs w:val="18"/>
                <w:vertAlign w:val="superscript"/>
              </w:rPr>
              <w:t>230</w:t>
            </w:r>
            <w:r w:rsidRPr="006E27F0">
              <w:rPr>
                <w:rFonts w:ascii="Times New Roman" w:hAnsi="Times New Roman" w:cs="Times New Roman"/>
                <w:sz w:val="18"/>
                <w:szCs w:val="18"/>
              </w:rPr>
              <w:t>Th/</w:t>
            </w:r>
            <w:r w:rsidRPr="006E27F0">
              <w:rPr>
                <w:rFonts w:ascii="Times New Roman" w:hAnsi="Times New Roman" w:cs="Times New Roman"/>
                <w:sz w:val="18"/>
                <w:szCs w:val="18"/>
                <w:vertAlign w:val="superscript"/>
              </w:rPr>
              <w:t>229</w:t>
            </w:r>
            <w:r w:rsidRPr="006E27F0">
              <w:rPr>
                <w:rFonts w:ascii="Times New Roman" w:hAnsi="Times New Roman" w:cs="Times New Roman"/>
                <w:sz w:val="18"/>
                <w:szCs w:val="18"/>
              </w:rPr>
              <w:t xml:space="preserve">Th ratio, </w:t>
            </w:r>
            <w:r w:rsidRPr="006E27F0">
              <w:rPr>
                <w:rFonts w:ascii="Times New Roman" w:hAnsi="Times New Roman" w:cs="Times New Roman"/>
                <w:sz w:val="18"/>
                <w:szCs w:val="18"/>
                <w:vertAlign w:val="superscript"/>
              </w:rPr>
              <w:t>230</w:t>
            </w:r>
            <w:r w:rsidRPr="006E27F0">
              <w:rPr>
                <w:rFonts w:ascii="Times New Roman" w:hAnsi="Times New Roman" w:cs="Times New Roman"/>
                <w:sz w:val="18"/>
                <w:szCs w:val="18"/>
              </w:rPr>
              <w:t xml:space="preserve">Th and </w:t>
            </w:r>
            <w:r w:rsidRPr="006E27F0">
              <w:rPr>
                <w:rFonts w:ascii="Times New Roman" w:hAnsi="Times New Roman" w:cs="Times New Roman"/>
                <w:sz w:val="18"/>
                <w:szCs w:val="18"/>
                <w:vertAlign w:val="superscript"/>
              </w:rPr>
              <w:t>233</w:t>
            </w:r>
            <w:r w:rsidRPr="006E27F0">
              <w:rPr>
                <w:rFonts w:ascii="Times New Roman" w:hAnsi="Times New Roman" w:cs="Times New Roman"/>
                <w:sz w:val="18"/>
                <w:szCs w:val="18"/>
              </w:rPr>
              <w:t>U concentration of isotope dilution standards, mass bias correction factors (NBL CRM U-010)</w:t>
            </w:r>
          </w:p>
        </w:tc>
        <w:tc>
          <w:tcPr>
            <w:tcW w:w="2977" w:type="dxa"/>
          </w:tcPr>
          <w:p w:rsidR="0001397F" w:rsidRPr="006E27F0" w:rsidRDefault="0001397F" w:rsidP="006E27F0">
            <w:pPr>
              <w:rPr>
                <w:rFonts w:ascii="Times New Roman" w:hAnsi="Times New Roman" w:cs="Times New Roman"/>
                <w:sz w:val="18"/>
                <w:szCs w:val="18"/>
              </w:rPr>
            </w:pPr>
            <w:r w:rsidRPr="006E27F0">
              <w:rPr>
                <w:rFonts w:ascii="Times New Roman" w:hAnsi="Times New Roman" w:cs="Times New Roman"/>
                <w:sz w:val="18"/>
                <w:szCs w:val="18"/>
              </w:rPr>
              <w:t xml:space="preserve">Measured </w:t>
            </w:r>
            <w:r w:rsidRPr="006E27F0">
              <w:rPr>
                <w:rFonts w:ascii="Times New Roman" w:hAnsi="Times New Roman" w:cs="Times New Roman"/>
                <w:sz w:val="18"/>
                <w:szCs w:val="18"/>
                <w:vertAlign w:val="superscript"/>
              </w:rPr>
              <w:t>230</w:t>
            </w:r>
            <w:r w:rsidRPr="006E27F0">
              <w:rPr>
                <w:rFonts w:ascii="Times New Roman" w:hAnsi="Times New Roman" w:cs="Times New Roman"/>
                <w:sz w:val="18"/>
                <w:szCs w:val="18"/>
              </w:rPr>
              <w:t>Th/</w:t>
            </w:r>
            <w:r w:rsidRPr="006E27F0">
              <w:rPr>
                <w:rFonts w:ascii="Times New Roman" w:hAnsi="Times New Roman" w:cs="Times New Roman"/>
                <w:sz w:val="18"/>
                <w:szCs w:val="18"/>
                <w:vertAlign w:val="superscript"/>
              </w:rPr>
              <w:t>230</w:t>
            </w:r>
            <w:r w:rsidRPr="006E27F0">
              <w:rPr>
                <w:rFonts w:ascii="Times New Roman" w:hAnsi="Times New Roman" w:cs="Times New Roman"/>
                <w:sz w:val="18"/>
                <w:szCs w:val="18"/>
              </w:rPr>
              <w:t xml:space="preserve">Th ratio, </w:t>
            </w:r>
            <w:r w:rsidRPr="006E27F0">
              <w:rPr>
                <w:rFonts w:ascii="Times New Roman" w:hAnsi="Times New Roman" w:cs="Times New Roman"/>
                <w:sz w:val="18"/>
                <w:szCs w:val="18"/>
                <w:vertAlign w:val="superscript"/>
              </w:rPr>
              <w:t>232</w:t>
            </w:r>
            <w:r w:rsidRPr="006E27F0">
              <w:rPr>
                <w:rFonts w:ascii="Times New Roman" w:hAnsi="Times New Roman" w:cs="Times New Roman"/>
                <w:sz w:val="18"/>
                <w:szCs w:val="18"/>
              </w:rPr>
              <w:t xml:space="preserve">Th and </w:t>
            </w:r>
            <w:r w:rsidRPr="006E27F0">
              <w:rPr>
                <w:rFonts w:ascii="Times New Roman" w:hAnsi="Times New Roman" w:cs="Times New Roman"/>
                <w:sz w:val="18"/>
                <w:szCs w:val="18"/>
                <w:vertAlign w:val="superscript"/>
              </w:rPr>
              <w:t>233</w:t>
            </w:r>
            <w:r w:rsidRPr="006E27F0">
              <w:rPr>
                <w:rFonts w:ascii="Times New Roman" w:hAnsi="Times New Roman" w:cs="Times New Roman"/>
                <w:sz w:val="18"/>
                <w:szCs w:val="18"/>
              </w:rPr>
              <w:t xml:space="preserve">U concentration of the standards, mass bias correction factors </w:t>
            </w:r>
          </w:p>
        </w:tc>
      </w:tr>
    </w:tbl>
    <w:p w:rsidR="0001397F" w:rsidRDefault="0001397F" w:rsidP="006E27F0"/>
    <w:p w:rsidR="0001397F" w:rsidRDefault="0001397F" w:rsidP="006E27F0"/>
    <w:p w:rsidR="0001397F" w:rsidRPr="006E27F0" w:rsidRDefault="0001397F" w:rsidP="006E27F0">
      <w:pPr>
        <w:rPr>
          <w:rFonts w:ascii="Times New Roman" w:eastAsia="Times New Roman" w:hAnsi="Times New Roman" w:cs="Times New Roman"/>
          <w:sz w:val="18"/>
          <w:szCs w:val="18"/>
          <w:lang w:eastAsia="en-GB"/>
        </w:rPr>
        <w:sectPr w:rsidR="0001397F" w:rsidRPr="006E27F0" w:rsidSect="00867243">
          <w:pgSz w:w="16838" w:h="11906" w:orient="landscape" w:code="9"/>
          <w:pgMar w:top="1134" w:right="1418" w:bottom="1531" w:left="1418" w:header="709" w:footer="709" w:gutter="0"/>
          <w:cols w:space="708"/>
          <w:docGrid w:linePitch="360"/>
        </w:sectPr>
      </w:pPr>
    </w:p>
    <w:p w:rsidR="0001397F" w:rsidRPr="00403C8A" w:rsidRDefault="0001397F" w:rsidP="00403D7B">
      <w:pPr>
        <w:pStyle w:val="04AHeading"/>
        <w:spacing w:before="0" w:after="0" w:line="240" w:lineRule="auto"/>
        <w:jc w:val="both"/>
        <w:rPr>
          <w:szCs w:val="22"/>
        </w:rPr>
      </w:pPr>
      <w:r w:rsidRPr="00403C8A">
        <w:rPr>
          <w:szCs w:val="22"/>
        </w:rPr>
        <w:lastRenderedPageBreak/>
        <w:t>4. Conclusions</w:t>
      </w:r>
    </w:p>
    <w:p w:rsidR="0001397F" w:rsidRPr="00403C8A" w:rsidRDefault="0001397F" w:rsidP="00403D7B">
      <w:pPr>
        <w:pStyle w:val="08ArticleText"/>
        <w:spacing w:line="240" w:lineRule="auto"/>
        <w:rPr>
          <w:sz w:val="22"/>
          <w:szCs w:val="22"/>
        </w:rPr>
      </w:pPr>
    </w:p>
    <w:p w:rsidR="0001397F" w:rsidRPr="00403C8A" w:rsidRDefault="0001397F" w:rsidP="000B41B0">
      <w:pPr>
        <w:pStyle w:val="08ArticleText"/>
        <w:spacing w:line="240" w:lineRule="auto"/>
        <w:rPr>
          <w:rFonts w:eastAsia="Calibri"/>
          <w:b/>
          <w:szCs w:val="22"/>
        </w:rPr>
      </w:pPr>
      <w:r>
        <w:rPr>
          <w:sz w:val="22"/>
          <w:szCs w:val="22"/>
        </w:rPr>
        <w:t xml:space="preserve">Based on the results we can conclude that the production methodology is a </w:t>
      </w:r>
      <w:r w:rsidR="00243DD4">
        <w:rPr>
          <w:sz w:val="22"/>
          <w:szCs w:val="22"/>
        </w:rPr>
        <w:t xml:space="preserve">valid </w:t>
      </w:r>
      <w:r>
        <w:rPr>
          <w:sz w:val="22"/>
          <w:szCs w:val="22"/>
        </w:rPr>
        <w:t xml:space="preserve">approach to obtain a measureable and fit-for-purpose uranium age dating reference material. The </w:t>
      </w:r>
      <w:r w:rsidR="00B305FA">
        <w:rPr>
          <w:sz w:val="22"/>
          <w:szCs w:val="22"/>
        </w:rPr>
        <w:t xml:space="preserve">average </w:t>
      </w:r>
      <w:r>
        <w:rPr>
          <w:sz w:val="22"/>
          <w:szCs w:val="22"/>
        </w:rPr>
        <w:t xml:space="preserve">reported production date results are in good agreement with the known production date. The reported individual laboratory values for the HEU sample </w:t>
      </w:r>
      <w:r w:rsidR="00243DD4">
        <w:rPr>
          <w:sz w:val="22"/>
          <w:szCs w:val="22"/>
        </w:rPr>
        <w:t xml:space="preserve">(containing </w:t>
      </w:r>
      <w:r>
        <w:rPr>
          <w:sz w:val="22"/>
          <w:szCs w:val="22"/>
        </w:rPr>
        <w:t>higher</w:t>
      </w:r>
      <w:r w:rsidR="00243DD4">
        <w:rPr>
          <w:sz w:val="22"/>
          <w:szCs w:val="22"/>
        </w:rPr>
        <w:t xml:space="preserve"> amounts of</w:t>
      </w:r>
      <w:r>
        <w:rPr>
          <w:sz w:val="22"/>
          <w:szCs w:val="22"/>
        </w:rPr>
        <w:t xml:space="preserve"> </w:t>
      </w:r>
      <w:r w:rsidRPr="000B41B0">
        <w:rPr>
          <w:sz w:val="22"/>
          <w:szCs w:val="22"/>
          <w:vertAlign w:val="superscript"/>
        </w:rPr>
        <w:t>230</w:t>
      </w:r>
      <w:r w:rsidRPr="00026D30">
        <w:rPr>
          <w:sz w:val="22"/>
          <w:szCs w:val="22"/>
        </w:rPr>
        <w:t>Th</w:t>
      </w:r>
      <w:r w:rsidR="00243DD4">
        <w:rPr>
          <w:sz w:val="22"/>
          <w:szCs w:val="22"/>
        </w:rPr>
        <w:t>)</w:t>
      </w:r>
      <w:r>
        <w:rPr>
          <w:sz w:val="22"/>
          <w:szCs w:val="22"/>
        </w:rPr>
        <w:t xml:space="preserve"> are in agreement with one another within measurement uncertainty</w:t>
      </w:r>
      <w:r w:rsidR="00243DD4">
        <w:rPr>
          <w:sz w:val="22"/>
          <w:szCs w:val="22"/>
        </w:rPr>
        <w:t>. H</w:t>
      </w:r>
      <w:bookmarkStart w:id="0" w:name="_GoBack"/>
      <w:bookmarkEnd w:id="0"/>
      <w:r>
        <w:rPr>
          <w:sz w:val="22"/>
          <w:szCs w:val="22"/>
        </w:rPr>
        <w:t xml:space="preserve">owever, for the natural uranium and LEU samples </w:t>
      </w:r>
      <w:r w:rsidR="00E4703F">
        <w:rPr>
          <w:sz w:val="22"/>
          <w:szCs w:val="22"/>
        </w:rPr>
        <w:t xml:space="preserve">more pronounced </w:t>
      </w:r>
      <w:r>
        <w:rPr>
          <w:sz w:val="22"/>
          <w:szCs w:val="22"/>
        </w:rPr>
        <w:t xml:space="preserve">differences could be observed. </w:t>
      </w:r>
      <w:r w:rsidR="00E4703F">
        <w:rPr>
          <w:sz w:val="22"/>
          <w:szCs w:val="22"/>
        </w:rPr>
        <w:t>This reflects the enormous challenges associated with age dating of such young material, particularly when the sample size is fairly small. Thus,</w:t>
      </w:r>
      <w:r>
        <w:rPr>
          <w:sz w:val="22"/>
          <w:szCs w:val="22"/>
        </w:rPr>
        <w:t xml:space="preserve"> further </w:t>
      </w:r>
      <w:r w:rsidR="00E4703F">
        <w:rPr>
          <w:sz w:val="22"/>
          <w:szCs w:val="22"/>
        </w:rPr>
        <w:t xml:space="preserve">efforts are required </w:t>
      </w:r>
      <w:r>
        <w:rPr>
          <w:sz w:val="22"/>
          <w:szCs w:val="22"/>
        </w:rPr>
        <w:t xml:space="preserve">to </w:t>
      </w:r>
      <w:r w:rsidR="00E4703F">
        <w:rPr>
          <w:sz w:val="22"/>
          <w:szCs w:val="22"/>
        </w:rPr>
        <w:t>improve</w:t>
      </w:r>
      <w:r>
        <w:rPr>
          <w:sz w:val="22"/>
          <w:szCs w:val="22"/>
        </w:rPr>
        <w:t xml:space="preserve"> existing methodologies </w:t>
      </w:r>
      <w:r w:rsidR="00026D30" w:rsidRPr="00026D30">
        <w:rPr>
          <w:sz w:val="22"/>
          <w:szCs w:val="22"/>
        </w:rPr>
        <w:t>for the lowest enriched and/or most recently-produced materials</w:t>
      </w:r>
      <w:r>
        <w:rPr>
          <w:sz w:val="22"/>
          <w:szCs w:val="22"/>
        </w:rPr>
        <w:t xml:space="preserve">. </w:t>
      </w:r>
    </w:p>
    <w:p w:rsidR="0001397F" w:rsidRDefault="0001397F" w:rsidP="00403D7B">
      <w:pPr>
        <w:pStyle w:val="BodyText"/>
        <w:tabs>
          <w:tab w:val="left" w:pos="363"/>
          <w:tab w:val="left" w:pos="567"/>
        </w:tabs>
        <w:spacing w:after="0" w:line="240" w:lineRule="auto"/>
        <w:ind w:hanging="357"/>
        <w:rPr>
          <w:rFonts w:eastAsia="Calibri"/>
          <w:b/>
          <w:szCs w:val="22"/>
        </w:rPr>
      </w:pPr>
    </w:p>
    <w:p w:rsidR="0001397F" w:rsidRPr="00403C8A" w:rsidRDefault="0001397F" w:rsidP="00403D7B">
      <w:pPr>
        <w:pStyle w:val="BodyText"/>
        <w:tabs>
          <w:tab w:val="left" w:pos="363"/>
          <w:tab w:val="left" w:pos="567"/>
        </w:tabs>
        <w:spacing w:after="0" w:line="240" w:lineRule="auto"/>
        <w:ind w:hanging="357"/>
        <w:rPr>
          <w:rFonts w:eastAsia="Calibri"/>
          <w:b/>
          <w:szCs w:val="22"/>
        </w:rPr>
      </w:pPr>
    </w:p>
    <w:p w:rsidR="0001397F" w:rsidRPr="00403C8A" w:rsidRDefault="0001397F" w:rsidP="00403D7B">
      <w:pPr>
        <w:pStyle w:val="BodyText"/>
        <w:tabs>
          <w:tab w:val="left" w:pos="363"/>
          <w:tab w:val="left" w:pos="567"/>
        </w:tabs>
        <w:spacing w:after="0" w:line="240" w:lineRule="auto"/>
        <w:ind w:hanging="357"/>
        <w:jc w:val="center"/>
        <w:rPr>
          <w:rFonts w:eastAsia="Calibri"/>
          <w:b/>
          <w:szCs w:val="22"/>
        </w:rPr>
      </w:pPr>
      <w:r>
        <w:rPr>
          <w:rFonts w:eastAsia="Calibri"/>
          <w:b/>
          <w:szCs w:val="22"/>
        </w:rPr>
        <w:t>REFERENCES</w:t>
      </w:r>
    </w:p>
    <w:p w:rsidR="0001397F" w:rsidRDefault="0001397F"/>
    <w:p w:rsidR="0001397F" w:rsidRPr="00F25511" w:rsidRDefault="0001397F" w:rsidP="005F7790">
      <w:pPr>
        <w:ind w:left="284" w:hanging="284"/>
        <w:jc w:val="both"/>
        <w:rPr>
          <w:rFonts w:ascii="Times New Roman" w:hAnsi="Times New Roman" w:cs="Times New Roman"/>
          <w:noProof/>
        </w:rPr>
      </w:pPr>
      <w:bookmarkStart w:id="1" w:name="_ENREF_1"/>
      <w:r w:rsidRPr="00F25511">
        <w:rPr>
          <w:rFonts w:ascii="Times New Roman" w:hAnsi="Times New Roman" w:cs="Times New Roman"/>
          <w:noProof/>
        </w:rPr>
        <w:t xml:space="preserve">[1] </w:t>
      </w:r>
      <w:r w:rsidRPr="00F25511">
        <w:rPr>
          <w:rFonts w:ascii="Times New Roman" w:hAnsi="Times New Roman" w:cs="Times New Roman"/>
          <w:smallCaps/>
          <w:noProof/>
        </w:rPr>
        <w:t>Mayer, K.</w:t>
      </w:r>
      <w:r w:rsidRPr="00F25511">
        <w:rPr>
          <w:rFonts w:ascii="Times New Roman" w:hAnsi="Times New Roman" w:cs="Times New Roman"/>
          <w:noProof/>
        </w:rPr>
        <w:t>, et al., Nuclear forensic science: Correlating measurable material parameters to the history of nu</w:t>
      </w:r>
      <w:r w:rsidR="00D26973">
        <w:rPr>
          <w:rFonts w:ascii="Times New Roman" w:hAnsi="Times New Roman" w:cs="Times New Roman"/>
          <w:noProof/>
        </w:rPr>
        <w:t>clear material, Chem. Rev.</w:t>
      </w:r>
      <w:r w:rsidRPr="00F25511">
        <w:rPr>
          <w:rFonts w:ascii="Times New Roman" w:hAnsi="Times New Roman" w:cs="Times New Roman"/>
          <w:noProof/>
        </w:rPr>
        <w:t xml:space="preserve"> </w:t>
      </w:r>
      <w:r w:rsidRPr="00F25511">
        <w:rPr>
          <w:rFonts w:ascii="Times New Roman" w:hAnsi="Times New Roman" w:cs="Times New Roman"/>
          <w:b/>
          <w:noProof/>
        </w:rPr>
        <w:t>113</w:t>
      </w:r>
      <w:r w:rsidR="00D26973">
        <w:rPr>
          <w:rFonts w:ascii="Times New Roman" w:hAnsi="Times New Roman" w:cs="Times New Roman"/>
          <w:noProof/>
        </w:rPr>
        <w:t xml:space="preserve"> (2013) 884</w:t>
      </w:r>
      <w:r w:rsidRPr="00F25511">
        <w:rPr>
          <w:rFonts w:ascii="Times New Roman" w:hAnsi="Times New Roman" w:cs="Times New Roman"/>
          <w:noProof/>
        </w:rPr>
        <w:t>.</w:t>
      </w:r>
      <w:bookmarkEnd w:id="1"/>
    </w:p>
    <w:p w:rsidR="0001397F" w:rsidRPr="00F25511" w:rsidRDefault="0001397F" w:rsidP="005F7790">
      <w:pPr>
        <w:ind w:left="284" w:hanging="284"/>
        <w:jc w:val="both"/>
        <w:rPr>
          <w:rFonts w:ascii="Times New Roman" w:hAnsi="Times New Roman" w:cs="Times New Roman"/>
          <w:noProof/>
        </w:rPr>
      </w:pPr>
      <w:bookmarkStart w:id="2" w:name="_ENREF_2"/>
      <w:r w:rsidRPr="00F25511">
        <w:rPr>
          <w:rFonts w:ascii="Times New Roman" w:hAnsi="Times New Roman" w:cs="Times New Roman"/>
          <w:noProof/>
        </w:rPr>
        <w:t xml:space="preserve">[2] </w:t>
      </w:r>
      <w:r w:rsidRPr="00F25511">
        <w:rPr>
          <w:rFonts w:ascii="Times New Roman" w:hAnsi="Times New Roman" w:cs="Times New Roman"/>
          <w:smallCaps/>
          <w:noProof/>
        </w:rPr>
        <w:t>Kristo, M.J.</w:t>
      </w:r>
      <w:r w:rsidRPr="00F25511">
        <w:rPr>
          <w:rFonts w:ascii="Times New Roman" w:hAnsi="Times New Roman" w:cs="Times New Roman"/>
          <w:noProof/>
        </w:rPr>
        <w:t xml:space="preserve">, </w:t>
      </w:r>
      <w:r w:rsidRPr="00F25511">
        <w:rPr>
          <w:rFonts w:ascii="Times New Roman" w:hAnsi="Times New Roman" w:cs="Times New Roman"/>
          <w:smallCaps/>
          <w:noProof/>
        </w:rPr>
        <w:t>Tumey, S.J.</w:t>
      </w:r>
      <w:r w:rsidRPr="00F25511">
        <w:rPr>
          <w:rFonts w:ascii="Times New Roman" w:hAnsi="Times New Roman" w:cs="Times New Roman"/>
          <w:noProof/>
        </w:rPr>
        <w:t>, The state of nuclear forensics, Nucl</w:t>
      </w:r>
      <w:r w:rsidR="00D26973">
        <w:rPr>
          <w:rFonts w:ascii="Times New Roman" w:hAnsi="Times New Roman" w:cs="Times New Roman"/>
          <w:noProof/>
        </w:rPr>
        <w:t>.</w:t>
      </w:r>
      <w:r w:rsidRPr="00F25511">
        <w:rPr>
          <w:rFonts w:ascii="Times New Roman" w:hAnsi="Times New Roman" w:cs="Times New Roman"/>
          <w:noProof/>
        </w:rPr>
        <w:t xml:space="preserve"> Instrum</w:t>
      </w:r>
      <w:r w:rsidR="00D26973">
        <w:rPr>
          <w:rFonts w:ascii="Times New Roman" w:hAnsi="Times New Roman" w:cs="Times New Roman"/>
          <w:noProof/>
        </w:rPr>
        <w:t>.</w:t>
      </w:r>
      <w:r w:rsidRPr="00F25511">
        <w:rPr>
          <w:rFonts w:ascii="Times New Roman" w:hAnsi="Times New Roman" w:cs="Times New Roman"/>
          <w:noProof/>
        </w:rPr>
        <w:t xml:space="preserve"> Met</w:t>
      </w:r>
      <w:r w:rsidR="00D26973">
        <w:rPr>
          <w:rFonts w:ascii="Times New Roman" w:hAnsi="Times New Roman" w:cs="Times New Roman"/>
          <w:noProof/>
        </w:rPr>
        <w:t>h. Phys. Res.</w:t>
      </w:r>
      <w:r w:rsidRPr="00F25511">
        <w:rPr>
          <w:rFonts w:ascii="Times New Roman" w:hAnsi="Times New Roman" w:cs="Times New Roman"/>
          <w:noProof/>
        </w:rPr>
        <w:t xml:space="preserve"> </w:t>
      </w:r>
      <w:r w:rsidRPr="00F25511">
        <w:rPr>
          <w:rFonts w:ascii="Times New Roman" w:hAnsi="Times New Roman" w:cs="Times New Roman"/>
          <w:b/>
          <w:noProof/>
        </w:rPr>
        <w:t>294</w:t>
      </w:r>
      <w:r w:rsidRPr="00F25511">
        <w:rPr>
          <w:rFonts w:ascii="Times New Roman" w:hAnsi="Times New Roman" w:cs="Times New Roman"/>
          <w:noProof/>
        </w:rPr>
        <w:t xml:space="preserve"> (2013) 656.</w:t>
      </w:r>
      <w:bookmarkEnd w:id="2"/>
    </w:p>
    <w:p w:rsidR="0001397F" w:rsidRPr="00F25511" w:rsidRDefault="0001397F" w:rsidP="005F7790">
      <w:pPr>
        <w:ind w:left="284" w:hanging="284"/>
        <w:jc w:val="both"/>
        <w:rPr>
          <w:rFonts w:ascii="Times New Roman" w:hAnsi="Times New Roman" w:cs="Times New Roman"/>
          <w:noProof/>
        </w:rPr>
      </w:pPr>
      <w:bookmarkStart w:id="3" w:name="_ENREF_3"/>
      <w:r w:rsidRPr="00F25511">
        <w:rPr>
          <w:rFonts w:ascii="Times New Roman" w:hAnsi="Times New Roman" w:cs="Times New Roman"/>
          <w:noProof/>
        </w:rPr>
        <w:t xml:space="preserve">[3] </w:t>
      </w:r>
      <w:r w:rsidRPr="00F25511">
        <w:rPr>
          <w:rFonts w:ascii="Times New Roman" w:hAnsi="Times New Roman" w:cs="Times New Roman"/>
          <w:smallCaps/>
          <w:noProof/>
        </w:rPr>
        <w:t>Tandon, L.</w:t>
      </w:r>
      <w:r w:rsidRPr="00F25511">
        <w:rPr>
          <w:rFonts w:ascii="Times New Roman" w:hAnsi="Times New Roman" w:cs="Times New Roman"/>
          <w:noProof/>
        </w:rPr>
        <w:t>, et al., Nuclear, chemical, and physical characterization of nuclear materials, J</w:t>
      </w:r>
      <w:r w:rsidR="005D5254">
        <w:rPr>
          <w:rFonts w:ascii="Times New Roman" w:hAnsi="Times New Roman" w:cs="Times New Roman"/>
          <w:noProof/>
        </w:rPr>
        <w:t xml:space="preserve">. </w:t>
      </w:r>
      <w:r w:rsidRPr="00F25511">
        <w:rPr>
          <w:rFonts w:ascii="Times New Roman" w:hAnsi="Times New Roman" w:cs="Times New Roman"/>
          <w:noProof/>
        </w:rPr>
        <w:t>Radioanal</w:t>
      </w:r>
      <w:r w:rsidR="005D5254">
        <w:rPr>
          <w:rFonts w:ascii="Times New Roman" w:hAnsi="Times New Roman" w:cs="Times New Roman"/>
          <w:noProof/>
        </w:rPr>
        <w:t>.</w:t>
      </w:r>
      <w:r w:rsidRPr="00F25511">
        <w:rPr>
          <w:rFonts w:ascii="Times New Roman" w:hAnsi="Times New Roman" w:cs="Times New Roman"/>
          <w:noProof/>
        </w:rPr>
        <w:t xml:space="preserve"> Nucl</w:t>
      </w:r>
      <w:r w:rsidR="005D5254">
        <w:rPr>
          <w:rFonts w:ascii="Times New Roman" w:hAnsi="Times New Roman" w:cs="Times New Roman"/>
          <w:noProof/>
        </w:rPr>
        <w:t>.</w:t>
      </w:r>
      <w:r w:rsidRPr="00F25511">
        <w:rPr>
          <w:rFonts w:ascii="Times New Roman" w:hAnsi="Times New Roman" w:cs="Times New Roman"/>
          <w:noProof/>
        </w:rPr>
        <w:t xml:space="preserve"> Chem</w:t>
      </w:r>
      <w:r w:rsidR="005D5254">
        <w:rPr>
          <w:rFonts w:ascii="Times New Roman" w:hAnsi="Times New Roman" w:cs="Times New Roman"/>
          <w:noProof/>
        </w:rPr>
        <w:t>.</w:t>
      </w:r>
      <w:r w:rsidRPr="00F25511">
        <w:rPr>
          <w:rFonts w:ascii="Times New Roman" w:hAnsi="Times New Roman" w:cs="Times New Roman"/>
          <w:noProof/>
        </w:rPr>
        <w:t xml:space="preserve"> </w:t>
      </w:r>
      <w:r w:rsidRPr="00F25511">
        <w:rPr>
          <w:rFonts w:ascii="Times New Roman" w:hAnsi="Times New Roman" w:cs="Times New Roman"/>
          <w:b/>
          <w:noProof/>
        </w:rPr>
        <w:t>276</w:t>
      </w:r>
      <w:r w:rsidRPr="00F25511">
        <w:rPr>
          <w:rFonts w:ascii="Times New Roman" w:hAnsi="Times New Roman" w:cs="Times New Roman"/>
          <w:noProof/>
        </w:rPr>
        <w:t xml:space="preserve"> (2008) 467.</w:t>
      </w:r>
      <w:bookmarkEnd w:id="3"/>
    </w:p>
    <w:p w:rsidR="0001397F" w:rsidRPr="00F25511" w:rsidRDefault="0001397F" w:rsidP="005F7790">
      <w:pPr>
        <w:ind w:left="284" w:hanging="284"/>
        <w:jc w:val="both"/>
        <w:rPr>
          <w:rFonts w:ascii="Times New Roman" w:hAnsi="Times New Roman" w:cs="Times New Roman"/>
          <w:noProof/>
        </w:rPr>
      </w:pPr>
      <w:bookmarkStart w:id="4" w:name="_ENREF_4"/>
      <w:r w:rsidRPr="00F25511">
        <w:rPr>
          <w:rFonts w:ascii="Times New Roman" w:hAnsi="Times New Roman" w:cs="Times New Roman"/>
          <w:noProof/>
        </w:rPr>
        <w:t xml:space="preserve">[4] </w:t>
      </w:r>
      <w:r w:rsidRPr="00F25511">
        <w:rPr>
          <w:rFonts w:ascii="Times New Roman" w:hAnsi="Times New Roman" w:cs="Times New Roman"/>
          <w:smallCaps/>
          <w:noProof/>
        </w:rPr>
        <w:t>Varga, Z.</w:t>
      </w:r>
      <w:r w:rsidRPr="00F25511">
        <w:rPr>
          <w:rFonts w:ascii="Times New Roman" w:hAnsi="Times New Roman" w:cs="Times New Roman"/>
          <w:noProof/>
        </w:rPr>
        <w:t>, et al., Development and validation of a methodology for uranium radiochronometry reference material preparation, Anal</w:t>
      </w:r>
      <w:r w:rsidR="005D5254">
        <w:rPr>
          <w:rFonts w:ascii="Times New Roman" w:hAnsi="Times New Roman" w:cs="Times New Roman"/>
          <w:noProof/>
        </w:rPr>
        <w:t>.</w:t>
      </w:r>
      <w:r w:rsidRPr="00F25511">
        <w:rPr>
          <w:rFonts w:ascii="Times New Roman" w:hAnsi="Times New Roman" w:cs="Times New Roman"/>
          <w:noProof/>
        </w:rPr>
        <w:t xml:space="preserve"> Chim</w:t>
      </w:r>
      <w:r w:rsidR="005D5254">
        <w:rPr>
          <w:rFonts w:ascii="Times New Roman" w:hAnsi="Times New Roman" w:cs="Times New Roman"/>
          <w:noProof/>
        </w:rPr>
        <w:t>.</w:t>
      </w:r>
      <w:r w:rsidRPr="00F25511">
        <w:rPr>
          <w:rFonts w:ascii="Times New Roman" w:hAnsi="Times New Roman" w:cs="Times New Roman"/>
          <w:noProof/>
        </w:rPr>
        <w:t xml:space="preserve"> Acta </w:t>
      </w:r>
      <w:r w:rsidRPr="00F25511">
        <w:rPr>
          <w:rFonts w:ascii="Times New Roman" w:hAnsi="Times New Roman" w:cs="Times New Roman"/>
          <w:b/>
          <w:noProof/>
        </w:rPr>
        <w:t>718</w:t>
      </w:r>
      <w:r w:rsidRPr="00F25511">
        <w:rPr>
          <w:rFonts w:ascii="Times New Roman" w:hAnsi="Times New Roman" w:cs="Times New Roman"/>
          <w:noProof/>
        </w:rPr>
        <w:t xml:space="preserve"> (2012) 25.</w:t>
      </w:r>
      <w:bookmarkEnd w:id="4"/>
    </w:p>
    <w:p w:rsidR="0001397F" w:rsidRPr="00F25511" w:rsidRDefault="0001397F" w:rsidP="005F7790">
      <w:pPr>
        <w:ind w:left="284" w:hanging="284"/>
        <w:jc w:val="both"/>
        <w:rPr>
          <w:rFonts w:ascii="Times New Roman" w:hAnsi="Times New Roman" w:cs="Times New Roman"/>
          <w:noProof/>
        </w:rPr>
      </w:pPr>
      <w:bookmarkStart w:id="5" w:name="_ENREF_5"/>
      <w:r w:rsidRPr="00F25511">
        <w:rPr>
          <w:rFonts w:ascii="Times New Roman" w:hAnsi="Times New Roman" w:cs="Times New Roman"/>
          <w:noProof/>
        </w:rPr>
        <w:t xml:space="preserve">[5] </w:t>
      </w:r>
      <w:r w:rsidRPr="00F25511">
        <w:rPr>
          <w:rFonts w:ascii="Times New Roman" w:hAnsi="Times New Roman" w:cs="Times New Roman"/>
          <w:smallCaps/>
          <w:noProof/>
        </w:rPr>
        <w:t>Cheng, H.</w:t>
      </w:r>
      <w:r w:rsidRPr="00F25511">
        <w:rPr>
          <w:rFonts w:ascii="Times New Roman" w:hAnsi="Times New Roman" w:cs="Times New Roman"/>
          <w:noProof/>
        </w:rPr>
        <w:t>, et al., The half-lives of uranium-234 and thorium-230, Chem</w:t>
      </w:r>
      <w:r w:rsidR="005D5254">
        <w:rPr>
          <w:rFonts w:ascii="Times New Roman" w:hAnsi="Times New Roman" w:cs="Times New Roman"/>
          <w:noProof/>
        </w:rPr>
        <w:t>.</w:t>
      </w:r>
      <w:r w:rsidRPr="00F25511">
        <w:rPr>
          <w:rFonts w:ascii="Times New Roman" w:hAnsi="Times New Roman" w:cs="Times New Roman"/>
          <w:noProof/>
        </w:rPr>
        <w:t xml:space="preserve"> Geol</w:t>
      </w:r>
      <w:r w:rsidR="005D5254">
        <w:rPr>
          <w:rFonts w:ascii="Times New Roman" w:hAnsi="Times New Roman" w:cs="Times New Roman"/>
          <w:noProof/>
        </w:rPr>
        <w:t>.</w:t>
      </w:r>
      <w:r w:rsidRPr="00F25511">
        <w:rPr>
          <w:rFonts w:ascii="Times New Roman" w:hAnsi="Times New Roman" w:cs="Times New Roman"/>
          <w:noProof/>
        </w:rPr>
        <w:t xml:space="preserve"> </w:t>
      </w:r>
      <w:r w:rsidRPr="00F25511">
        <w:rPr>
          <w:rFonts w:ascii="Times New Roman" w:hAnsi="Times New Roman" w:cs="Times New Roman"/>
          <w:b/>
          <w:noProof/>
        </w:rPr>
        <w:t>169</w:t>
      </w:r>
      <w:r w:rsidRPr="00F25511">
        <w:rPr>
          <w:rFonts w:ascii="Times New Roman" w:hAnsi="Times New Roman" w:cs="Times New Roman"/>
          <w:noProof/>
        </w:rPr>
        <w:t xml:space="preserve"> (2000) 17.</w:t>
      </w:r>
      <w:bookmarkEnd w:id="5"/>
    </w:p>
    <w:p w:rsidR="0001397F" w:rsidRPr="00F25511" w:rsidRDefault="0001397F" w:rsidP="005F7790">
      <w:pPr>
        <w:ind w:left="284" w:hanging="284"/>
        <w:jc w:val="both"/>
        <w:rPr>
          <w:rFonts w:ascii="Times New Roman" w:hAnsi="Times New Roman" w:cs="Times New Roman"/>
          <w:noProof/>
        </w:rPr>
      </w:pPr>
      <w:bookmarkStart w:id="6" w:name="_ENREF_6"/>
      <w:r w:rsidRPr="00F25511">
        <w:rPr>
          <w:rFonts w:ascii="Times New Roman" w:hAnsi="Times New Roman" w:cs="Times New Roman"/>
          <w:noProof/>
        </w:rPr>
        <w:t xml:space="preserve">[6] </w:t>
      </w:r>
      <w:r w:rsidRPr="00F25511">
        <w:rPr>
          <w:rFonts w:ascii="Times New Roman" w:hAnsi="Times New Roman" w:cs="Times New Roman"/>
          <w:smallCaps/>
          <w:noProof/>
        </w:rPr>
        <w:t>DDEP</w:t>
      </w:r>
      <w:r w:rsidRPr="00F25511">
        <w:rPr>
          <w:rFonts w:ascii="Times New Roman" w:hAnsi="Times New Roman" w:cs="Times New Roman"/>
          <w:noProof/>
        </w:rPr>
        <w:t xml:space="preserve">, Monographie BIPM-5 - "Table of Radionuclides", http://www.nucleide.org/DDEP.htm, accessed on 17 March 2014 (2014) </w:t>
      </w:r>
      <w:bookmarkEnd w:id="6"/>
    </w:p>
    <w:p w:rsidR="0001397F" w:rsidRDefault="0001397F" w:rsidP="001472C0">
      <w:pPr>
        <w:rPr>
          <w:rFonts w:ascii="Calibri" w:hAnsi="Calibri" w:cs="Calibri"/>
          <w:noProof/>
        </w:rPr>
      </w:pPr>
    </w:p>
    <w:p w:rsidR="0001397F" w:rsidRDefault="0001397F"/>
    <w:p w:rsidR="002B6C0B" w:rsidRDefault="002B6C0B"/>
    <w:sectPr w:rsidR="002B6C0B" w:rsidSect="00867243">
      <w:pgSz w:w="11906" w:h="16838" w:code="9"/>
      <w:pgMar w:top="1134"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243" w:rsidRDefault="00867243" w:rsidP="00867243">
      <w:r>
        <w:separator/>
      </w:r>
    </w:p>
  </w:endnote>
  <w:endnote w:type="continuationSeparator" w:id="0">
    <w:p w:rsidR="00867243" w:rsidRDefault="00867243" w:rsidP="0086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YMyeongJo-Extra">
    <w:altName w:val="Arial Unicode MS"/>
    <w:charset w:val="81"/>
    <w:family w:val="roman"/>
    <w:pitch w:val="variable"/>
    <w:sig w:usb0="00000000" w:usb1="39D77CF9"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81934"/>
      <w:docPartObj>
        <w:docPartGallery w:val="Page Numbers (Bottom of Page)"/>
        <w:docPartUnique/>
      </w:docPartObj>
    </w:sdtPr>
    <w:sdtEndPr>
      <w:rPr>
        <w:rFonts w:ascii="Times New Roman" w:hAnsi="Times New Roman" w:cs="Times New Roman"/>
        <w:noProof/>
      </w:rPr>
    </w:sdtEndPr>
    <w:sdtContent>
      <w:p w:rsidR="00403D7B" w:rsidRPr="00154037" w:rsidRDefault="00B305FA">
        <w:pPr>
          <w:pStyle w:val="Footer"/>
          <w:rPr>
            <w:rFonts w:ascii="Times New Roman" w:hAnsi="Times New Roman" w:cs="Times New Roman"/>
          </w:rPr>
        </w:pPr>
        <w:r w:rsidRPr="00154037">
          <w:rPr>
            <w:rFonts w:ascii="Times New Roman" w:hAnsi="Times New Roman" w:cs="Times New Roman"/>
          </w:rPr>
          <w:fldChar w:fldCharType="begin"/>
        </w:r>
        <w:r w:rsidRPr="00154037">
          <w:rPr>
            <w:rFonts w:ascii="Times New Roman" w:hAnsi="Times New Roman" w:cs="Times New Roman"/>
          </w:rPr>
          <w:instrText xml:space="preserve"> PAGE   \* MERGEFORMAT </w:instrText>
        </w:r>
        <w:r w:rsidRPr="00154037">
          <w:rPr>
            <w:rFonts w:ascii="Times New Roman" w:hAnsi="Times New Roman" w:cs="Times New Roman"/>
          </w:rPr>
          <w:fldChar w:fldCharType="separate"/>
        </w:r>
        <w:r w:rsidR="00072B3A">
          <w:rPr>
            <w:rFonts w:ascii="Times New Roman" w:hAnsi="Times New Roman" w:cs="Times New Roman"/>
            <w:noProof/>
          </w:rPr>
          <w:t>6</w:t>
        </w:r>
        <w:r w:rsidRPr="00154037">
          <w:rPr>
            <w:rFonts w:ascii="Times New Roman" w:hAnsi="Times New Roman" w:cs="Times New Roman"/>
            <w:noProof/>
          </w:rPr>
          <w:fldChar w:fldCharType="end"/>
        </w:r>
      </w:p>
    </w:sdtContent>
  </w:sdt>
  <w:p w:rsidR="00403D7B" w:rsidRDefault="00026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87651"/>
      <w:docPartObj>
        <w:docPartGallery w:val="Page Numbers (Bottom of Page)"/>
        <w:docPartUnique/>
      </w:docPartObj>
    </w:sdtPr>
    <w:sdtEndPr>
      <w:rPr>
        <w:rFonts w:ascii="Times New Roman" w:hAnsi="Times New Roman" w:cs="Times New Roman"/>
        <w:noProof/>
      </w:rPr>
    </w:sdtEndPr>
    <w:sdtContent>
      <w:p w:rsidR="00403D7B" w:rsidRPr="000D3201" w:rsidRDefault="00B305FA">
        <w:pPr>
          <w:pStyle w:val="Footer"/>
          <w:jc w:val="center"/>
          <w:rPr>
            <w:rFonts w:ascii="Times New Roman" w:hAnsi="Times New Roman" w:cs="Times New Roman"/>
          </w:rPr>
        </w:pPr>
        <w:r>
          <w:ptab w:relativeTo="margin" w:alignment="right" w:leader="none"/>
        </w:r>
        <w:r>
          <w:ptab w:relativeTo="margin" w:alignment="center" w:leader="none"/>
        </w:r>
        <w:r>
          <w:ptab w:relativeTo="margin" w:alignment="right" w:leader="none"/>
        </w:r>
        <w:r w:rsidRPr="000D3201">
          <w:rPr>
            <w:rFonts w:ascii="Times New Roman" w:hAnsi="Times New Roman" w:cs="Times New Roman"/>
          </w:rPr>
          <w:fldChar w:fldCharType="begin"/>
        </w:r>
        <w:r w:rsidRPr="000D3201">
          <w:rPr>
            <w:rFonts w:ascii="Times New Roman" w:hAnsi="Times New Roman" w:cs="Times New Roman"/>
          </w:rPr>
          <w:instrText xml:space="preserve"> PAGE   \* MERGEFORMAT </w:instrText>
        </w:r>
        <w:r w:rsidRPr="000D3201">
          <w:rPr>
            <w:rFonts w:ascii="Times New Roman" w:hAnsi="Times New Roman" w:cs="Times New Roman"/>
          </w:rPr>
          <w:fldChar w:fldCharType="separate"/>
        </w:r>
        <w:r w:rsidR="00026D30">
          <w:rPr>
            <w:rFonts w:ascii="Times New Roman" w:hAnsi="Times New Roman" w:cs="Times New Roman"/>
            <w:noProof/>
          </w:rPr>
          <w:t>7</w:t>
        </w:r>
        <w:r w:rsidRPr="000D3201">
          <w:rPr>
            <w:rFonts w:ascii="Times New Roman" w:hAnsi="Times New Roman" w:cs="Times New Roman"/>
            <w:noProof/>
          </w:rPr>
          <w:fldChar w:fldCharType="end"/>
        </w:r>
      </w:p>
    </w:sdtContent>
  </w:sdt>
  <w:p w:rsidR="00403D7B" w:rsidRDefault="00026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243" w:rsidRDefault="00867243" w:rsidP="00867243">
      <w:r>
        <w:separator/>
      </w:r>
    </w:p>
  </w:footnote>
  <w:footnote w:type="continuationSeparator" w:id="0">
    <w:p w:rsidR="00867243" w:rsidRDefault="00867243" w:rsidP="00867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022"/>
    <w:multiLevelType w:val="hybridMultilevel"/>
    <w:tmpl w:val="41B64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LW_DocType" w:val="NORMAL"/>
  </w:docVars>
  <w:rsids>
    <w:rsidRoot w:val="0001397F"/>
    <w:rsid w:val="0001397F"/>
    <w:rsid w:val="00026D30"/>
    <w:rsid w:val="00072B3A"/>
    <w:rsid w:val="00083199"/>
    <w:rsid w:val="00154B60"/>
    <w:rsid w:val="002337B4"/>
    <w:rsid w:val="00243DD4"/>
    <w:rsid w:val="00261D28"/>
    <w:rsid w:val="002B6C0B"/>
    <w:rsid w:val="002F06BD"/>
    <w:rsid w:val="003414C1"/>
    <w:rsid w:val="005D5254"/>
    <w:rsid w:val="005F7790"/>
    <w:rsid w:val="00677309"/>
    <w:rsid w:val="006C5BC8"/>
    <w:rsid w:val="0074589E"/>
    <w:rsid w:val="00867243"/>
    <w:rsid w:val="008F63D3"/>
    <w:rsid w:val="009654A4"/>
    <w:rsid w:val="00990A8C"/>
    <w:rsid w:val="009D3B99"/>
    <w:rsid w:val="00B26C34"/>
    <w:rsid w:val="00B305FA"/>
    <w:rsid w:val="00C05E98"/>
    <w:rsid w:val="00C55906"/>
    <w:rsid w:val="00CC1D33"/>
    <w:rsid w:val="00D24B07"/>
    <w:rsid w:val="00D26973"/>
    <w:rsid w:val="00E4703F"/>
    <w:rsid w:val="00EC6E9B"/>
    <w:rsid w:val="00F13A6B"/>
    <w:rsid w:val="00F15952"/>
    <w:rsid w:val="00F25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Abstract">
    <w:name w:val="03 Abstract"/>
    <w:qFormat/>
    <w:rsid w:val="0001397F"/>
    <w:pPr>
      <w:spacing w:after="240" w:line="240" w:lineRule="exact"/>
      <w:ind w:right="2268"/>
    </w:pPr>
    <w:rPr>
      <w:rFonts w:ascii="Times New Roman" w:eastAsia="Times New Roman" w:hAnsi="Times New Roman" w:cs="Times New Roman"/>
      <w:sz w:val="18"/>
      <w:szCs w:val="18"/>
      <w:lang w:eastAsia="en-GB"/>
    </w:rPr>
  </w:style>
  <w:style w:type="paragraph" w:styleId="BodyText">
    <w:name w:val="Body Text"/>
    <w:link w:val="BodyTextChar"/>
    <w:rsid w:val="0001397F"/>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1397F"/>
    <w:rPr>
      <w:rFonts w:ascii="Times New Roman" w:eastAsia="Times New Roman" w:hAnsi="Times New Roman" w:cs="Times New Roman"/>
      <w:szCs w:val="20"/>
    </w:rPr>
  </w:style>
  <w:style w:type="paragraph" w:customStyle="1" w:styleId="01PaperTitle">
    <w:name w:val="01 Paper Title"/>
    <w:qFormat/>
    <w:rsid w:val="0001397F"/>
    <w:pPr>
      <w:spacing w:after="180" w:line="360" w:lineRule="exact"/>
    </w:pPr>
    <w:rPr>
      <w:rFonts w:ascii="Times New Roman" w:eastAsia="Times New Roman" w:hAnsi="Times New Roman" w:cs="Times New Roman"/>
      <w:b/>
      <w:position w:val="7"/>
      <w:sz w:val="24"/>
      <w:szCs w:val="24"/>
      <w:lang w:eastAsia="en-GB"/>
    </w:rPr>
  </w:style>
  <w:style w:type="paragraph" w:customStyle="1" w:styleId="08ArticleText">
    <w:name w:val="08 Article Text"/>
    <w:qFormat/>
    <w:rsid w:val="0001397F"/>
    <w:pPr>
      <w:widowControl w:val="0"/>
      <w:tabs>
        <w:tab w:val="left" w:pos="198"/>
      </w:tabs>
      <w:spacing w:line="230" w:lineRule="exact"/>
      <w:jc w:val="both"/>
    </w:pPr>
    <w:rPr>
      <w:rFonts w:ascii="Times New Roman" w:eastAsia="Times New Roman" w:hAnsi="Times New Roman" w:cs="Times New Roman"/>
      <w:sz w:val="18"/>
      <w:szCs w:val="18"/>
      <w:lang w:eastAsia="en-GB"/>
    </w:rPr>
  </w:style>
  <w:style w:type="paragraph" w:customStyle="1" w:styleId="G3SingleColumnEquation">
    <w:name w:val="G3 Single Column Equation"/>
    <w:next w:val="08ArticleText"/>
    <w:qFormat/>
    <w:rsid w:val="0001397F"/>
    <w:pPr>
      <w:tabs>
        <w:tab w:val="center" w:pos="2155"/>
        <w:tab w:val="right" w:pos="4706"/>
      </w:tabs>
      <w:spacing w:before="160" w:after="160"/>
    </w:pPr>
    <w:rPr>
      <w:rFonts w:ascii="Times New Roman" w:eastAsia="Times New Roman" w:hAnsi="Times New Roman" w:cs="Times New Roman"/>
      <w:sz w:val="18"/>
      <w:szCs w:val="20"/>
      <w:lang w:eastAsia="en-GB"/>
    </w:rPr>
  </w:style>
  <w:style w:type="paragraph" w:customStyle="1" w:styleId="04AHeading">
    <w:name w:val="04 A Heading"/>
    <w:next w:val="08ArticleText"/>
    <w:qFormat/>
    <w:rsid w:val="0001397F"/>
    <w:pPr>
      <w:spacing w:before="240" w:after="120" w:line="240" w:lineRule="exact"/>
    </w:pPr>
    <w:rPr>
      <w:rFonts w:ascii="Times New Roman" w:eastAsia="Times New Roman" w:hAnsi="Times New Roman" w:cs="Times New Roman"/>
      <w:b/>
      <w:szCs w:val="20"/>
      <w:lang w:eastAsia="en-GB"/>
    </w:rPr>
  </w:style>
  <w:style w:type="paragraph" w:customStyle="1" w:styleId="05BHeading">
    <w:name w:val="05 B Heading"/>
    <w:next w:val="08ArticleText"/>
    <w:qFormat/>
    <w:rsid w:val="0001397F"/>
    <w:pPr>
      <w:spacing w:before="120" w:after="120" w:line="200" w:lineRule="exact"/>
      <w:jc w:val="both"/>
    </w:pPr>
    <w:rPr>
      <w:rFonts w:ascii="Times New Roman" w:eastAsia="Times New Roman" w:hAnsi="Times New Roman" w:cs="Times New Roman"/>
      <w:b/>
      <w:sz w:val="18"/>
      <w:szCs w:val="20"/>
      <w:lang w:eastAsia="en-GB"/>
    </w:rPr>
  </w:style>
  <w:style w:type="paragraph" w:customStyle="1" w:styleId="G1aFigureImage">
    <w:name w:val="G1a Figure Image"/>
    <w:next w:val="G1bFigureCaption"/>
    <w:qFormat/>
    <w:rsid w:val="0001397F"/>
    <w:pPr>
      <w:shd w:val="solid" w:color="FFFFFF" w:fill="FFFFFF"/>
      <w:spacing w:before="160" w:after="40"/>
      <w:jc w:val="center"/>
    </w:pPr>
    <w:rPr>
      <w:rFonts w:ascii="Times New Roman" w:eastAsia="Times New Roman" w:hAnsi="Times New Roman" w:cs="Times New Roman"/>
      <w:sz w:val="18"/>
      <w:szCs w:val="20"/>
      <w:lang w:eastAsia="en-GB"/>
    </w:rPr>
  </w:style>
  <w:style w:type="paragraph" w:customStyle="1" w:styleId="G1bFigureCaption">
    <w:name w:val="G1b Figure Caption"/>
    <w:basedOn w:val="Normal"/>
    <w:next w:val="08ArticleText"/>
    <w:qFormat/>
    <w:rsid w:val="0001397F"/>
    <w:pPr>
      <w:shd w:val="solid" w:color="FFFFFF" w:fill="FFFFFF"/>
      <w:spacing w:before="40" w:after="160" w:line="190" w:lineRule="exact"/>
      <w:jc w:val="center"/>
    </w:pPr>
    <w:rPr>
      <w:rFonts w:ascii="Times New Roman" w:eastAsia="Malgun Gothic" w:hAnsi="Times New Roman" w:cs="Times New Roman"/>
      <w:sz w:val="16"/>
      <w:szCs w:val="24"/>
      <w:lang w:eastAsia="en-GB"/>
    </w:rPr>
  </w:style>
  <w:style w:type="paragraph" w:customStyle="1" w:styleId="G4aTableTitle">
    <w:name w:val="G4a Table Title"/>
    <w:qFormat/>
    <w:rsid w:val="0001397F"/>
    <w:pPr>
      <w:keepNext/>
      <w:keepLines/>
      <w:pBdr>
        <w:bottom w:val="single" w:sz="6" w:space="1" w:color="auto"/>
      </w:pBdr>
      <w:spacing w:before="120" w:after="120" w:line="190" w:lineRule="exact"/>
    </w:pPr>
    <w:rPr>
      <w:rFonts w:ascii="Times New Roman" w:eastAsia="Times New Roman" w:hAnsi="Times New Roman" w:cs="Times New Roman"/>
      <w:sz w:val="16"/>
      <w:szCs w:val="20"/>
      <w:lang w:eastAsia="en-GB"/>
    </w:rPr>
  </w:style>
  <w:style w:type="paragraph" w:customStyle="1" w:styleId="G4bTableBody">
    <w:name w:val="G4b Table Body"/>
    <w:qFormat/>
    <w:rsid w:val="0001397F"/>
    <w:pPr>
      <w:keepNext/>
      <w:keepLines/>
      <w:jc w:val="center"/>
    </w:pPr>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01397F"/>
    <w:rPr>
      <w:rFonts w:ascii="Tahoma" w:hAnsi="Tahoma" w:cs="Tahoma"/>
      <w:sz w:val="16"/>
      <w:szCs w:val="16"/>
    </w:rPr>
  </w:style>
  <w:style w:type="character" w:customStyle="1" w:styleId="BalloonTextChar">
    <w:name w:val="Balloon Text Char"/>
    <w:basedOn w:val="DefaultParagraphFont"/>
    <w:link w:val="BalloonText"/>
    <w:uiPriority w:val="99"/>
    <w:semiHidden/>
    <w:rsid w:val="0001397F"/>
    <w:rPr>
      <w:rFonts w:ascii="Tahoma" w:hAnsi="Tahoma" w:cs="Tahoma"/>
      <w:sz w:val="16"/>
      <w:szCs w:val="16"/>
    </w:rPr>
  </w:style>
  <w:style w:type="paragraph" w:styleId="Header">
    <w:name w:val="header"/>
    <w:basedOn w:val="Normal"/>
    <w:link w:val="HeaderChar"/>
    <w:uiPriority w:val="99"/>
    <w:unhideWhenUsed/>
    <w:rsid w:val="0001397F"/>
    <w:pPr>
      <w:tabs>
        <w:tab w:val="center" w:pos="4513"/>
        <w:tab w:val="right" w:pos="9026"/>
      </w:tabs>
    </w:pPr>
  </w:style>
  <w:style w:type="character" w:customStyle="1" w:styleId="HeaderChar">
    <w:name w:val="Header Char"/>
    <w:basedOn w:val="DefaultParagraphFont"/>
    <w:link w:val="Header"/>
    <w:uiPriority w:val="99"/>
    <w:rsid w:val="0001397F"/>
  </w:style>
  <w:style w:type="paragraph" w:styleId="Footer">
    <w:name w:val="footer"/>
    <w:basedOn w:val="Normal"/>
    <w:link w:val="FooterChar"/>
    <w:uiPriority w:val="99"/>
    <w:unhideWhenUsed/>
    <w:rsid w:val="0001397F"/>
    <w:pPr>
      <w:tabs>
        <w:tab w:val="center" w:pos="4513"/>
        <w:tab w:val="right" w:pos="9026"/>
      </w:tabs>
    </w:pPr>
  </w:style>
  <w:style w:type="character" w:customStyle="1" w:styleId="FooterChar">
    <w:name w:val="Footer Char"/>
    <w:basedOn w:val="DefaultParagraphFont"/>
    <w:link w:val="Footer"/>
    <w:uiPriority w:val="99"/>
    <w:rsid w:val="0001397F"/>
  </w:style>
  <w:style w:type="character" w:styleId="Hyperlink">
    <w:name w:val="Hyperlink"/>
    <w:basedOn w:val="DefaultParagraphFont"/>
    <w:uiPriority w:val="99"/>
    <w:unhideWhenUsed/>
    <w:rsid w:val="0001397F"/>
    <w:rPr>
      <w:color w:val="0000FF" w:themeColor="hyperlink"/>
      <w:u w:val="single"/>
    </w:rPr>
  </w:style>
  <w:style w:type="table" w:styleId="TableGrid">
    <w:name w:val="Table Grid"/>
    <w:basedOn w:val="TableNormal"/>
    <w:uiPriority w:val="59"/>
    <w:rsid w:val="00013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01397F"/>
    <w:pPr>
      <w:spacing w:after="120" w:line="480" w:lineRule="auto"/>
    </w:pPr>
  </w:style>
  <w:style w:type="character" w:customStyle="1" w:styleId="BodyText2Char">
    <w:name w:val="Body Text 2 Char"/>
    <w:basedOn w:val="DefaultParagraphFont"/>
    <w:link w:val="BodyText2"/>
    <w:uiPriority w:val="99"/>
    <w:semiHidden/>
    <w:rsid w:val="00013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Abstract">
    <w:name w:val="03 Abstract"/>
    <w:qFormat/>
    <w:rsid w:val="0001397F"/>
    <w:pPr>
      <w:spacing w:after="240" w:line="240" w:lineRule="exact"/>
      <w:ind w:right="2268"/>
    </w:pPr>
    <w:rPr>
      <w:rFonts w:ascii="Times New Roman" w:eastAsia="Times New Roman" w:hAnsi="Times New Roman" w:cs="Times New Roman"/>
      <w:sz w:val="18"/>
      <w:szCs w:val="18"/>
      <w:lang w:eastAsia="en-GB"/>
    </w:rPr>
  </w:style>
  <w:style w:type="paragraph" w:styleId="BodyText">
    <w:name w:val="Body Text"/>
    <w:link w:val="BodyTextChar"/>
    <w:rsid w:val="0001397F"/>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1397F"/>
    <w:rPr>
      <w:rFonts w:ascii="Times New Roman" w:eastAsia="Times New Roman" w:hAnsi="Times New Roman" w:cs="Times New Roman"/>
      <w:szCs w:val="20"/>
    </w:rPr>
  </w:style>
  <w:style w:type="paragraph" w:customStyle="1" w:styleId="01PaperTitle">
    <w:name w:val="01 Paper Title"/>
    <w:qFormat/>
    <w:rsid w:val="0001397F"/>
    <w:pPr>
      <w:spacing w:after="180" w:line="360" w:lineRule="exact"/>
    </w:pPr>
    <w:rPr>
      <w:rFonts w:ascii="Times New Roman" w:eastAsia="Times New Roman" w:hAnsi="Times New Roman" w:cs="Times New Roman"/>
      <w:b/>
      <w:position w:val="7"/>
      <w:sz w:val="24"/>
      <w:szCs w:val="24"/>
      <w:lang w:eastAsia="en-GB"/>
    </w:rPr>
  </w:style>
  <w:style w:type="paragraph" w:customStyle="1" w:styleId="08ArticleText">
    <w:name w:val="08 Article Text"/>
    <w:qFormat/>
    <w:rsid w:val="0001397F"/>
    <w:pPr>
      <w:widowControl w:val="0"/>
      <w:tabs>
        <w:tab w:val="left" w:pos="198"/>
      </w:tabs>
      <w:spacing w:line="230" w:lineRule="exact"/>
      <w:jc w:val="both"/>
    </w:pPr>
    <w:rPr>
      <w:rFonts w:ascii="Times New Roman" w:eastAsia="Times New Roman" w:hAnsi="Times New Roman" w:cs="Times New Roman"/>
      <w:sz w:val="18"/>
      <w:szCs w:val="18"/>
      <w:lang w:eastAsia="en-GB"/>
    </w:rPr>
  </w:style>
  <w:style w:type="paragraph" w:customStyle="1" w:styleId="G3SingleColumnEquation">
    <w:name w:val="G3 Single Column Equation"/>
    <w:next w:val="08ArticleText"/>
    <w:qFormat/>
    <w:rsid w:val="0001397F"/>
    <w:pPr>
      <w:tabs>
        <w:tab w:val="center" w:pos="2155"/>
        <w:tab w:val="right" w:pos="4706"/>
      </w:tabs>
      <w:spacing w:before="160" w:after="160"/>
    </w:pPr>
    <w:rPr>
      <w:rFonts w:ascii="Times New Roman" w:eastAsia="Times New Roman" w:hAnsi="Times New Roman" w:cs="Times New Roman"/>
      <w:sz w:val="18"/>
      <w:szCs w:val="20"/>
      <w:lang w:eastAsia="en-GB"/>
    </w:rPr>
  </w:style>
  <w:style w:type="paragraph" w:customStyle="1" w:styleId="04AHeading">
    <w:name w:val="04 A Heading"/>
    <w:next w:val="08ArticleText"/>
    <w:qFormat/>
    <w:rsid w:val="0001397F"/>
    <w:pPr>
      <w:spacing w:before="240" w:after="120" w:line="240" w:lineRule="exact"/>
    </w:pPr>
    <w:rPr>
      <w:rFonts w:ascii="Times New Roman" w:eastAsia="Times New Roman" w:hAnsi="Times New Roman" w:cs="Times New Roman"/>
      <w:b/>
      <w:szCs w:val="20"/>
      <w:lang w:eastAsia="en-GB"/>
    </w:rPr>
  </w:style>
  <w:style w:type="paragraph" w:customStyle="1" w:styleId="05BHeading">
    <w:name w:val="05 B Heading"/>
    <w:next w:val="08ArticleText"/>
    <w:qFormat/>
    <w:rsid w:val="0001397F"/>
    <w:pPr>
      <w:spacing w:before="120" w:after="120" w:line="200" w:lineRule="exact"/>
      <w:jc w:val="both"/>
    </w:pPr>
    <w:rPr>
      <w:rFonts w:ascii="Times New Roman" w:eastAsia="Times New Roman" w:hAnsi="Times New Roman" w:cs="Times New Roman"/>
      <w:b/>
      <w:sz w:val="18"/>
      <w:szCs w:val="20"/>
      <w:lang w:eastAsia="en-GB"/>
    </w:rPr>
  </w:style>
  <w:style w:type="paragraph" w:customStyle="1" w:styleId="G1aFigureImage">
    <w:name w:val="G1a Figure Image"/>
    <w:next w:val="G1bFigureCaption"/>
    <w:qFormat/>
    <w:rsid w:val="0001397F"/>
    <w:pPr>
      <w:shd w:val="solid" w:color="FFFFFF" w:fill="FFFFFF"/>
      <w:spacing w:before="160" w:after="40"/>
      <w:jc w:val="center"/>
    </w:pPr>
    <w:rPr>
      <w:rFonts w:ascii="Times New Roman" w:eastAsia="Times New Roman" w:hAnsi="Times New Roman" w:cs="Times New Roman"/>
      <w:sz w:val="18"/>
      <w:szCs w:val="20"/>
      <w:lang w:eastAsia="en-GB"/>
    </w:rPr>
  </w:style>
  <w:style w:type="paragraph" w:customStyle="1" w:styleId="G1bFigureCaption">
    <w:name w:val="G1b Figure Caption"/>
    <w:basedOn w:val="Normal"/>
    <w:next w:val="08ArticleText"/>
    <w:qFormat/>
    <w:rsid w:val="0001397F"/>
    <w:pPr>
      <w:shd w:val="solid" w:color="FFFFFF" w:fill="FFFFFF"/>
      <w:spacing w:before="40" w:after="160" w:line="190" w:lineRule="exact"/>
      <w:jc w:val="center"/>
    </w:pPr>
    <w:rPr>
      <w:rFonts w:ascii="Times New Roman" w:eastAsia="Malgun Gothic" w:hAnsi="Times New Roman" w:cs="Times New Roman"/>
      <w:sz w:val="16"/>
      <w:szCs w:val="24"/>
      <w:lang w:eastAsia="en-GB"/>
    </w:rPr>
  </w:style>
  <w:style w:type="paragraph" w:customStyle="1" w:styleId="G4aTableTitle">
    <w:name w:val="G4a Table Title"/>
    <w:qFormat/>
    <w:rsid w:val="0001397F"/>
    <w:pPr>
      <w:keepNext/>
      <w:keepLines/>
      <w:pBdr>
        <w:bottom w:val="single" w:sz="6" w:space="1" w:color="auto"/>
      </w:pBdr>
      <w:spacing w:before="120" w:after="120" w:line="190" w:lineRule="exact"/>
    </w:pPr>
    <w:rPr>
      <w:rFonts w:ascii="Times New Roman" w:eastAsia="Times New Roman" w:hAnsi="Times New Roman" w:cs="Times New Roman"/>
      <w:sz w:val="16"/>
      <w:szCs w:val="20"/>
      <w:lang w:eastAsia="en-GB"/>
    </w:rPr>
  </w:style>
  <w:style w:type="paragraph" w:customStyle="1" w:styleId="G4bTableBody">
    <w:name w:val="G4b Table Body"/>
    <w:qFormat/>
    <w:rsid w:val="0001397F"/>
    <w:pPr>
      <w:keepNext/>
      <w:keepLines/>
      <w:jc w:val="center"/>
    </w:pPr>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01397F"/>
    <w:rPr>
      <w:rFonts w:ascii="Tahoma" w:hAnsi="Tahoma" w:cs="Tahoma"/>
      <w:sz w:val="16"/>
      <w:szCs w:val="16"/>
    </w:rPr>
  </w:style>
  <w:style w:type="character" w:customStyle="1" w:styleId="BalloonTextChar">
    <w:name w:val="Balloon Text Char"/>
    <w:basedOn w:val="DefaultParagraphFont"/>
    <w:link w:val="BalloonText"/>
    <w:uiPriority w:val="99"/>
    <w:semiHidden/>
    <w:rsid w:val="0001397F"/>
    <w:rPr>
      <w:rFonts w:ascii="Tahoma" w:hAnsi="Tahoma" w:cs="Tahoma"/>
      <w:sz w:val="16"/>
      <w:szCs w:val="16"/>
    </w:rPr>
  </w:style>
  <w:style w:type="paragraph" w:styleId="Header">
    <w:name w:val="header"/>
    <w:basedOn w:val="Normal"/>
    <w:link w:val="HeaderChar"/>
    <w:uiPriority w:val="99"/>
    <w:unhideWhenUsed/>
    <w:rsid w:val="0001397F"/>
    <w:pPr>
      <w:tabs>
        <w:tab w:val="center" w:pos="4513"/>
        <w:tab w:val="right" w:pos="9026"/>
      </w:tabs>
    </w:pPr>
  </w:style>
  <w:style w:type="character" w:customStyle="1" w:styleId="HeaderChar">
    <w:name w:val="Header Char"/>
    <w:basedOn w:val="DefaultParagraphFont"/>
    <w:link w:val="Header"/>
    <w:uiPriority w:val="99"/>
    <w:rsid w:val="0001397F"/>
  </w:style>
  <w:style w:type="paragraph" w:styleId="Footer">
    <w:name w:val="footer"/>
    <w:basedOn w:val="Normal"/>
    <w:link w:val="FooterChar"/>
    <w:uiPriority w:val="99"/>
    <w:unhideWhenUsed/>
    <w:rsid w:val="0001397F"/>
    <w:pPr>
      <w:tabs>
        <w:tab w:val="center" w:pos="4513"/>
        <w:tab w:val="right" w:pos="9026"/>
      </w:tabs>
    </w:pPr>
  </w:style>
  <w:style w:type="character" w:customStyle="1" w:styleId="FooterChar">
    <w:name w:val="Footer Char"/>
    <w:basedOn w:val="DefaultParagraphFont"/>
    <w:link w:val="Footer"/>
    <w:uiPriority w:val="99"/>
    <w:rsid w:val="0001397F"/>
  </w:style>
  <w:style w:type="character" w:styleId="Hyperlink">
    <w:name w:val="Hyperlink"/>
    <w:basedOn w:val="DefaultParagraphFont"/>
    <w:uiPriority w:val="99"/>
    <w:unhideWhenUsed/>
    <w:rsid w:val="0001397F"/>
    <w:rPr>
      <w:color w:val="0000FF" w:themeColor="hyperlink"/>
      <w:u w:val="single"/>
    </w:rPr>
  </w:style>
  <w:style w:type="table" w:styleId="TableGrid">
    <w:name w:val="Table Grid"/>
    <w:basedOn w:val="TableNormal"/>
    <w:uiPriority w:val="59"/>
    <w:rsid w:val="00013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01397F"/>
    <w:pPr>
      <w:spacing w:after="120" w:line="480" w:lineRule="auto"/>
    </w:pPr>
  </w:style>
  <w:style w:type="character" w:customStyle="1" w:styleId="BodyText2Char">
    <w:name w:val="Body Text 2 Char"/>
    <w:basedOn w:val="DefaultParagraphFont"/>
    <w:link w:val="BodyText2"/>
    <w:uiPriority w:val="99"/>
    <w:semiHidden/>
    <w:rsid w:val="0001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Zsolt (JRC-KARLSRUHE)</dc:creator>
  <cp:lastModifiedBy>VARGA Zsolt (JRC-KARLSRUHE)</cp:lastModifiedBy>
  <cp:revision>12</cp:revision>
  <cp:lastPrinted>2014-06-26T08:04:00Z</cp:lastPrinted>
  <dcterms:created xsi:type="dcterms:W3CDTF">2014-07-04T10:50:00Z</dcterms:created>
  <dcterms:modified xsi:type="dcterms:W3CDTF">2014-07-04T11:02:00Z</dcterms:modified>
</cp:coreProperties>
</file>